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2F8C43">
      <w:pPr>
        <w:adjustRightInd w:val="0"/>
        <w:snapToGrid w:val="0"/>
        <w:jc w:val="center"/>
        <w:outlineLvl w:val="0"/>
        <w:rPr>
          <w:rFonts w:eastAsia="仿宋_GB2312"/>
          <w:sz w:val="36"/>
          <w:szCs w:val="36"/>
        </w:rPr>
      </w:pPr>
      <w:r>
        <w:rPr>
          <w:rFonts w:eastAsia="方正小标宋_GBK"/>
          <w:bCs/>
          <w:sz w:val="72"/>
          <w:szCs w:val="72"/>
        </w:rPr>
        <w:t>建设项目环境影响报告表</w:t>
      </w:r>
    </w:p>
    <w:p w14:paraId="1694A72E">
      <w:pPr>
        <w:rPr>
          <w:rFonts w:eastAsia="仿宋_GB2312"/>
          <w:sz w:val="36"/>
          <w:szCs w:val="36"/>
        </w:rPr>
      </w:pPr>
    </w:p>
    <w:p w14:paraId="64D9E43A">
      <w:pPr>
        <w:jc w:val="center"/>
        <w:rPr>
          <w:rFonts w:eastAsia="仿宋"/>
          <w:sz w:val="48"/>
          <w:szCs w:val="48"/>
        </w:rPr>
      </w:pPr>
      <w:bookmarkStart w:id="0" w:name="_Hlk57884087"/>
      <w:r>
        <w:rPr>
          <w:rFonts w:eastAsia="仿宋"/>
          <w:sz w:val="48"/>
          <w:szCs w:val="48"/>
        </w:rPr>
        <w:t>（污染影响类）</w:t>
      </w:r>
    </w:p>
    <w:p w14:paraId="18910985">
      <w:pPr>
        <w:jc w:val="center"/>
        <w:rPr>
          <w:rFonts w:eastAsia="仿宋"/>
          <w:sz w:val="28"/>
          <w:szCs w:val="28"/>
        </w:rPr>
      </w:pPr>
      <w:r>
        <w:rPr>
          <w:rFonts w:eastAsia="仿宋"/>
          <w:sz w:val="28"/>
          <w:szCs w:val="28"/>
        </w:rPr>
        <w:t>（</w:t>
      </w:r>
      <w:r>
        <w:rPr>
          <w:rFonts w:hint="eastAsia" w:eastAsia="仿宋"/>
          <w:sz w:val="28"/>
          <w:szCs w:val="28"/>
        </w:rPr>
        <w:t>送审</w:t>
      </w:r>
      <w:r>
        <w:rPr>
          <w:rFonts w:eastAsia="仿宋"/>
          <w:sz w:val="28"/>
          <w:szCs w:val="28"/>
        </w:rPr>
        <w:t>稿）</w:t>
      </w:r>
    </w:p>
    <w:p w14:paraId="6483509D">
      <w:pPr>
        <w:jc w:val="center"/>
        <w:rPr>
          <w:rFonts w:eastAsia="仿宋"/>
          <w:sz w:val="52"/>
          <w:szCs w:val="52"/>
        </w:rPr>
      </w:pPr>
    </w:p>
    <w:p w14:paraId="7575A1A6">
      <w:pPr>
        <w:jc w:val="center"/>
        <w:rPr>
          <w:rFonts w:eastAsia="仿宋"/>
          <w:sz w:val="44"/>
          <w:szCs w:val="44"/>
        </w:rPr>
      </w:pPr>
    </w:p>
    <w:p w14:paraId="18CA9AE4">
      <w:pPr>
        <w:jc w:val="center"/>
        <w:rPr>
          <w:rFonts w:eastAsia="仿宋"/>
          <w:sz w:val="44"/>
          <w:szCs w:val="44"/>
        </w:rPr>
      </w:pPr>
    </w:p>
    <w:p w14:paraId="776842AE">
      <w:pPr>
        <w:jc w:val="center"/>
        <w:rPr>
          <w:rFonts w:eastAsia="仿宋"/>
          <w:sz w:val="44"/>
          <w:szCs w:val="44"/>
        </w:rPr>
      </w:pPr>
    </w:p>
    <w:p w14:paraId="63211939">
      <w:pPr>
        <w:jc w:val="center"/>
        <w:rPr>
          <w:rFonts w:eastAsia="仿宋"/>
          <w:sz w:val="44"/>
          <w:szCs w:val="44"/>
        </w:rPr>
      </w:pPr>
    </w:p>
    <w:p w14:paraId="2CCB88F4">
      <w:pPr>
        <w:adjustRightInd w:val="0"/>
        <w:snapToGrid w:val="0"/>
        <w:spacing w:line="288" w:lineRule="auto"/>
        <w:jc w:val="left"/>
        <w:rPr>
          <w:rFonts w:hint="default" w:ascii="Times New Roman" w:hAnsi="Times New Roman" w:eastAsia="仿宋_GB2312" w:cs="Times New Roman"/>
          <w:sz w:val="36"/>
          <w:szCs w:val="36"/>
          <w:u w:val="single"/>
          <w:lang w:eastAsia="zh-CN" w:bidi="ar"/>
        </w:rPr>
      </w:pPr>
      <w:r>
        <w:rPr>
          <w:rFonts w:eastAsia="仿宋_GB2312"/>
          <w:sz w:val="36"/>
          <w:szCs w:val="36"/>
          <w:lang w:bidi="ar"/>
        </w:rPr>
        <w:t>项目名称：</w:t>
      </w:r>
      <w:r>
        <w:rPr>
          <w:rFonts w:hint="default" w:ascii="Times New Roman" w:hAnsi="Times New Roman" w:eastAsia="仿宋_GB2312" w:cs="Times New Roman"/>
          <w:color w:val="auto"/>
          <w:sz w:val="36"/>
          <w:szCs w:val="36"/>
          <w:u w:val="single"/>
          <w:lang w:bidi="ar"/>
        </w:rPr>
        <w:t>江西高安大北农饲料有限公司新增锅炉项目</w:t>
      </w:r>
    </w:p>
    <w:p w14:paraId="49108CE2">
      <w:pPr>
        <w:adjustRightInd w:val="0"/>
        <w:snapToGrid w:val="0"/>
        <w:spacing w:line="288" w:lineRule="auto"/>
        <w:jc w:val="left"/>
        <w:rPr>
          <w:rFonts w:eastAsia="仿宋_GB2312"/>
          <w:sz w:val="36"/>
          <w:szCs w:val="36"/>
          <w:u w:val="single"/>
          <w:lang w:bidi="ar"/>
        </w:rPr>
      </w:pPr>
      <w:r>
        <w:rPr>
          <w:rFonts w:eastAsia="仿宋_GB2312"/>
          <w:sz w:val="36"/>
          <w:szCs w:val="36"/>
          <w:lang w:bidi="ar"/>
        </w:rPr>
        <w:t>建设单位（盖章）：</w:t>
      </w:r>
      <w:r>
        <w:rPr>
          <w:rFonts w:hint="default" w:ascii="Times New Roman" w:hAnsi="Times New Roman" w:eastAsia="仿宋_GB2312" w:cs="Times New Roman"/>
          <w:color w:val="auto"/>
          <w:sz w:val="36"/>
          <w:szCs w:val="36"/>
          <w:u w:val="single"/>
        </w:rPr>
        <w:t>江西高安大北农饲料有限公司</w:t>
      </w:r>
    </w:p>
    <w:p w14:paraId="51D7CE81">
      <w:pPr>
        <w:jc w:val="left"/>
      </w:pPr>
      <w:r>
        <w:rPr>
          <w:rFonts w:eastAsia="仿宋_GB2312"/>
          <w:sz w:val="36"/>
          <w:szCs w:val="36"/>
          <w:lang w:bidi="ar"/>
        </w:rPr>
        <w:t>编制日期：</w:t>
      </w:r>
      <w:r>
        <w:rPr>
          <w:rFonts w:eastAsia="仿宋_GB2312"/>
          <w:sz w:val="36"/>
          <w:szCs w:val="36"/>
          <w:u w:val="single"/>
          <w:lang w:bidi="ar"/>
        </w:rPr>
        <w:t xml:space="preserve">             2025年</w:t>
      </w:r>
      <w:r>
        <w:rPr>
          <w:rFonts w:hint="eastAsia" w:eastAsia="仿宋_GB2312"/>
          <w:sz w:val="36"/>
          <w:szCs w:val="36"/>
          <w:u w:val="single"/>
          <w:lang w:val="en-US" w:eastAsia="zh-CN" w:bidi="ar"/>
        </w:rPr>
        <w:t>10</w:t>
      </w:r>
      <w:r>
        <w:rPr>
          <w:rFonts w:eastAsia="仿宋_GB2312"/>
          <w:sz w:val="36"/>
          <w:szCs w:val="36"/>
          <w:u w:val="single"/>
          <w:lang w:bidi="ar"/>
        </w:rPr>
        <w:t xml:space="preserve">月               </w:t>
      </w:r>
    </w:p>
    <w:p w14:paraId="0A36C4F3">
      <w:pPr>
        <w:adjustRightInd w:val="0"/>
        <w:snapToGrid w:val="0"/>
        <w:jc w:val="center"/>
        <w:rPr>
          <w:rFonts w:eastAsia="仿宋_GB2312"/>
          <w:sz w:val="36"/>
          <w:szCs w:val="36"/>
        </w:rPr>
      </w:pPr>
    </w:p>
    <w:p w14:paraId="42E2AF93">
      <w:pPr>
        <w:adjustRightInd w:val="0"/>
        <w:snapToGrid w:val="0"/>
        <w:jc w:val="center"/>
        <w:rPr>
          <w:rFonts w:eastAsia="仿宋_GB2312"/>
          <w:sz w:val="36"/>
          <w:szCs w:val="36"/>
        </w:rPr>
      </w:pPr>
    </w:p>
    <w:p w14:paraId="43C7B546">
      <w:pPr>
        <w:adjustRightInd w:val="0"/>
        <w:snapToGrid w:val="0"/>
        <w:jc w:val="center"/>
        <w:rPr>
          <w:rFonts w:eastAsia="仿宋_GB2312"/>
          <w:sz w:val="36"/>
          <w:szCs w:val="36"/>
        </w:rPr>
      </w:pPr>
    </w:p>
    <w:p w14:paraId="61880001">
      <w:pPr>
        <w:adjustRightInd w:val="0"/>
        <w:snapToGrid w:val="0"/>
        <w:spacing w:line="288" w:lineRule="auto"/>
        <w:ind w:firstLine="1040"/>
        <w:rPr>
          <w:rFonts w:eastAsia="仿宋_GB2312"/>
          <w:sz w:val="36"/>
          <w:szCs w:val="36"/>
        </w:rPr>
      </w:pPr>
    </w:p>
    <w:p w14:paraId="23F44C08">
      <w:pPr>
        <w:pStyle w:val="40"/>
        <w:ind w:left="0" w:leftChars="0" w:firstLine="0" w:firstLineChars="0"/>
        <w:rPr>
          <w:rFonts w:eastAsia="仿宋_GB2312" w:cs="Times New Roman"/>
          <w:sz w:val="36"/>
          <w:szCs w:val="36"/>
        </w:rPr>
      </w:pPr>
    </w:p>
    <w:p w14:paraId="390D51F5">
      <w:pPr>
        <w:pStyle w:val="40"/>
        <w:ind w:left="67" w:firstLine="720"/>
        <w:rPr>
          <w:rFonts w:eastAsia="仿宋_GB2312" w:cs="Times New Roman"/>
          <w:sz w:val="36"/>
          <w:szCs w:val="36"/>
        </w:rPr>
      </w:pPr>
    </w:p>
    <w:bookmarkEnd w:id="0"/>
    <w:p w14:paraId="53FF2553">
      <w:pPr>
        <w:adjustRightInd w:val="0"/>
        <w:snapToGrid w:val="0"/>
        <w:spacing w:line="288" w:lineRule="auto"/>
        <w:jc w:val="center"/>
        <w:rPr>
          <w:rFonts w:eastAsia="楷体_GB2312"/>
          <w:sz w:val="36"/>
          <w:szCs w:val="36"/>
        </w:rPr>
        <w:sectPr>
          <w:footerReference r:id="rId3" w:type="default"/>
          <w:footerReference r:id="rId4" w:type="even"/>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r>
        <w:rPr>
          <w:rFonts w:eastAsia="楷体_GB2312"/>
          <w:sz w:val="36"/>
          <w:szCs w:val="36"/>
        </w:rPr>
        <w:t>中华人民共和国生态环境部制</w:t>
      </w:r>
    </w:p>
    <w:p w14:paraId="3CD5BA0B">
      <w:pPr>
        <w:pStyle w:val="23"/>
        <w:jc w:val="center"/>
      </w:pPr>
    </w:p>
    <w:p w14:paraId="012DF33B">
      <w:pPr>
        <w:pStyle w:val="23"/>
        <w:jc w:val="center"/>
      </w:pPr>
    </w:p>
    <w:p w14:paraId="72F641CE">
      <w:pPr>
        <w:pStyle w:val="23"/>
        <w:jc w:val="center"/>
      </w:pPr>
    </w:p>
    <w:p w14:paraId="25929553">
      <w:pPr>
        <w:pStyle w:val="23"/>
        <w:jc w:val="center"/>
      </w:pPr>
    </w:p>
    <w:p w14:paraId="0991E498">
      <w:pPr>
        <w:pStyle w:val="23"/>
        <w:jc w:val="center"/>
      </w:pPr>
    </w:p>
    <w:p w14:paraId="579F5AB1">
      <w:pPr>
        <w:pStyle w:val="23"/>
        <w:jc w:val="center"/>
      </w:pPr>
    </w:p>
    <w:p w14:paraId="484DDCFF">
      <w:pPr>
        <w:pStyle w:val="23"/>
        <w:jc w:val="center"/>
      </w:pPr>
    </w:p>
    <w:p w14:paraId="2223D398">
      <w:pPr>
        <w:pStyle w:val="23"/>
        <w:jc w:val="center"/>
      </w:pPr>
    </w:p>
    <w:p w14:paraId="718FA5B5">
      <w:pPr>
        <w:pStyle w:val="23"/>
        <w:jc w:val="center"/>
      </w:pPr>
    </w:p>
    <w:p w14:paraId="092AD448">
      <w:pPr>
        <w:pStyle w:val="23"/>
        <w:jc w:val="center"/>
      </w:pPr>
    </w:p>
    <w:p w14:paraId="1452B81A">
      <w:pPr>
        <w:pStyle w:val="23"/>
        <w:jc w:val="center"/>
      </w:pPr>
    </w:p>
    <w:p w14:paraId="494087F5">
      <w:pPr>
        <w:pStyle w:val="23"/>
        <w:jc w:val="center"/>
      </w:pPr>
    </w:p>
    <w:p w14:paraId="1792F7BC">
      <w:pPr>
        <w:pStyle w:val="23"/>
        <w:jc w:val="center"/>
      </w:pPr>
    </w:p>
    <w:p w14:paraId="0B8FB58B">
      <w:pPr>
        <w:pStyle w:val="23"/>
        <w:jc w:val="center"/>
      </w:pPr>
    </w:p>
    <w:p w14:paraId="5276E267">
      <w:pPr>
        <w:pStyle w:val="23"/>
        <w:jc w:val="center"/>
      </w:pPr>
    </w:p>
    <w:p w14:paraId="44BA7E33">
      <w:pPr>
        <w:pStyle w:val="23"/>
        <w:jc w:val="center"/>
      </w:pPr>
    </w:p>
    <w:p w14:paraId="05BC97D8">
      <w:pPr>
        <w:pStyle w:val="23"/>
        <w:jc w:val="center"/>
      </w:pPr>
    </w:p>
    <w:p w14:paraId="3F83C1E0">
      <w:pPr>
        <w:pStyle w:val="23"/>
        <w:jc w:val="center"/>
      </w:pPr>
    </w:p>
    <w:p w14:paraId="7DCF447B">
      <w:pPr>
        <w:pStyle w:val="23"/>
        <w:jc w:val="center"/>
      </w:pPr>
    </w:p>
    <w:p w14:paraId="3DF2AA8C">
      <w:pPr>
        <w:pStyle w:val="23"/>
        <w:jc w:val="center"/>
      </w:pPr>
    </w:p>
    <w:p w14:paraId="2BD13734">
      <w:pPr>
        <w:pStyle w:val="23"/>
        <w:jc w:val="center"/>
      </w:pPr>
    </w:p>
    <w:p w14:paraId="1F66D7BD">
      <w:pPr>
        <w:pStyle w:val="23"/>
        <w:jc w:val="center"/>
      </w:pPr>
    </w:p>
    <w:p w14:paraId="340CB86A">
      <w:pPr>
        <w:spacing w:line="360" w:lineRule="auto"/>
        <w:rPr>
          <w:color w:val="000000" w:themeColor="text1"/>
          <w:sz w:val="32"/>
          <w:szCs w:val="40"/>
          <w14:textFill>
            <w14:solidFill>
              <w14:schemeClr w14:val="tx1"/>
            </w14:solidFill>
          </w14:textFill>
        </w:rPr>
      </w:pPr>
      <w:r>
        <w:rPr>
          <w:rFonts w:hint="eastAsia"/>
          <w:b/>
          <w:bCs/>
          <w:color w:val="000000" w:themeColor="text1"/>
          <w:sz w:val="32"/>
          <w:szCs w:val="40"/>
          <w14:textFill>
            <w14:solidFill>
              <w14:schemeClr w14:val="tx1"/>
            </w14:solidFill>
          </w14:textFill>
        </w:rPr>
        <w:t>附图：</w:t>
      </w:r>
    </w:p>
    <w:p w14:paraId="22CD8AA5">
      <w:pPr>
        <w:spacing w:line="360" w:lineRule="auto"/>
        <w:jc w:val="left"/>
        <w:rPr>
          <w:color w:val="000000" w:themeColor="text1"/>
          <w:sz w:val="24"/>
          <w:szCs w:val="32"/>
          <w14:textFill>
            <w14:solidFill>
              <w14:schemeClr w14:val="tx1"/>
            </w14:solidFill>
          </w14:textFill>
        </w:rPr>
      </w:pPr>
      <w:r>
        <w:rPr>
          <w:rFonts w:hint="eastAsia"/>
          <w:color w:val="000000" w:themeColor="text1"/>
          <w:sz w:val="24"/>
          <w:szCs w:val="32"/>
          <w14:textFill>
            <w14:solidFill>
              <w14:schemeClr w14:val="tx1"/>
            </w14:solidFill>
          </w14:textFill>
        </w:rPr>
        <w:t>附图1  项目</w:t>
      </w:r>
      <w:r>
        <w:rPr>
          <w:rFonts w:hint="eastAsia"/>
          <w:color w:val="FF0000"/>
          <w:sz w:val="24"/>
          <w:szCs w:val="32"/>
          <w:lang w:val="en-US" w:eastAsia="zh-CN"/>
        </w:rPr>
        <w:t>所在</w:t>
      </w:r>
      <w:r>
        <w:rPr>
          <w:rFonts w:hint="eastAsia"/>
          <w:color w:val="000000" w:themeColor="text1"/>
          <w:sz w:val="24"/>
          <w:szCs w:val="32"/>
          <w14:textFill>
            <w14:solidFill>
              <w14:schemeClr w14:val="tx1"/>
            </w14:solidFill>
          </w14:textFill>
        </w:rPr>
        <w:t>地理位置图</w:t>
      </w:r>
      <w:r>
        <w:rPr>
          <w:rFonts w:hint="eastAsia"/>
          <w:color w:val="000000" w:themeColor="text1"/>
          <w:sz w:val="24"/>
          <w:szCs w:val="32"/>
          <w:lang w:val="en-US" w:eastAsia="zh-CN"/>
          <w14:textFill>
            <w14:solidFill>
              <w14:schemeClr w14:val="tx1"/>
            </w14:solidFill>
          </w14:textFill>
        </w:rPr>
        <w:t xml:space="preserve">               </w:t>
      </w:r>
      <w:r>
        <w:rPr>
          <w:rFonts w:hint="eastAsia"/>
          <w:color w:val="000000" w:themeColor="text1"/>
          <w:sz w:val="24"/>
          <w14:textFill>
            <w14:solidFill>
              <w14:schemeClr w14:val="tx1"/>
            </w14:solidFill>
          </w14:textFill>
        </w:rPr>
        <w:t>附图</w:t>
      </w:r>
      <w:r>
        <w:rPr>
          <w:rFonts w:hint="eastAsia"/>
          <w:color w:val="000000" w:themeColor="text1"/>
          <w:sz w:val="24"/>
          <w:lang w:val="en-US" w:eastAsia="zh-CN"/>
          <w14:textFill>
            <w14:solidFill>
              <w14:schemeClr w14:val="tx1"/>
            </w14:solidFill>
          </w14:textFill>
        </w:rPr>
        <w:t>9</w:t>
      </w:r>
      <w:r>
        <w:rPr>
          <w:rFonts w:hint="eastAsia"/>
          <w:color w:val="000000" w:themeColor="text1"/>
          <w:sz w:val="24"/>
          <w14:textFill>
            <w14:solidFill>
              <w14:schemeClr w14:val="tx1"/>
            </w14:solidFill>
          </w14:textFill>
        </w:rPr>
        <w:t xml:space="preserve">  </w:t>
      </w:r>
      <w:r>
        <w:rPr>
          <w:color w:val="000000" w:themeColor="text1"/>
          <w:sz w:val="24"/>
          <w14:textFill>
            <w14:solidFill>
              <w14:schemeClr w14:val="tx1"/>
            </w14:solidFill>
          </w14:textFill>
        </w:rPr>
        <w:t>项目</w:t>
      </w:r>
      <w:r>
        <w:rPr>
          <w:rFonts w:hint="eastAsia"/>
          <w:color w:val="000000" w:themeColor="text1"/>
          <w:sz w:val="24"/>
          <w14:textFill>
            <w14:solidFill>
              <w14:schemeClr w14:val="tx1"/>
            </w14:solidFill>
          </w14:textFill>
        </w:rPr>
        <w:t>分区</w:t>
      </w:r>
      <w:r>
        <w:rPr>
          <w:color w:val="000000" w:themeColor="text1"/>
          <w:sz w:val="24"/>
          <w14:textFill>
            <w14:solidFill>
              <w14:schemeClr w14:val="tx1"/>
            </w14:solidFill>
          </w14:textFill>
        </w:rPr>
        <w:t>防渗图</w:t>
      </w:r>
    </w:p>
    <w:p w14:paraId="56F969EE">
      <w:pPr>
        <w:spacing w:line="360" w:lineRule="auto"/>
        <w:rPr>
          <w:rFonts w:hint="default" w:eastAsia="宋体"/>
          <w:color w:val="000000" w:themeColor="text1"/>
          <w:sz w:val="24"/>
          <w:szCs w:val="32"/>
          <w:lang w:val="en-US" w:eastAsia="zh-CN"/>
          <w14:textFill>
            <w14:solidFill>
              <w14:schemeClr w14:val="tx1"/>
            </w14:solidFill>
          </w14:textFill>
        </w:rPr>
      </w:pPr>
      <w:r>
        <w:rPr>
          <w:rFonts w:hint="eastAsia"/>
          <w:color w:val="000000" w:themeColor="text1"/>
          <w:sz w:val="24"/>
          <w:szCs w:val="32"/>
          <w14:textFill>
            <w14:solidFill>
              <w14:schemeClr w14:val="tx1"/>
            </w14:solidFill>
          </w14:textFill>
        </w:rPr>
        <w:t>附图2  项目</w:t>
      </w:r>
      <w:r>
        <w:rPr>
          <w:rFonts w:hint="eastAsia"/>
          <w:color w:val="FF0000"/>
          <w:sz w:val="24"/>
          <w:szCs w:val="32"/>
          <w:lang w:val="en-US" w:eastAsia="zh-CN"/>
        </w:rPr>
        <w:t>全厂总</w:t>
      </w:r>
      <w:r>
        <w:rPr>
          <w:color w:val="000000" w:themeColor="text1"/>
          <w:sz w:val="24"/>
          <w14:textFill>
            <w14:solidFill>
              <w14:schemeClr w14:val="tx1"/>
            </w14:solidFill>
          </w14:textFill>
        </w:rPr>
        <w:t>平面布置图</w:t>
      </w:r>
      <w:r>
        <w:rPr>
          <w:rFonts w:hint="eastAsia"/>
          <w:color w:val="000000" w:themeColor="text1"/>
          <w:sz w:val="24"/>
          <w:lang w:val="en-US" w:eastAsia="zh-CN"/>
          <w14:textFill>
            <w14:solidFill>
              <w14:schemeClr w14:val="tx1"/>
            </w14:solidFill>
          </w14:textFill>
        </w:rPr>
        <w:t xml:space="preserve">             </w:t>
      </w:r>
      <w:r>
        <w:rPr>
          <w:rFonts w:hint="eastAsia"/>
          <w:color w:val="000000" w:themeColor="text1"/>
          <w:sz w:val="24"/>
          <w14:textFill>
            <w14:solidFill>
              <w14:schemeClr w14:val="tx1"/>
            </w14:solidFill>
          </w14:textFill>
        </w:rPr>
        <w:t>附图</w:t>
      </w:r>
      <w:r>
        <w:rPr>
          <w:rFonts w:hint="eastAsia"/>
          <w:color w:val="000000" w:themeColor="text1"/>
          <w:sz w:val="24"/>
          <w:lang w:val="en-US" w:eastAsia="zh-CN"/>
          <w14:textFill>
            <w14:solidFill>
              <w14:schemeClr w14:val="tx1"/>
            </w14:solidFill>
          </w14:textFill>
        </w:rPr>
        <w:t>10</w:t>
      </w:r>
      <w:r>
        <w:rPr>
          <w:rFonts w:hint="eastAsia"/>
          <w:color w:val="000000" w:themeColor="text1"/>
          <w:sz w:val="24"/>
          <w14:textFill>
            <w14:solidFill>
              <w14:schemeClr w14:val="tx1"/>
            </w14:solidFill>
          </w14:textFill>
        </w:rPr>
        <w:t xml:space="preserve"> </w:t>
      </w:r>
      <w:r>
        <w:rPr>
          <w:rFonts w:hint="eastAsia"/>
          <w:color w:val="000000" w:themeColor="text1"/>
          <w:sz w:val="24"/>
          <w:lang w:val="en-US" w:eastAsia="zh-CN"/>
          <w14:textFill>
            <w14:solidFill>
              <w14:schemeClr w14:val="tx1"/>
            </w14:solidFill>
          </w14:textFill>
        </w:rPr>
        <w:t xml:space="preserve"> </w:t>
      </w:r>
      <w:r>
        <w:rPr>
          <w:rFonts w:hint="eastAsia" w:ascii="Times New Roman" w:hAnsi="Times New Roman" w:eastAsia="新宋体" w:cs="Times New Roman"/>
          <w:b w:val="0"/>
          <w:bCs w:val="0"/>
          <w:color w:val="FF0000"/>
          <w:sz w:val="24"/>
          <w:highlight w:val="none"/>
          <w:lang w:val="en-US" w:eastAsia="zh-CN"/>
        </w:rPr>
        <w:t>项目与依托设施位置关系图</w:t>
      </w:r>
    </w:p>
    <w:p w14:paraId="7E8A7015">
      <w:pPr>
        <w:spacing w:line="360" w:lineRule="auto"/>
        <w:rPr>
          <w:rFonts w:hint="default" w:eastAsia="宋体"/>
          <w:color w:val="000000" w:themeColor="text1"/>
          <w:sz w:val="24"/>
          <w:szCs w:val="32"/>
          <w:lang w:val="en-US" w:eastAsia="zh-CN"/>
          <w14:textFill>
            <w14:solidFill>
              <w14:schemeClr w14:val="tx1"/>
            </w14:solidFill>
          </w14:textFill>
        </w:rPr>
      </w:pPr>
      <w:r>
        <w:rPr>
          <w:rFonts w:hint="eastAsia"/>
          <w:color w:val="000000" w:themeColor="text1"/>
          <w:sz w:val="24"/>
          <w:szCs w:val="32"/>
          <w14:textFill>
            <w14:solidFill>
              <w14:schemeClr w14:val="tx1"/>
            </w14:solidFill>
          </w14:textFill>
        </w:rPr>
        <w:t>附图</w:t>
      </w:r>
      <w:r>
        <w:rPr>
          <w:rFonts w:hint="eastAsia"/>
          <w:color w:val="000000" w:themeColor="text1"/>
          <w:sz w:val="24"/>
          <w:szCs w:val="32"/>
          <w:lang w:val="en-US" w:eastAsia="zh-CN"/>
          <w14:textFill>
            <w14:solidFill>
              <w14:schemeClr w14:val="tx1"/>
            </w14:solidFill>
          </w14:textFill>
        </w:rPr>
        <w:t>3</w:t>
      </w:r>
      <w:r>
        <w:rPr>
          <w:rFonts w:hint="eastAsia"/>
          <w:color w:val="000000" w:themeColor="text1"/>
          <w:sz w:val="24"/>
          <w:szCs w:val="32"/>
          <w14:textFill>
            <w14:solidFill>
              <w14:schemeClr w14:val="tx1"/>
            </w14:solidFill>
          </w14:textFill>
        </w:rPr>
        <w:t xml:space="preserve">  </w:t>
      </w:r>
      <w:r>
        <w:rPr>
          <w:rFonts w:hint="eastAsia"/>
          <w:color w:val="000000" w:themeColor="text1"/>
          <w:sz w:val="24"/>
          <w:szCs w:val="32"/>
          <w:lang w:val="en-US" w:eastAsia="zh-CN"/>
          <w14:textFill>
            <w14:solidFill>
              <w14:schemeClr w14:val="tx1"/>
            </w14:solidFill>
          </w14:textFill>
        </w:rPr>
        <w:t xml:space="preserve">锅炉房平面布置图                 </w:t>
      </w:r>
      <w:r>
        <w:rPr>
          <w:rFonts w:hint="eastAsia" w:eastAsia="新宋体" w:cs="Times New Roman"/>
          <w:b w:val="0"/>
          <w:bCs w:val="0"/>
          <w:color w:val="000000" w:themeColor="text1"/>
          <w:sz w:val="24"/>
          <w:highlight w:val="none"/>
          <w:lang w:val="en-US" w:eastAsia="zh-CN"/>
          <w14:textFill>
            <w14:solidFill>
              <w14:schemeClr w14:val="tx1"/>
            </w14:solidFill>
          </w14:textFill>
        </w:rPr>
        <w:t xml:space="preserve">附图11 </w:t>
      </w:r>
      <w:r>
        <w:rPr>
          <w:rFonts w:hint="eastAsia" w:ascii="Times New Roman" w:hAnsi="Times New Roman" w:cs="Times New Roman"/>
          <w:b w:val="0"/>
          <w:bCs w:val="0"/>
          <w:kern w:val="2"/>
          <w:sz w:val="24"/>
          <w:szCs w:val="24"/>
          <w:highlight w:val="none"/>
          <w:lang w:val="en-US" w:eastAsia="zh-CN" w:bidi="ar-SA"/>
        </w:rPr>
        <w:t>工程师现场勘探</w:t>
      </w:r>
      <w:r>
        <w:rPr>
          <w:rFonts w:hint="default" w:ascii="Times New Roman" w:hAnsi="Times New Roman" w:cs="Times New Roman"/>
          <w:b w:val="0"/>
          <w:bCs w:val="0"/>
          <w:kern w:val="2"/>
          <w:sz w:val="24"/>
          <w:szCs w:val="24"/>
          <w:highlight w:val="none"/>
          <w:lang w:val="en-US" w:eastAsia="zh-CN" w:bidi="ar-SA"/>
        </w:rPr>
        <w:t>图</w:t>
      </w:r>
    </w:p>
    <w:p w14:paraId="451D2C0C">
      <w:pPr>
        <w:spacing w:line="360" w:lineRule="auto"/>
        <w:rPr>
          <w:rFonts w:hint="default" w:eastAsia="宋体"/>
          <w:color w:val="000000" w:themeColor="text1"/>
          <w:sz w:val="24"/>
          <w:szCs w:val="32"/>
          <w:lang w:val="en-US" w:eastAsia="zh-CN"/>
          <w14:textFill>
            <w14:solidFill>
              <w14:schemeClr w14:val="tx1"/>
            </w14:solidFill>
          </w14:textFill>
        </w:rPr>
      </w:pPr>
      <w:r>
        <w:rPr>
          <w:rFonts w:hint="eastAsia"/>
          <w:color w:val="000000" w:themeColor="text1"/>
          <w:sz w:val="24"/>
          <w:szCs w:val="32"/>
          <w14:textFill>
            <w14:solidFill>
              <w14:schemeClr w14:val="tx1"/>
            </w14:solidFill>
          </w14:textFill>
        </w:rPr>
        <w:t>附图</w:t>
      </w:r>
      <w:r>
        <w:rPr>
          <w:rFonts w:hint="eastAsia"/>
          <w:color w:val="000000" w:themeColor="text1"/>
          <w:sz w:val="24"/>
          <w:szCs w:val="32"/>
          <w:lang w:val="en-US" w:eastAsia="zh-CN"/>
          <w14:textFill>
            <w14:solidFill>
              <w14:schemeClr w14:val="tx1"/>
            </w14:solidFill>
          </w14:textFill>
        </w:rPr>
        <w:t>4</w:t>
      </w:r>
      <w:r>
        <w:rPr>
          <w:rFonts w:hint="eastAsia"/>
          <w:color w:val="000000" w:themeColor="text1"/>
          <w:sz w:val="24"/>
          <w:szCs w:val="32"/>
          <w14:textFill>
            <w14:solidFill>
              <w14:schemeClr w14:val="tx1"/>
            </w14:solidFill>
          </w14:textFill>
        </w:rPr>
        <w:t xml:space="preserve">  </w:t>
      </w:r>
      <w:r>
        <w:rPr>
          <w:rFonts w:hint="eastAsia"/>
          <w:color w:val="000000" w:themeColor="text1"/>
          <w:sz w:val="24"/>
          <w14:textFill>
            <w14:solidFill>
              <w14:schemeClr w14:val="tx1"/>
            </w14:solidFill>
          </w14:textFill>
        </w:rPr>
        <w:t>项目周边敏感点分布图</w:t>
      </w:r>
      <w:r>
        <w:rPr>
          <w:rFonts w:hint="eastAsia"/>
          <w:color w:val="000000" w:themeColor="text1"/>
          <w:sz w:val="24"/>
          <w:lang w:val="en-US" w:eastAsia="zh-CN"/>
          <w14:textFill>
            <w14:solidFill>
              <w14:schemeClr w14:val="tx1"/>
            </w14:solidFill>
          </w14:textFill>
        </w:rPr>
        <w:t xml:space="preserve">             </w:t>
      </w:r>
      <w:r>
        <w:rPr>
          <w:rFonts w:hint="eastAsia" w:ascii="Times New Roman" w:hAnsi="Times New Roman" w:eastAsia="宋体" w:cs="Times New Roman"/>
          <w:b w:val="0"/>
          <w:bCs w:val="0"/>
          <w:kern w:val="2"/>
          <w:sz w:val="24"/>
          <w:szCs w:val="24"/>
          <w:highlight w:val="none"/>
          <w:lang w:val="en-US" w:eastAsia="zh-CN" w:bidi="ar-SA"/>
        </w:rPr>
        <w:t>附图12 项目与</w:t>
      </w:r>
      <w:r>
        <w:rPr>
          <w:rFonts w:hint="eastAsia" w:ascii="Times New Roman" w:hAnsi="Times New Roman" w:cs="Times New Roman"/>
          <w:b w:val="0"/>
          <w:bCs w:val="0"/>
          <w:kern w:val="2"/>
          <w:sz w:val="24"/>
          <w:szCs w:val="24"/>
          <w:highlight w:val="none"/>
          <w:lang w:val="en-US" w:eastAsia="zh-CN" w:bidi="ar-SA"/>
        </w:rPr>
        <w:t>高安市三区三线关系图</w:t>
      </w:r>
    </w:p>
    <w:p w14:paraId="3ED2AF8E">
      <w:pPr>
        <w:spacing w:line="360" w:lineRule="auto"/>
        <w:rPr>
          <w:rFonts w:hint="default"/>
          <w:color w:val="000000" w:themeColor="text1"/>
          <w:sz w:val="24"/>
          <w:szCs w:val="32"/>
          <w:lang w:val="en-US"/>
          <w14:textFill>
            <w14:solidFill>
              <w14:schemeClr w14:val="tx1"/>
            </w14:solidFill>
          </w14:textFill>
        </w:rPr>
      </w:pPr>
      <w:r>
        <w:rPr>
          <w:rFonts w:hint="eastAsia"/>
          <w:color w:val="000000" w:themeColor="text1"/>
          <w:sz w:val="24"/>
          <w:szCs w:val="32"/>
          <w14:textFill>
            <w14:solidFill>
              <w14:schemeClr w14:val="tx1"/>
            </w14:solidFill>
          </w14:textFill>
        </w:rPr>
        <w:t>附图</w:t>
      </w:r>
      <w:r>
        <w:rPr>
          <w:rFonts w:hint="eastAsia"/>
          <w:color w:val="000000" w:themeColor="text1"/>
          <w:sz w:val="24"/>
          <w:szCs w:val="32"/>
          <w:lang w:val="en-US" w:eastAsia="zh-CN"/>
          <w14:textFill>
            <w14:solidFill>
              <w14:schemeClr w14:val="tx1"/>
            </w14:solidFill>
          </w14:textFill>
        </w:rPr>
        <w:t>5</w:t>
      </w:r>
      <w:r>
        <w:rPr>
          <w:rFonts w:hint="eastAsia"/>
          <w:color w:val="000000" w:themeColor="text1"/>
          <w:sz w:val="24"/>
          <w:szCs w:val="32"/>
          <w14:textFill>
            <w14:solidFill>
              <w14:schemeClr w14:val="tx1"/>
            </w14:solidFill>
          </w14:textFill>
        </w:rPr>
        <w:t xml:space="preserve">  </w:t>
      </w:r>
      <w:r>
        <w:rPr>
          <w:rFonts w:eastAsia="新宋体"/>
          <w:color w:val="000000" w:themeColor="text1"/>
          <w:sz w:val="24"/>
          <w14:textFill>
            <w14:solidFill>
              <w14:schemeClr w14:val="tx1"/>
            </w14:solidFill>
          </w14:textFill>
        </w:rPr>
        <w:t>项目所在地生态红线图</w:t>
      </w:r>
      <w:r>
        <w:rPr>
          <w:rFonts w:hint="eastAsia" w:eastAsia="新宋体"/>
          <w:color w:val="000000" w:themeColor="text1"/>
          <w:sz w:val="24"/>
          <w:lang w:val="en-US" w:eastAsia="zh-CN"/>
          <w14:textFill>
            <w14:solidFill>
              <w14:schemeClr w14:val="tx1"/>
            </w14:solidFill>
          </w14:textFill>
        </w:rPr>
        <w:t xml:space="preserve">             </w:t>
      </w:r>
      <w:r>
        <w:rPr>
          <w:rFonts w:hint="eastAsia" w:ascii="Times New Roman" w:hAnsi="Times New Roman" w:eastAsia="宋体" w:cs="Times New Roman"/>
          <w:b w:val="0"/>
          <w:bCs w:val="0"/>
          <w:kern w:val="2"/>
          <w:sz w:val="24"/>
          <w:szCs w:val="24"/>
          <w:highlight w:val="none"/>
          <w:lang w:val="en-US" w:eastAsia="zh-CN" w:bidi="ar-SA"/>
        </w:rPr>
        <w:t xml:space="preserve">附图13 </w:t>
      </w:r>
      <w:r>
        <w:rPr>
          <w:rFonts w:hint="eastAsia" w:ascii="宋体" w:hAnsi="宋体" w:eastAsia="宋体" w:cs="Times New Roman"/>
          <w:b w:val="0"/>
          <w:bCs w:val="0"/>
          <w:color w:val="auto"/>
          <w:kern w:val="2"/>
          <w:sz w:val="24"/>
          <w:szCs w:val="22"/>
          <w:lang w:val="en-US" w:eastAsia="zh-CN" w:bidi="ar-SA"/>
        </w:rPr>
        <w:t>项目厂址</w:t>
      </w:r>
      <w:r>
        <w:rPr>
          <w:rFonts w:hint="eastAsia" w:ascii="宋体" w:hAnsi="宋体" w:eastAsia="宋体" w:cs="宋体"/>
          <w:b w:val="0"/>
          <w:bCs w:val="0"/>
          <w:color w:val="auto"/>
          <w:sz w:val="24"/>
          <w:szCs w:val="24"/>
          <w:highlight w:val="none"/>
          <w:lang w:val="en-US" w:eastAsia="zh-CN"/>
        </w:rPr>
        <w:t>周边企业分布图</w:t>
      </w:r>
    </w:p>
    <w:p w14:paraId="44E20674">
      <w:pPr>
        <w:spacing w:line="360" w:lineRule="auto"/>
        <w:rPr>
          <w:rFonts w:hint="default" w:ascii="Times New Roman" w:hAnsi="Times New Roman" w:eastAsia="新宋体" w:cs="Times New Roman"/>
          <w:b/>
          <w:bCs/>
          <w:color w:val="000000" w:themeColor="text1"/>
          <w:sz w:val="24"/>
          <w:highlight w:val="none"/>
          <w:lang w:val="en-US" w:eastAsia="zh-CN"/>
          <w14:textFill>
            <w14:solidFill>
              <w14:schemeClr w14:val="tx1"/>
            </w14:solidFill>
          </w14:textFill>
        </w:rPr>
      </w:pPr>
      <w:r>
        <w:rPr>
          <w:rFonts w:hint="eastAsia"/>
          <w:color w:val="000000" w:themeColor="text1"/>
          <w:sz w:val="24"/>
          <w:szCs w:val="32"/>
          <w14:textFill>
            <w14:solidFill>
              <w14:schemeClr w14:val="tx1"/>
            </w14:solidFill>
          </w14:textFill>
        </w:rPr>
        <w:t>附图</w:t>
      </w:r>
      <w:r>
        <w:rPr>
          <w:rFonts w:hint="eastAsia"/>
          <w:color w:val="000000" w:themeColor="text1"/>
          <w:sz w:val="24"/>
          <w:szCs w:val="32"/>
          <w:lang w:val="en-US" w:eastAsia="zh-CN"/>
          <w14:textFill>
            <w14:solidFill>
              <w14:schemeClr w14:val="tx1"/>
            </w14:solidFill>
          </w14:textFill>
        </w:rPr>
        <w:t>6</w:t>
      </w:r>
      <w:r>
        <w:rPr>
          <w:rFonts w:hint="eastAsia"/>
          <w:color w:val="000000" w:themeColor="text1"/>
          <w:sz w:val="24"/>
          <w:szCs w:val="32"/>
          <w14:textFill>
            <w14:solidFill>
              <w14:schemeClr w14:val="tx1"/>
            </w14:solidFill>
          </w14:textFill>
        </w:rPr>
        <w:t xml:space="preserve">  </w:t>
      </w:r>
      <w:r>
        <w:rPr>
          <w:rFonts w:hint="eastAsia"/>
          <w:color w:val="000000" w:themeColor="text1"/>
          <w:sz w:val="24"/>
          <w:szCs w:val="32"/>
          <w:lang w:val="en-US" w:eastAsia="zh-CN"/>
          <w14:textFill>
            <w14:solidFill>
              <w14:schemeClr w14:val="tx1"/>
            </w14:solidFill>
          </w14:textFill>
        </w:rPr>
        <w:t>高安</w:t>
      </w:r>
      <w:r>
        <w:rPr>
          <w:rFonts w:hint="eastAsia" w:ascii="Times New Roman" w:hAnsi="Times New Roman" w:eastAsia="新宋体" w:cs="Times New Roman"/>
          <w:b w:val="0"/>
          <w:bCs w:val="0"/>
          <w:color w:val="000000" w:themeColor="text1"/>
          <w:sz w:val="24"/>
          <w:highlight w:val="none"/>
          <w:lang w:val="en-US" w:eastAsia="zh-CN"/>
          <w14:textFill>
            <w14:solidFill>
              <w14:schemeClr w14:val="tx1"/>
            </w14:solidFill>
          </w14:textFill>
        </w:rPr>
        <w:t>市</w:t>
      </w:r>
      <w:r>
        <w:rPr>
          <w:rFonts w:hint="default" w:ascii="Times New Roman" w:hAnsi="Times New Roman" w:eastAsia="新宋体" w:cs="Times New Roman"/>
          <w:b w:val="0"/>
          <w:bCs w:val="0"/>
          <w:color w:val="000000" w:themeColor="text1"/>
          <w:sz w:val="24"/>
          <w:highlight w:val="none"/>
          <w:lang w:val="en-US" w:eastAsia="zh-CN"/>
          <w14:textFill>
            <w14:solidFill>
              <w14:schemeClr w14:val="tx1"/>
            </w14:solidFill>
          </w14:textFill>
        </w:rPr>
        <w:t>环境管控单元分布图</w:t>
      </w:r>
      <w:r>
        <w:rPr>
          <w:rFonts w:hint="eastAsia" w:eastAsia="新宋体" w:cs="Times New Roman"/>
          <w:b w:val="0"/>
          <w:bCs w:val="0"/>
          <w:color w:val="000000" w:themeColor="text1"/>
          <w:sz w:val="24"/>
          <w:highlight w:val="none"/>
          <w:lang w:val="en-US" w:eastAsia="zh-CN"/>
          <w14:textFill>
            <w14:solidFill>
              <w14:schemeClr w14:val="tx1"/>
            </w14:solidFill>
          </w14:textFill>
        </w:rPr>
        <w:t xml:space="preserve">         </w:t>
      </w:r>
      <w:r>
        <w:rPr>
          <w:rFonts w:hint="default" w:ascii="Times New Roman" w:hAnsi="Times New Roman" w:eastAsia="新宋体" w:cs="Times New Roman"/>
          <w:b w:val="0"/>
          <w:bCs w:val="0"/>
          <w:sz w:val="24"/>
          <w:highlight w:val="none"/>
          <w:lang w:val="en-US" w:eastAsia="zh-CN"/>
        </w:rPr>
        <w:t>附图</w:t>
      </w:r>
      <w:r>
        <w:rPr>
          <w:rFonts w:hint="eastAsia" w:ascii="Times New Roman" w:hAnsi="Times New Roman" w:eastAsia="新宋体" w:cs="Times New Roman"/>
          <w:b w:val="0"/>
          <w:bCs w:val="0"/>
          <w:sz w:val="24"/>
          <w:highlight w:val="none"/>
          <w:lang w:val="en-US" w:eastAsia="zh-CN"/>
        </w:rPr>
        <w:t>14</w:t>
      </w:r>
      <w:r>
        <w:rPr>
          <w:rFonts w:hint="eastAsia" w:ascii="宋体" w:hAnsi="宋体" w:eastAsia="宋体" w:cs="Times New Roman"/>
          <w:b w:val="0"/>
          <w:bCs w:val="0"/>
          <w:color w:val="auto"/>
          <w:kern w:val="2"/>
          <w:sz w:val="24"/>
          <w:szCs w:val="22"/>
          <w:lang w:val="en-US" w:eastAsia="zh-CN" w:bidi="ar-SA"/>
        </w:rPr>
        <w:t>园区规划图</w:t>
      </w:r>
    </w:p>
    <w:p w14:paraId="3F3E287E">
      <w:pPr>
        <w:pStyle w:val="2"/>
        <w:rPr>
          <w:rFonts w:hint="eastAsia" w:eastAsia="宋体"/>
          <w:color w:val="000000" w:themeColor="text1"/>
          <w:sz w:val="24"/>
          <w:lang w:val="en-US" w:eastAsia="zh-CN"/>
          <w14:textFill>
            <w14:solidFill>
              <w14:schemeClr w14:val="tx1"/>
            </w14:solidFill>
          </w14:textFill>
        </w:rPr>
      </w:pPr>
      <w:r>
        <w:rPr>
          <w:rFonts w:hint="eastAsia"/>
          <w:color w:val="000000" w:themeColor="text1"/>
          <w:sz w:val="24"/>
          <w14:textFill>
            <w14:solidFill>
              <w14:schemeClr w14:val="tx1"/>
            </w14:solidFill>
          </w14:textFill>
        </w:rPr>
        <w:t>附图</w:t>
      </w:r>
      <w:r>
        <w:rPr>
          <w:rFonts w:hint="eastAsia"/>
          <w:color w:val="000000" w:themeColor="text1"/>
          <w:sz w:val="24"/>
          <w:lang w:val="en-US" w:eastAsia="zh-CN"/>
          <w14:textFill>
            <w14:solidFill>
              <w14:schemeClr w14:val="tx1"/>
            </w14:solidFill>
          </w14:textFill>
        </w:rPr>
        <w:t>7</w:t>
      </w:r>
      <w:r>
        <w:rPr>
          <w:rFonts w:hint="eastAsia"/>
          <w:color w:val="000000" w:themeColor="text1"/>
          <w:sz w:val="24"/>
          <w14:textFill>
            <w14:solidFill>
              <w14:schemeClr w14:val="tx1"/>
            </w14:solidFill>
          </w14:textFill>
        </w:rPr>
        <w:t xml:space="preserve">  江西省环境管控单元分布图</w:t>
      </w:r>
      <w:r>
        <w:rPr>
          <w:rFonts w:hint="eastAsia"/>
          <w:color w:val="000000" w:themeColor="text1"/>
          <w:sz w:val="24"/>
          <w:lang w:val="en-US" w:eastAsia="zh-CN"/>
          <w14:textFill>
            <w14:solidFill>
              <w14:schemeClr w14:val="tx1"/>
            </w14:solidFill>
          </w14:textFill>
        </w:rPr>
        <w:t xml:space="preserve">         </w:t>
      </w:r>
      <w:r>
        <w:rPr>
          <w:rFonts w:hint="default" w:ascii="Times New Roman" w:hAnsi="Times New Roman" w:eastAsia="新宋体" w:cs="Times New Roman"/>
          <w:b w:val="0"/>
          <w:bCs w:val="0"/>
          <w:sz w:val="24"/>
          <w:highlight w:val="none"/>
          <w:lang w:val="en-US" w:eastAsia="zh-CN"/>
        </w:rPr>
        <w:t>附图</w:t>
      </w:r>
      <w:r>
        <w:rPr>
          <w:rFonts w:hint="eastAsia" w:ascii="Times New Roman" w:hAnsi="Times New Roman" w:eastAsia="新宋体" w:cs="Times New Roman"/>
          <w:b w:val="0"/>
          <w:bCs w:val="0"/>
          <w:sz w:val="24"/>
          <w:highlight w:val="none"/>
          <w:lang w:val="en-US" w:eastAsia="zh-CN"/>
        </w:rPr>
        <w:t>15</w:t>
      </w:r>
      <w:r>
        <w:rPr>
          <w:rFonts w:hint="eastAsia" w:hAnsi="宋体" w:cs="Times New Roman"/>
          <w:b w:val="0"/>
          <w:bCs w:val="0"/>
          <w:color w:val="auto"/>
          <w:kern w:val="2"/>
          <w:sz w:val="24"/>
          <w:szCs w:val="22"/>
          <w:lang w:val="en-US" w:eastAsia="zh-CN" w:bidi="ar-SA"/>
        </w:rPr>
        <w:t>所依托设施现场图</w:t>
      </w:r>
    </w:p>
    <w:p w14:paraId="07DB02C3">
      <w:pPr>
        <w:pStyle w:val="2"/>
        <w:rPr>
          <w:rFonts w:hint="eastAsia" w:eastAsia="宋体"/>
          <w:color w:val="000000" w:themeColor="text1"/>
          <w:sz w:val="24"/>
          <w:lang w:val="en-US" w:eastAsia="zh-CN"/>
          <w14:textFill>
            <w14:solidFill>
              <w14:schemeClr w14:val="tx1"/>
            </w14:solidFill>
          </w14:textFill>
        </w:rPr>
      </w:pPr>
      <w:r>
        <w:rPr>
          <w:rFonts w:hint="eastAsia"/>
          <w:color w:val="000000" w:themeColor="text1"/>
          <w:sz w:val="24"/>
          <w14:textFill>
            <w14:solidFill>
              <w14:schemeClr w14:val="tx1"/>
            </w14:solidFill>
          </w14:textFill>
        </w:rPr>
        <w:t>附图</w:t>
      </w:r>
      <w:r>
        <w:rPr>
          <w:rFonts w:hint="eastAsia"/>
          <w:color w:val="000000" w:themeColor="text1"/>
          <w:sz w:val="24"/>
          <w:lang w:val="en-US" w:eastAsia="zh-CN"/>
          <w14:textFill>
            <w14:solidFill>
              <w14:schemeClr w14:val="tx1"/>
            </w14:solidFill>
          </w14:textFill>
        </w:rPr>
        <w:t>8</w:t>
      </w:r>
      <w:r>
        <w:rPr>
          <w:rFonts w:hint="eastAsia"/>
          <w:color w:val="000000" w:themeColor="text1"/>
          <w:sz w:val="24"/>
          <w14:textFill>
            <w14:solidFill>
              <w14:schemeClr w14:val="tx1"/>
            </w14:solidFill>
          </w14:textFill>
        </w:rPr>
        <w:t xml:space="preserve">  项目所在地水系图</w:t>
      </w:r>
      <w:r>
        <w:rPr>
          <w:rFonts w:hint="eastAsia"/>
          <w:color w:val="000000" w:themeColor="text1"/>
          <w:sz w:val="24"/>
          <w:lang w:val="en-US" w:eastAsia="zh-CN"/>
          <w14:textFill>
            <w14:solidFill>
              <w14:schemeClr w14:val="tx1"/>
            </w14:solidFill>
          </w14:textFill>
        </w:rPr>
        <w:t xml:space="preserve">                </w:t>
      </w:r>
    </w:p>
    <w:p w14:paraId="660D0700">
      <w:pPr>
        <w:spacing w:line="360" w:lineRule="auto"/>
        <w:rPr>
          <w:b/>
          <w:bCs/>
          <w:color w:val="000000" w:themeColor="text1"/>
          <w:sz w:val="32"/>
          <w:szCs w:val="40"/>
          <w14:textFill>
            <w14:solidFill>
              <w14:schemeClr w14:val="tx1"/>
            </w14:solidFill>
          </w14:textFill>
        </w:rPr>
      </w:pPr>
      <w:r>
        <w:rPr>
          <w:rFonts w:hint="eastAsia"/>
          <w:b/>
          <w:bCs/>
          <w:color w:val="000000" w:themeColor="text1"/>
          <w:sz w:val="32"/>
          <w:szCs w:val="40"/>
          <w14:textFill>
            <w14:solidFill>
              <w14:schemeClr w14:val="tx1"/>
            </w14:solidFill>
          </w14:textFill>
        </w:rPr>
        <w:t>附件：</w:t>
      </w:r>
    </w:p>
    <w:p w14:paraId="7C9E6622">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00" w:themeColor="text1"/>
          <w:sz w:val="24"/>
          <w:szCs w:val="32"/>
          <w14:textFill>
            <w14:solidFill>
              <w14:schemeClr w14:val="tx1"/>
            </w14:solidFill>
          </w14:textFill>
        </w:rPr>
      </w:pPr>
      <w:r>
        <w:rPr>
          <w:rFonts w:hint="eastAsia"/>
          <w:color w:val="000000" w:themeColor="text1"/>
          <w:sz w:val="24"/>
          <w:szCs w:val="32"/>
          <w14:textFill>
            <w14:solidFill>
              <w14:schemeClr w14:val="tx1"/>
            </w14:solidFill>
          </w14:textFill>
        </w:rPr>
        <w:t>附件1 委托书</w:t>
      </w:r>
      <w:r>
        <w:rPr>
          <w:rFonts w:hint="eastAsia"/>
          <w:color w:val="000000" w:themeColor="text1"/>
          <w:sz w:val="24"/>
          <w:szCs w:val="32"/>
          <w:lang w:val="en-US" w:eastAsia="zh-CN"/>
          <w14:textFill>
            <w14:solidFill>
              <w14:schemeClr w14:val="tx1"/>
            </w14:solidFill>
          </w14:textFill>
        </w:rPr>
        <w:t xml:space="preserve">                            附件9</w:t>
      </w:r>
      <w:r>
        <w:rPr>
          <w:rFonts w:hint="default" w:ascii="Times New Roman" w:hAnsi="Times New Roman" w:cs="Times New Roman"/>
          <w:color w:val="000000" w:themeColor="text1"/>
          <w:sz w:val="24"/>
          <w:szCs w:val="32"/>
          <w:lang w:val="en-US" w:eastAsia="zh-CN"/>
          <w14:textFill>
            <w14:solidFill>
              <w14:schemeClr w14:val="tx1"/>
            </w14:solidFill>
          </w14:textFill>
        </w:rPr>
        <w:t xml:space="preserve"> 排污许可登记回执</w:t>
      </w:r>
    </w:p>
    <w:p w14:paraId="3BB54408">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cs="Times New Roman"/>
          <w:color w:val="000000" w:themeColor="text1"/>
          <w:sz w:val="24"/>
          <w:szCs w:val="32"/>
          <w14:textFill>
            <w14:solidFill>
              <w14:schemeClr w14:val="tx1"/>
            </w14:solidFill>
          </w14:textFill>
        </w:rPr>
        <w:t>附件2 承诺书</w:t>
      </w:r>
      <w:r>
        <w:rPr>
          <w:rFonts w:hint="default" w:ascii="Times New Roman" w:hAnsi="Times New Roman" w:cs="Times New Roman"/>
          <w:color w:val="000000" w:themeColor="text1"/>
          <w:sz w:val="24"/>
          <w:szCs w:val="32"/>
          <w:lang w:val="en-US" w:eastAsia="zh-CN"/>
          <w14:textFill>
            <w14:solidFill>
              <w14:schemeClr w14:val="tx1"/>
            </w14:solidFill>
          </w14:textFill>
        </w:rPr>
        <w:t xml:space="preserve">                      </w:t>
      </w:r>
      <w:r>
        <w:rPr>
          <w:rFonts w:hint="eastAsia" w:ascii="Times New Roman" w:hAnsi="Times New Roman" w:cs="Times New Roman"/>
          <w:color w:val="000000" w:themeColor="text1"/>
          <w:sz w:val="24"/>
          <w:szCs w:val="32"/>
          <w:lang w:val="en-US" w:eastAsia="zh-CN"/>
          <w14:textFill>
            <w14:solidFill>
              <w14:schemeClr w14:val="tx1"/>
            </w14:solidFill>
          </w14:textFill>
        </w:rPr>
        <w:t xml:space="preserve">     </w:t>
      </w:r>
      <w:r>
        <w:rPr>
          <w:rFonts w:hint="default" w:ascii="Times New Roman" w:hAnsi="Times New Roman" w:cs="Times New Roman"/>
          <w:color w:val="000000" w:themeColor="text1"/>
          <w:sz w:val="24"/>
          <w:szCs w:val="32"/>
          <w:lang w:val="en-US" w:eastAsia="zh-CN"/>
          <w14:textFill>
            <w14:solidFill>
              <w14:schemeClr w14:val="tx1"/>
            </w14:solidFill>
          </w14:textFill>
        </w:rPr>
        <w:t xml:space="preserve"> </w:t>
      </w:r>
      <w:r>
        <w:rPr>
          <w:rFonts w:hint="eastAsia"/>
          <w:color w:val="000000" w:themeColor="text1"/>
          <w:sz w:val="24"/>
          <w:szCs w:val="32"/>
          <w:lang w:val="en-US" w:eastAsia="zh-CN"/>
          <w14:textFill>
            <w14:solidFill>
              <w14:schemeClr w14:val="tx1"/>
            </w14:solidFill>
          </w14:textFill>
        </w:rPr>
        <w:t>附件</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1</w:t>
      </w:r>
      <w:r>
        <w:rPr>
          <w:rFonts w:hint="eastAsia" w:cs="Times New Roman"/>
          <w:color w:val="000000" w:themeColor="text1"/>
          <w:sz w:val="24"/>
          <w:szCs w:val="32"/>
          <w:lang w:val="en-US" w:eastAsia="zh-CN"/>
          <w14:textFill>
            <w14:solidFill>
              <w14:schemeClr w14:val="tx1"/>
            </w14:solidFill>
          </w14:textFill>
        </w:rPr>
        <w:t>0</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 xml:space="preserve"> 园区规划环评审查意见</w:t>
      </w:r>
    </w:p>
    <w:p w14:paraId="43867B83">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00" w:themeColor="text1"/>
          <w:sz w:val="24"/>
          <w:szCs w:val="32"/>
          <w14:textFill>
            <w14:solidFill>
              <w14:schemeClr w14:val="tx1"/>
            </w14:solidFill>
          </w14:textFill>
        </w:rPr>
      </w:pPr>
      <w:r>
        <w:rPr>
          <w:rFonts w:hint="default" w:ascii="Times New Roman" w:hAnsi="Times New Roman" w:cs="Times New Roman"/>
          <w:color w:val="000000" w:themeColor="text1"/>
          <w:sz w:val="24"/>
          <w:szCs w:val="32"/>
          <w14:textFill>
            <w14:solidFill>
              <w14:schemeClr w14:val="tx1"/>
            </w14:solidFill>
          </w14:textFill>
        </w:rPr>
        <w:t>附件3 项目备案通知书</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 xml:space="preserve"> </w:t>
      </w:r>
      <w:r>
        <w:rPr>
          <w:rFonts w:hint="eastAsia" w:cs="Times New Roman"/>
          <w:color w:val="000000" w:themeColor="text1"/>
          <w:sz w:val="24"/>
          <w:szCs w:val="32"/>
          <w:lang w:val="en-US" w:eastAsia="zh-CN"/>
          <w14:textFill>
            <w14:solidFill>
              <w14:schemeClr w14:val="tx1"/>
            </w14:solidFill>
          </w14:textFill>
        </w:rPr>
        <w:t>附件</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11 锅炉备用说明</w:t>
      </w:r>
    </w:p>
    <w:p w14:paraId="47B644F2">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cs="Times New Roman"/>
          <w:color w:val="000000" w:themeColor="text1"/>
          <w:sz w:val="24"/>
          <w:szCs w:val="32"/>
          <w14:textFill>
            <w14:solidFill>
              <w14:schemeClr w14:val="tx1"/>
            </w14:solidFill>
          </w14:textFill>
        </w:rPr>
        <w:t>附件</w:t>
      </w:r>
      <w:r>
        <w:rPr>
          <w:rFonts w:hint="default" w:ascii="Times New Roman" w:hAnsi="Times New Roman" w:cs="Times New Roman"/>
          <w:color w:val="000000" w:themeColor="text1"/>
          <w:sz w:val="24"/>
          <w:szCs w:val="32"/>
          <w:lang w:val="en-US" w:eastAsia="zh-CN"/>
          <w14:textFill>
            <w14:solidFill>
              <w14:schemeClr w14:val="tx1"/>
            </w14:solidFill>
          </w14:textFill>
        </w:rPr>
        <w:t>4</w:t>
      </w:r>
      <w:r>
        <w:rPr>
          <w:rFonts w:hint="default" w:ascii="Times New Roman" w:hAnsi="Times New Roman" w:cs="Times New Roman"/>
          <w:color w:val="000000" w:themeColor="text1"/>
          <w:sz w:val="24"/>
          <w:szCs w:val="32"/>
          <w14:textFill>
            <w14:solidFill>
              <w14:schemeClr w14:val="tx1"/>
            </w14:solidFill>
          </w14:textFill>
        </w:rPr>
        <w:t xml:space="preserve"> </w:t>
      </w:r>
      <w:r>
        <w:rPr>
          <w:rFonts w:hint="default" w:ascii="Times New Roman" w:hAnsi="Times New Roman" w:cs="Times New Roman"/>
          <w:color w:val="000000" w:themeColor="text1"/>
          <w:sz w:val="24"/>
          <w:szCs w:val="32"/>
          <w:lang w:val="en-US" w:eastAsia="zh-CN"/>
          <w14:textFill>
            <w14:solidFill>
              <w14:schemeClr w14:val="tx1"/>
            </w14:solidFill>
          </w14:textFill>
        </w:rPr>
        <w:t>土地证</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 xml:space="preserve"> </w:t>
      </w:r>
      <w:r>
        <w:rPr>
          <w:rFonts w:hint="eastAsia"/>
          <w:color w:val="000000" w:themeColor="text1"/>
          <w:sz w:val="24"/>
          <w:szCs w:val="32"/>
          <w:lang w:val="en-US" w:eastAsia="zh-CN"/>
          <w14:textFill>
            <w14:solidFill>
              <w14:schemeClr w14:val="tx1"/>
            </w14:solidFill>
          </w14:textFill>
        </w:rPr>
        <w:t>附件</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 xml:space="preserve">12 </w:t>
      </w:r>
      <w:r>
        <w:rPr>
          <w:rFonts w:hint="default" w:ascii="Times New Roman" w:hAnsi="Times New Roman" w:cs="Times New Roman"/>
          <w:color w:val="000000" w:themeColor="text1"/>
          <w:sz w:val="24"/>
          <w:szCs w:val="32"/>
          <w:lang w:val="en-US" w:eastAsia="zh-CN"/>
          <w14:textFill>
            <w14:solidFill>
              <w14:schemeClr w14:val="tx1"/>
            </w14:solidFill>
          </w14:textFill>
        </w:rPr>
        <w:t>安全生产应急预案</w:t>
      </w:r>
    </w:p>
    <w:p w14:paraId="7DE49EBA">
      <w:pPr>
        <w:pStyle w:val="17"/>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00" w:themeColor="text1"/>
          <w:sz w:val="24"/>
          <w:szCs w:val="32"/>
          <w:lang w:val="en-US" w:eastAsia="zh-CN"/>
          <w14:textFill>
            <w14:solidFill>
              <w14:schemeClr w14:val="tx1"/>
            </w14:solidFill>
          </w14:textFill>
        </w:rPr>
      </w:pPr>
      <w:r>
        <w:rPr>
          <w:rFonts w:hint="default" w:ascii="Times New Roman" w:hAnsi="Times New Roman" w:cs="Times New Roman"/>
          <w:color w:val="000000" w:themeColor="text1"/>
          <w:sz w:val="24"/>
          <w:szCs w:val="32"/>
          <w14:textFill>
            <w14:solidFill>
              <w14:schemeClr w14:val="tx1"/>
            </w14:solidFill>
          </w14:textFill>
        </w:rPr>
        <w:t>附件</w:t>
      </w:r>
      <w:r>
        <w:rPr>
          <w:rFonts w:hint="default" w:ascii="Times New Roman" w:hAnsi="Times New Roman" w:cs="Times New Roman"/>
          <w:color w:val="000000" w:themeColor="text1"/>
          <w:sz w:val="24"/>
          <w:szCs w:val="32"/>
          <w:lang w:val="en-US" w:eastAsia="zh-CN"/>
          <w14:textFill>
            <w14:solidFill>
              <w14:schemeClr w14:val="tx1"/>
            </w14:solidFill>
          </w14:textFill>
        </w:rPr>
        <w:t>5</w:t>
      </w:r>
      <w:r>
        <w:rPr>
          <w:rFonts w:hint="default" w:ascii="Times New Roman" w:hAnsi="Times New Roman" w:cs="Times New Roman"/>
          <w:color w:val="000000" w:themeColor="text1"/>
          <w:sz w:val="24"/>
          <w:szCs w:val="32"/>
          <w14:textFill>
            <w14:solidFill>
              <w14:schemeClr w14:val="tx1"/>
            </w14:solidFill>
          </w14:textFill>
        </w:rPr>
        <w:t xml:space="preserve"> </w:t>
      </w:r>
      <w:r>
        <w:rPr>
          <w:rFonts w:hint="default" w:ascii="Times New Roman" w:hAnsi="Times New Roman" w:cs="Times New Roman"/>
          <w:color w:val="000000" w:themeColor="text1"/>
          <w:sz w:val="24"/>
          <w:szCs w:val="32"/>
          <w:lang w:val="en-US" w:eastAsia="zh-CN"/>
          <w14:textFill>
            <w14:solidFill>
              <w14:schemeClr w14:val="tx1"/>
            </w14:solidFill>
          </w14:textFill>
        </w:rPr>
        <w:t>生物质成分报告</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 xml:space="preserve">     </w:t>
      </w:r>
    </w:p>
    <w:p w14:paraId="0013E8FC">
      <w:pPr>
        <w:pStyle w:val="17"/>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color w:val="000000" w:themeColor="text1"/>
          <w:sz w:val="24"/>
          <w:szCs w:val="32"/>
          <w:lang w:val="en-US" w:eastAsia="zh-CN"/>
          <w14:textFill>
            <w14:solidFill>
              <w14:schemeClr w14:val="tx1"/>
            </w14:solidFill>
          </w14:textFill>
        </w:rPr>
      </w:pPr>
      <w:r>
        <w:rPr>
          <w:rFonts w:hint="eastAsia" w:ascii="Times New Roman" w:hAnsi="Times New Roman"/>
          <w:color w:val="000000" w:themeColor="text1"/>
          <w:sz w:val="24"/>
          <w:szCs w:val="32"/>
          <w14:textFill>
            <w14:solidFill>
              <w14:schemeClr w14:val="tx1"/>
            </w14:solidFill>
          </w14:textFill>
        </w:rPr>
        <w:t>附件</w:t>
      </w:r>
      <w:r>
        <w:rPr>
          <w:rFonts w:hint="eastAsia" w:ascii="Times New Roman" w:hAnsi="Times New Roman"/>
          <w:color w:val="000000" w:themeColor="text1"/>
          <w:sz w:val="24"/>
          <w:szCs w:val="32"/>
          <w:lang w:val="en-US" w:eastAsia="zh-CN"/>
          <w14:textFill>
            <w14:solidFill>
              <w14:schemeClr w14:val="tx1"/>
            </w14:solidFill>
          </w14:textFill>
        </w:rPr>
        <w:t>6</w:t>
      </w:r>
      <w:r>
        <w:rPr>
          <w:rFonts w:hint="eastAsia" w:ascii="Times New Roman" w:hAnsi="Times New Roman"/>
          <w:color w:val="000000" w:themeColor="text1"/>
          <w:sz w:val="24"/>
          <w:szCs w:val="32"/>
          <w14:textFill>
            <w14:solidFill>
              <w14:schemeClr w14:val="tx1"/>
            </w14:solidFill>
          </w14:textFill>
        </w:rPr>
        <w:t xml:space="preserve"> </w:t>
      </w:r>
      <w:r>
        <w:rPr>
          <w:rFonts w:hint="eastAsia" w:ascii="Times New Roman" w:hAnsi="Times New Roman"/>
          <w:color w:val="000000" w:themeColor="text1"/>
          <w:sz w:val="24"/>
          <w:szCs w:val="32"/>
          <w:lang w:val="en-US" w:eastAsia="zh-CN"/>
          <w14:textFill>
            <w14:solidFill>
              <w14:schemeClr w14:val="tx1"/>
            </w14:solidFill>
          </w14:textFill>
        </w:rPr>
        <w:t>现有项目环评批复及验收意见</w:t>
      </w:r>
    </w:p>
    <w:p w14:paraId="07372813">
      <w:pPr>
        <w:pStyle w:val="17"/>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color w:val="000000" w:themeColor="text1"/>
          <w:sz w:val="24"/>
          <w:szCs w:val="32"/>
          <w:lang w:val="en-US" w:eastAsia="zh-CN"/>
          <w14:textFill>
            <w14:solidFill>
              <w14:schemeClr w14:val="tx1"/>
            </w14:solidFill>
          </w14:textFill>
        </w:rPr>
      </w:pPr>
      <w:r>
        <w:rPr>
          <w:rFonts w:hint="eastAsia" w:ascii="Times New Roman" w:hAnsi="Times New Roman"/>
          <w:color w:val="000000" w:themeColor="text1"/>
          <w:sz w:val="24"/>
          <w:szCs w:val="32"/>
          <w14:textFill>
            <w14:solidFill>
              <w14:schemeClr w14:val="tx1"/>
            </w14:solidFill>
          </w14:textFill>
        </w:rPr>
        <w:t>附件</w:t>
      </w:r>
      <w:r>
        <w:rPr>
          <w:rFonts w:hint="eastAsia" w:ascii="Times New Roman" w:hAnsi="Times New Roman"/>
          <w:color w:val="000000" w:themeColor="text1"/>
          <w:sz w:val="24"/>
          <w:szCs w:val="32"/>
          <w:lang w:val="en-US" w:eastAsia="zh-CN"/>
          <w14:textFill>
            <w14:solidFill>
              <w14:schemeClr w14:val="tx1"/>
            </w14:solidFill>
          </w14:textFill>
        </w:rPr>
        <w:t>7</w:t>
      </w:r>
      <w:r>
        <w:rPr>
          <w:rFonts w:hint="eastAsia" w:ascii="Times New Roman" w:hAnsi="Times New Roman"/>
          <w:color w:val="000000" w:themeColor="text1"/>
          <w:sz w:val="24"/>
          <w:szCs w:val="32"/>
          <w14:textFill>
            <w14:solidFill>
              <w14:schemeClr w14:val="tx1"/>
            </w14:solidFill>
          </w14:textFill>
        </w:rPr>
        <w:t xml:space="preserve"> </w:t>
      </w:r>
      <w:r>
        <w:rPr>
          <w:rFonts w:hint="eastAsia" w:ascii="Times New Roman" w:hAnsi="Times New Roman"/>
          <w:color w:val="000000" w:themeColor="text1"/>
          <w:sz w:val="24"/>
          <w:szCs w:val="32"/>
          <w:lang w:val="en-US" w:eastAsia="zh-CN"/>
          <w14:textFill>
            <w14:solidFill>
              <w14:schemeClr w14:val="tx1"/>
            </w14:solidFill>
          </w14:textFill>
        </w:rPr>
        <w:t>排污信息清单</w:t>
      </w:r>
    </w:p>
    <w:p w14:paraId="7C14C191">
      <w:pPr>
        <w:keepNext w:val="0"/>
        <w:keepLines w:val="0"/>
        <w:pageBreakBefore w:val="0"/>
        <w:widowControl w:val="0"/>
        <w:kinsoku/>
        <w:wordWrap/>
        <w:overflowPunct/>
        <w:topLinePunct w:val="0"/>
        <w:autoSpaceDE/>
        <w:autoSpaceDN/>
        <w:bidi w:val="0"/>
        <w:adjustRightInd/>
        <w:snapToGrid/>
        <w:spacing w:line="360" w:lineRule="auto"/>
        <w:textAlignment w:val="auto"/>
        <w:rPr>
          <w:color w:val="000000" w:themeColor="text1"/>
          <w14:textFill>
            <w14:solidFill>
              <w14:schemeClr w14:val="tx1"/>
            </w14:solidFill>
          </w14:textFill>
        </w:rPr>
      </w:pPr>
      <w:r>
        <w:rPr>
          <w:rFonts w:hint="eastAsia"/>
          <w:color w:val="000000" w:themeColor="text1"/>
          <w:sz w:val="24"/>
          <w:szCs w:val="32"/>
          <w:lang w:val="en-US" w:eastAsia="zh-CN"/>
          <w14:textFill>
            <w14:solidFill>
              <w14:schemeClr w14:val="tx1"/>
            </w14:solidFill>
          </w14:textFill>
        </w:rPr>
        <w:t>附件8 初审表</w:t>
      </w:r>
    </w:p>
    <w:p w14:paraId="37FFE066">
      <w:pPr>
        <w:pStyle w:val="6"/>
        <w:sectPr>
          <w:footerReference r:id="rId5" w:type="default"/>
          <w:pgSz w:w="11906" w:h="16838"/>
          <w:pgMar w:top="1701" w:right="1531" w:bottom="1701" w:left="1531" w:header="851" w:footer="1077" w:gutter="0"/>
          <w:pgBorders>
            <w:top w:val="none" w:sz="0" w:space="0"/>
            <w:left w:val="none" w:sz="0" w:space="0"/>
            <w:bottom w:val="none" w:sz="0" w:space="0"/>
            <w:right w:val="none" w:sz="0" w:space="0"/>
          </w:pgBorders>
          <w:cols w:space="720" w:num="1"/>
          <w:docGrid w:linePitch="312" w:charSpace="0"/>
        </w:sectPr>
      </w:pPr>
    </w:p>
    <w:p w14:paraId="368E7D31">
      <w:pPr>
        <w:pStyle w:val="6"/>
        <w:sectPr>
          <w:pgSz w:w="11906" w:h="16838"/>
          <w:pgMar w:top="1701" w:right="1531" w:bottom="1701" w:left="1531" w:header="851" w:footer="1077" w:gutter="0"/>
          <w:pgBorders>
            <w:top w:val="none" w:sz="0" w:space="0"/>
            <w:left w:val="none" w:sz="0" w:space="0"/>
            <w:bottom w:val="none" w:sz="0" w:space="0"/>
            <w:right w:val="none" w:sz="0" w:space="0"/>
          </w:pgBorders>
          <w:cols w:space="720" w:num="1"/>
          <w:docGrid w:linePitch="312" w:charSpace="0"/>
        </w:sectPr>
      </w:pPr>
    </w:p>
    <w:p w14:paraId="496F2F28">
      <w:pPr>
        <w:pStyle w:val="23"/>
        <w:spacing w:before="0" w:beforeAutospacing="0" w:after="0" w:afterAutospacing="0"/>
        <w:jc w:val="center"/>
        <w:outlineLvl w:val="0"/>
        <w:rPr>
          <w:rFonts w:ascii="Times New Roman" w:hAnsi="Times New Roman"/>
          <w:snapToGrid w:val="0"/>
          <w:sz w:val="30"/>
          <w:szCs w:val="30"/>
        </w:rPr>
      </w:pPr>
      <w:r>
        <w:rPr>
          <w:rFonts w:hint="eastAsia" w:ascii="Times New Roman" w:hAnsi="Times New Roman"/>
          <w:snapToGrid w:val="0"/>
          <w:sz w:val="30"/>
          <w:szCs w:val="30"/>
        </w:rPr>
        <w:t>一、建设项目基本情况</w:t>
      </w:r>
    </w:p>
    <w:tbl>
      <w:tblPr>
        <w:tblStyle w:val="27"/>
        <w:tblW w:w="4944"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777"/>
        <w:gridCol w:w="1049"/>
        <w:gridCol w:w="1935"/>
        <w:gridCol w:w="1908"/>
        <w:gridCol w:w="3101"/>
      </w:tblGrid>
      <w:tr w14:paraId="51611C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828" w:type="dxa"/>
            <w:gridSpan w:val="2"/>
            <w:tcMar>
              <w:top w:w="16" w:type="dxa"/>
              <w:left w:w="16" w:type="dxa"/>
              <w:right w:w="16" w:type="dxa"/>
            </w:tcMar>
            <w:vAlign w:val="center"/>
          </w:tcPr>
          <w:p w14:paraId="49543808">
            <w:pPr>
              <w:adjustRightInd w:val="0"/>
              <w:snapToGrid w:val="0"/>
              <w:jc w:val="center"/>
              <w:rPr>
                <w:b/>
                <w:bCs/>
                <w:color w:val="auto"/>
                <w:sz w:val="24"/>
              </w:rPr>
            </w:pPr>
            <w:r>
              <w:rPr>
                <w:color w:val="auto"/>
                <w:sz w:val="24"/>
              </w:rPr>
              <w:t>建设项目名称</w:t>
            </w:r>
          </w:p>
        </w:tc>
        <w:tc>
          <w:tcPr>
            <w:tcW w:w="6950" w:type="dxa"/>
            <w:gridSpan w:val="3"/>
            <w:vAlign w:val="center"/>
          </w:tcPr>
          <w:p w14:paraId="10BEB664">
            <w:pPr>
              <w:adjustRightInd w:val="0"/>
              <w:snapToGrid w:val="0"/>
              <w:jc w:val="center"/>
              <w:rPr>
                <w:color w:val="auto"/>
                <w:sz w:val="24"/>
              </w:rPr>
            </w:pPr>
            <w:r>
              <w:rPr>
                <w:rFonts w:hint="default" w:ascii="Times New Roman" w:hAnsi="Times New Roman" w:eastAsia="宋体" w:cs="Times New Roman"/>
                <w:color w:val="auto"/>
                <w:sz w:val="24"/>
                <w:szCs w:val="24"/>
                <w:highlight w:val="none"/>
                <w:lang w:eastAsia="zh-CN" w:bidi="ar"/>
              </w:rPr>
              <w:t>江西高安大北农饲料有限公司新增锅炉项目</w:t>
            </w:r>
          </w:p>
        </w:tc>
      </w:tr>
      <w:tr w14:paraId="38054B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01" w:hRule="atLeast"/>
          <w:jc w:val="center"/>
        </w:trPr>
        <w:tc>
          <w:tcPr>
            <w:tcW w:w="1828" w:type="dxa"/>
            <w:gridSpan w:val="2"/>
            <w:tcMar>
              <w:top w:w="16" w:type="dxa"/>
              <w:left w:w="16" w:type="dxa"/>
              <w:right w:w="16" w:type="dxa"/>
            </w:tcMar>
            <w:vAlign w:val="center"/>
          </w:tcPr>
          <w:p w14:paraId="4AF302BE">
            <w:pPr>
              <w:adjustRightInd w:val="0"/>
              <w:snapToGrid w:val="0"/>
              <w:jc w:val="center"/>
              <w:rPr>
                <w:b/>
                <w:bCs/>
                <w:color w:val="auto"/>
                <w:sz w:val="24"/>
              </w:rPr>
            </w:pPr>
            <w:r>
              <w:rPr>
                <w:color w:val="auto"/>
                <w:sz w:val="24"/>
              </w:rPr>
              <w:t>项目代码</w:t>
            </w:r>
          </w:p>
        </w:tc>
        <w:tc>
          <w:tcPr>
            <w:tcW w:w="6950" w:type="dxa"/>
            <w:gridSpan w:val="3"/>
            <w:vAlign w:val="center"/>
          </w:tcPr>
          <w:p w14:paraId="4616DC9D">
            <w:pPr>
              <w:adjustRightInd w:val="0"/>
              <w:snapToGrid w:val="0"/>
              <w:jc w:val="center"/>
              <w:rPr>
                <w:color w:val="auto"/>
                <w:sz w:val="24"/>
              </w:rPr>
            </w:pPr>
            <w:r>
              <w:rPr>
                <w:rFonts w:hint="default" w:ascii="Times New Roman" w:hAnsi="Times New Roman" w:eastAsia="宋体" w:cs="Times New Roman"/>
                <w:color w:val="auto"/>
                <w:sz w:val="24"/>
                <w:szCs w:val="24"/>
                <w:highlight w:val="none"/>
                <w:lang w:bidi="ar"/>
              </w:rPr>
              <w:t>2509-360983-04-05-539043</w:t>
            </w:r>
          </w:p>
        </w:tc>
      </w:tr>
      <w:tr w14:paraId="19BDE8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828" w:type="dxa"/>
            <w:gridSpan w:val="2"/>
            <w:tcMar>
              <w:top w:w="16" w:type="dxa"/>
              <w:left w:w="16" w:type="dxa"/>
              <w:right w:w="16" w:type="dxa"/>
            </w:tcMar>
            <w:vAlign w:val="center"/>
          </w:tcPr>
          <w:p w14:paraId="6564FA2C">
            <w:pPr>
              <w:adjustRightInd w:val="0"/>
              <w:snapToGrid w:val="0"/>
              <w:jc w:val="center"/>
              <w:rPr>
                <w:b/>
                <w:bCs/>
                <w:color w:val="auto"/>
                <w:sz w:val="24"/>
              </w:rPr>
            </w:pPr>
            <w:r>
              <w:rPr>
                <w:color w:val="auto"/>
                <w:sz w:val="24"/>
              </w:rPr>
              <w:t>建设单位联系人</w:t>
            </w:r>
          </w:p>
        </w:tc>
        <w:tc>
          <w:tcPr>
            <w:tcW w:w="1937" w:type="dxa"/>
            <w:vAlign w:val="center"/>
          </w:tcPr>
          <w:p w14:paraId="6E6D8438">
            <w:pPr>
              <w:adjustRightInd w:val="0"/>
              <w:snapToGrid w:val="0"/>
              <w:jc w:val="center"/>
              <w:rPr>
                <w:rFonts w:hint="default" w:eastAsia="宋体"/>
                <w:color w:val="auto"/>
                <w:sz w:val="24"/>
                <w:lang w:val="en-US" w:eastAsia="zh-CN"/>
              </w:rPr>
            </w:pPr>
          </w:p>
        </w:tc>
        <w:tc>
          <w:tcPr>
            <w:tcW w:w="1910" w:type="dxa"/>
            <w:vAlign w:val="center"/>
          </w:tcPr>
          <w:p w14:paraId="0100CF56">
            <w:pPr>
              <w:adjustRightInd w:val="0"/>
              <w:snapToGrid w:val="0"/>
              <w:jc w:val="center"/>
              <w:rPr>
                <w:color w:val="auto"/>
              </w:rPr>
            </w:pPr>
            <w:r>
              <w:rPr>
                <w:color w:val="auto"/>
                <w:sz w:val="24"/>
              </w:rPr>
              <w:t>联系方式</w:t>
            </w:r>
          </w:p>
        </w:tc>
        <w:tc>
          <w:tcPr>
            <w:tcW w:w="3103" w:type="dxa"/>
            <w:vAlign w:val="center"/>
          </w:tcPr>
          <w:p w14:paraId="499F1BA8">
            <w:pPr>
              <w:adjustRightInd w:val="0"/>
              <w:snapToGrid w:val="0"/>
              <w:jc w:val="center"/>
              <w:rPr>
                <w:rFonts w:hint="default" w:eastAsia="宋体"/>
                <w:color w:val="auto"/>
                <w:sz w:val="24"/>
                <w:lang w:val="en-US" w:eastAsia="zh-CN"/>
              </w:rPr>
            </w:pPr>
            <w:bookmarkStart w:id="8" w:name="_GoBack"/>
            <w:bookmarkEnd w:id="8"/>
          </w:p>
        </w:tc>
      </w:tr>
      <w:tr w14:paraId="15ECE9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828" w:type="dxa"/>
            <w:gridSpan w:val="2"/>
            <w:tcMar>
              <w:top w:w="16" w:type="dxa"/>
              <w:left w:w="16" w:type="dxa"/>
              <w:right w:w="16" w:type="dxa"/>
            </w:tcMar>
            <w:vAlign w:val="center"/>
          </w:tcPr>
          <w:p w14:paraId="61AC250F">
            <w:pPr>
              <w:adjustRightInd w:val="0"/>
              <w:snapToGrid w:val="0"/>
              <w:jc w:val="center"/>
              <w:rPr>
                <w:b/>
                <w:bCs/>
                <w:color w:val="auto"/>
                <w:sz w:val="24"/>
              </w:rPr>
            </w:pPr>
            <w:r>
              <w:rPr>
                <w:color w:val="auto"/>
                <w:sz w:val="24"/>
              </w:rPr>
              <w:t>建设地点</w:t>
            </w:r>
          </w:p>
        </w:tc>
        <w:tc>
          <w:tcPr>
            <w:tcW w:w="6950" w:type="dxa"/>
            <w:gridSpan w:val="3"/>
            <w:vAlign w:val="center"/>
          </w:tcPr>
          <w:p w14:paraId="1805874B">
            <w:pPr>
              <w:adjustRightInd w:val="0"/>
              <w:snapToGrid w:val="0"/>
              <w:jc w:val="center"/>
              <w:rPr>
                <w:color w:val="auto"/>
                <w:sz w:val="24"/>
              </w:rPr>
            </w:pPr>
            <w:r>
              <w:rPr>
                <w:rFonts w:hint="default" w:ascii="Times New Roman" w:hAnsi="Times New Roman" w:eastAsia="宋体" w:cs="Times New Roman"/>
                <w:color w:val="auto"/>
                <w:kern w:val="24"/>
                <w:sz w:val="24"/>
                <w:szCs w:val="24"/>
                <w:lang w:bidi="ar"/>
              </w:rPr>
              <w:t>江西省宜春市高安市八景镇江西高安大北农饲料有限公司</w:t>
            </w:r>
          </w:p>
        </w:tc>
      </w:tr>
      <w:tr w14:paraId="1F23A5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828" w:type="dxa"/>
            <w:gridSpan w:val="2"/>
            <w:tcMar>
              <w:top w:w="16" w:type="dxa"/>
              <w:left w:w="16" w:type="dxa"/>
              <w:right w:w="16" w:type="dxa"/>
            </w:tcMar>
            <w:vAlign w:val="center"/>
          </w:tcPr>
          <w:p w14:paraId="6D3139FE">
            <w:pPr>
              <w:adjustRightInd w:val="0"/>
              <w:snapToGrid w:val="0"/>
              <w:jc w:val="center"/>
              <w:rPr>
                <w:b/>
                <w:bCs/>
                <w:color w:val="auto"/>
                <w:sz w:val="24"/>
              </w:rPr>
            </w:pPr>
            <w:r>
              <w:rPr>
                <w:color w:val="auto"/>
                <w:sz w:val="24"/>
              </w:rPr>
              <w:t>地理坐标</w:t>
            </w:r>
          </w:p>
        </w:tc>
        <w:tc>
          <w:tcPr>
            <w:tcW w:w="6950" w:type="dxa"/>
            <w:gridSpan w:val="3"/>
            <w:vAlign w:val="center"/>
          </w:tcPr>
          <w:p w14:paraId="0F8763B0">
            <w:pPr>
              <w:jc w:val="center"/>
              <w:rPr>
                <w:color w:val="auto"/>
                <w:sz w:val="24"/>
              </w:rPr>
            </w:pPr>
            <w:r>
              <w:rPr>
                <w:rFonts w:hint="default" w:ascii="Times New Roman" w:hAnsi="Times New Roman" w:eastAsia="宋体" w:cs="Times New Roman"/>
                <w:b w:val="0"/>
                <w:bCs w:val="0"/>
                <w:color w:val="auto"/>
                <w:sz w:val="24"/>
                <w:szCs w:val="24"/>
              </w:rPr>
              <w:t>E115°30′15.915″</w:t>
            </w:r>
            <w:r>
              <w:rPr>
                <w:rFonts w:hint="eastAsia" w:cs="Times New Roman"/>
                <w:b w:val="0"/>
                <w:bCs w:val="0"/>
                <w:color w:val="FF0000"/>
                <w:sz w:val="24"/>
                <w:szCs w:val="24"/>
                <w:lang w:eastAsia="zh-CN"/>
              </w:rPr>
              <w:t>，</w:t>
            </w:r>
            <w:r>
              <w:rPr>
                <w:rFonts w:hint="default" w:ascii="Times New Roman" w:hAnsi="Times New Roman" w:eastAsia="宋体" w:cs="Times New Roman"/>
                <w:b w:val="0"/>
                <w:bCs w:val="0"/>
                <w:color w:val="auto"/>
                <w:sz w:val="24"/>
                <w:szCs w:val="24"/>
              </w:rPr>
              <w:t>N28°8′46.666″</w:t>
            </w:r>
          </w:p>
        </w:tc>
      </w:tr>
      <w:tr w14:paraId="0F9AA7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034" w:hRule="atLeast"/>
          <w:jc w:val="center"/>
        </w:trPr>
        <w:tc>
          <w:tcPr>
            <w:tcW w:w="1828" w:type="dxa"/>
            <w:gridSpan w:val="2"/>
            <w:tcMar>
              <w:top w:w="16" w:type="dxa"/>
              <w:left w:w="16" w:type="dxa"/>
              <w:right w:w="16" w:type="dxa"/>
            </w:tcMar>
            <w:vAlign w:val="center"/>
          </w:tcPr>
          <w:p w14:paraId="7E48ACC5">
            <w:pPr>
              <w:adjustRightInd w:val="0"/>
              <w:snapToGrid w:val="0"/>
              <w:jc w:val="center"/>
              <w:rPr>
                <w:color w:val="auto"/>
                <w:sz w:val="24"/>
              </w:rPr>
            </w:pPr>
            <w:r>
              <w:rPr>
                <w:color w:val="auto"/>
                <w:sz w:val="24"/>
              </w:rPr>
              <w:t>国民经济</w:t>
            </w:r>
          </w:p>
          <w:p w14:paraId="245BED7B">
            <w:pPr>
              <w:adjustRightInd w:val="0"/>
              <w:snapToGrid w:val="0"/>
              <w:jc w:val="center"/>
              <w:rPr>
                <w:b/>
                <w:bCs/>
                <w:color w:val="auto"/>
                <w:sz w:val="24"/>
              </w:rPr>
            </w:pPr>
            <w:r>
              <w:rPr>
                <w:color w:val="auto"/>
                <w:sz w:val="24"/>
              </w:rPr>
              <w:t>行业类别</w:t>
            </w:r>
          </w:p>
        </w:tc>
        <w:tc>
          <w:tcPr>
            <w:tcW w:w="1937" w:type="dxa"/>
            <w:vAlign w:val="center"/>
          </w:tcPr>
          <w:p w14:paraId="7DA14D68">
            <w:pPr>
              <w:pStyle w:val="2"/>
              <w:jc w:val="both"/>
              <w:rPr>
                <w:rFonts w:hint="default" w:eastAsia="宋体"/>
                <w:color w:val="auto"/>
                <w:sz w:val="24"/>
                <w:lang w:val="en-US" w:eastAsia="zh-CN"/>
              </w:rPr>
            </w:pPr>
            <w:r>
              <w:rPr>
                <w:rFonts w:hint="default" w:ascii="Times New Roman" w:hAnsi="Times New Roman" w:eastAsia="宋体" w:cs="Times New Roman"/>
                <w:sz w:val="24"/>
                <w:szCs w:val="32"/>
              </w:rPr>
              <w:t>D4430热力生产和供应</w:t>
            </w:r>
          </w:p>
        </w:tc>
        <w:tc>
          <w:tcPr>
            <w:tcW w:w="1910" w:type="dxa"/>
            <w:vAlign w:val="center"/>
          </w:tcPr>
          <w:p w14:paraId="235D1583">
            <w:pPr>
              <w:adjustRightInd w:val="0"/>
              <w:snapToGrid w:val="0"/>
              <w:jc w:val="center"/>
              <w:rPr>
                <w:color w:val="auto"/>
                <w:sz w:val="24"/>
              </w:rPr>
            </w:pPr>
            <w:r>
              <w:rPr>
                <w:color w:val="auto"/>
                <w:sz w:val="24"/>
              </w:rPr>
              <w:t>建设项目</w:t>
            </w:r>
          </w:p>
          <w:p w14:paraId="4F1E60B4">
            <w:pPr>
              <w:adjustRightInd w:val="0"/>
              <w:snapToGrid w:val="0"/>
              <w:jc w:val="center"/>
              <w:rPr>
                <w:color w:val="auto"/>
                <w:sz w:val="24"/>
              </w:rPr>
            </w:pPr>
            <w:r>
              <w:rPr>
                <w:color w:val="auto"/>
                <w:sz w:val="24"/>
              </w:rPr>
              <w:t>行业类别</w:t>
            </w:r>
          </w:p>
        </w:tc>
        <w:tc>
          <w:tcPr>
            <w:tcW w:w="3103" w:type="dxa"/>
            <w:vAlign w:val="center"/>
          </w:tcPr>
          <w:p w14:paraId="14915745">
            <w:pPr>
              <w:adjustRightInd w:val="0"/>
              <w:snapToGrid w:val="0"/>
              <w:jc w:val="both"/>
              <w:rPr>
                <w:color w:val="auto"/>
                <w:sz w:val="24"/>
              </w:rPr>
            </w:pPr>
            <w:r>
              <w:rPr>
                <w:rFonts w:hint="default" w:ascii="Times New Roman" w:hAnsi="Times New Roman" w:eastAsia="宋体" w:cs="Times New Roman"/>
                <w:sz w:val="24"/>
              </w:rPr>
              <w:t>四十一、电力、热力生产和供应业91热力生产和供应工程（包括建设单位自建自用的供热工程）中使用其他高污染燃料的</w:t>
            </w:r>
          </w:p>
        </w:tc>
      </w:tr>
      <w:tr w14:paraId="1F8EC7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97" w:hRule="atLeast"/>
          <w:jc w:val="center"/>
        </w:trPr>
        <w:tc>
          <w:tcPr>
            <w:tcW w:w="1828" w:type="dxa"/>
            <w:gridSpan w:val="2"/>
            <w:tcMar>
              <w:top w:w="16" w:type="dxa"/>
              <w:left w:w="16" w:type="dxa"/>
              <w:right w:w="16" w:type="dxa"/>
            </w:tcMar>
            <w:vAlign w:val="center"/>
          </w:tcPr>
          <w:p w14:paraId="076D68A1">
            <w:pPr>
              <w:adjustRightInd w:val="0"/>
              <w:snapToGrid w:val="0"/>
              <w:jc w:val="center"/>
              <w:rPr>
                <w:b/>
                <w:bCs/>
                <w:color w:val="auto"/>
                <w:sz w:val="24"/>
              </w:rPr>
            </w:pPr>
            <w:r>
              <w:rPr>
                <w:color w:val="auto"/>
                <w:sz w:val="24"/>
              </w:rPr>
              <w:t>建设性质</w:t>
            </w:r>
          </w:p>
        </w:tc>
        <w:tc>
          <w:tcPr>
            <w:tcW w:w="1937" w:type="dxa"/>
            <w:vAlign w:val="center"/>
          </w:tcPr>
          <w:p w14:paraId="124DFF57">
            <w:pPr>
              <w:jc w:val="left"/>
              <w:rPr>
                <w:color w:val="auto"/>
                <w:sz w:val="24"/>
              </w:rPr>
            </w:pPr>
            <w:r>
              <w:rPr>
                <w:color w:val="auto"/>
                <w:sz w:val="24"/>
              </w:rPr>
              <w:sym w:font="Wingdings 2" w:char="00A3"/>
            </w:r>
            <w:r>
              <w:rPr>
                <w:color w:val="auto"/>
                <w:sz w:val="24"/>
              </w:rPr>
              <w:t>新建（迁建）</w:t>
            </w:r>
          </w:p>
          <w:p w14:paraId="1AA4CB1A">
            <w:pPr>
              <w:jc w:val="left"/>
              <w:rPr>
                <w:color w:val="auto"/>
                <w:sz w:val="24"/>
              </w:rPr>
            </w:pPr>
            <w:r>
              <w:rPr>
                <w:color w:val="auto"/>
                <w:sz w:val="24"/>
              </w:rPr>
              <w:sym w:font="Wingdings 2" w:char="00A3"/>
            </w:r>
            <w:r>
              <w:rPr>
                <w:color w:val="auto"/>
                <w:sz w:val="24"/>
              </w:rPr>
              <w:t>改建</w:t>
            </w:r>
          </w:p>
          <w:p w14:paraId="13C7B7AF">
            <w:pPr>
              <w:jc w:val="left"/>
              <w:rPr>
                <w:color w:val="auto"/>
                <w:sz w:val="24"/>
              </w:rPr>
            </w:pPr>
            <w:r>
              <w:rPr>
                <w:color w:val="auto"/>
                <w:sz w:val="24"/>
              </w:rPr>
              <w:sym w:font="Wingdings 2" w:char="00A3"/>
            </w:r>
            <w:r>
              <w:rPr>
                <w:color w:val="auto"/>
                <w:sz w:val="24"/>
              </w:rPr>
              <w:t>扩建</w:t>
            </w:r>
          </w:p>
          <w:p w14:paraId="0B4F626B">
            <w:pPr>
              <w:jc w:val="left"/>
              <w:rPr>
                <w:color w:val="auto"/>
                <w:sz w:val="24"/>
              </w:rPr>
            </w:pPr>
            <w:r>
              <w:rPr>
                <w:color w:val="auto"/>
                <w:sz w:val="24"/>
              </w:rPr>
              <w:sym w:font="Wingdings 2" w:char="0052"/>
            </w:r>
            <w:r>
              <w:rPr>
                <w:color w:val="auto"/>
                <w:sz w:val="24"/>
              </w:rPr>
              <w:t>技术改造</w:t>
            </w:r>
          </w:p>
        </w:tc>
        <w:tc>
          <w:tcPr>
            <w:tcW w:w="1910" w:type="dxa"/>
            <w:vAlign w:val="center"/>
          </w:tcPr>
          <w:p w14:paraId="2297980B">
            <w:pPr>
              <w:adjustRightInd w:val="0"/>
              <w:snapToGrid w:val="0"/>
              <w:jc w:val="center"/>
              <w:rPr>
                <w:color w:val="auto"/>
                <w:sz w:val="24"/>
              </w:rPr>
            </w:pPr>
            <w:r>
              <w:rPr>
                <w:color w:val="auto"/>
                <w:sz w:val="24"/>
              </w:rPr>
              <w:t>建设项目</w:t>
            </w:r>
          </w:p>
          <w:p w14:paraId="7DF6E54B">
            <w:pPr>
              <w:adjustRightInd w:val="0"/>
              <w:snapToGrid w:val="0"/>
              <w:jc w:val="center"/>
              <w:rPr>
                <w:color w:val="auto"/>
                <w:sz w:val="24"/>
              </w:rPr>
            </w:pPr>
            <w:r>
              <w:rPr>
                <w:color w:val="auto"/>
                <w:sz w:val="24"/>
              </w:rPr>
              <w:t>申报情形</w:t>
            </w:r>
          </w:p>
        </w:tc>
        <w:tc>
          <w:tcPr>
            <w:tcW w:w="3103" w:type="dxa"/>
            <w:vAlign w:val="center"/>
          </w:tcPr>
          <w:p w14:paraId="6AD764E8">
            <w:pPr>
              <w:jc w:val="left"/>
              <w:rPr>
                <w:color w:val="auto"/>
                <w:sz w:val="24"/>
              </w:rPr>
            </w:pPr>
            <w:r>
              <w:rPr>
                <w:color w:val="auto"/>
                <w:sz w:val="24"/>
              </w:rPr>
              <w:sym w:font="Wingdings 2" w:char="0052"/>
            </w:r>
            <w:r>
              <w:rPr>
                <w:color w:val="auto"/>
                <w:sz w:val="24"/>
              </w:rPr>
              <w:t>首次申报项目</w:t>
            </w:r>
          </w:p>
          <w:p w14:paraId="42FE1AC2">
            <w:pPr>
              <w:jc w:val="left"/>
              <w:rPr>
                <w:color w:val="auto"/>
                <w:sz w:val="24"/>
              </w:rPr>
            </w:pPr>
            <w:r>
              <w:rPr>
                <w:color w:val="auto"/>
                <w:sz w:val="24"/>
              </w:rPr>
              <w:sym w:font="Wingdings 2" w:char="00A3"/>
            </w:r>
            <w:r>
              <w:rPr>
                <w:color w:val="auto"/>
                <w:sz w:val="24"/>
              </w:rPr>
              <w:t>不予批准后再次申报项目</w:t>
            </w:r>
          </w:p>
          <w:p w14:paraId="2392AEC6">
            <w:pPr>
              <w:jc w:val="left"/>
              <w:rPr>
                <w:color w:val="auto"/>
                <w:sz w:val="24"/>
              </w:rPr>
            </w:pPr>
            <w:r>
              <w:rPr>
                <w:color w:val="auto"/>
                <w:sz w:val="24"/>
              </w:rPr>
              <w:sym w:font="Wingdings 2" w:char="00A3"/>
            </w:r>
            <w:r>
              <w:rPr>
                <w:color w:val="auto"/>
                <w:sz w:val="24"/>
              </w:rPr>
              <w:t>超五年重新审核项目</w:t>
            </w:r>
          </w:p>
          <w:p w14:paraId="2466EC14">
            <w:pPr>
              <w:jc w:val="left"/>
              <w:rPr>
                <w:color w:val="auto"/>
                <w:sz w:val="24"/>
              </w:rPr>
            </w:pPr>
            <w:r>
              <w:rPr>
                <w:color w:val="auto"/>
                <w:sz w:val="24"/>
              </w:rPr>
              <w:sym w:font="Wingdings 2" w:char="00A3"/>
            </w:r>
            <w:r>
              <w:rPr>
                <w:color w:val="auto"/>
                <w:sz w:val="24"/>
              </w:rPr>
              <w:t>重大变动重新报批项目</w:t>
            </w:r>
          </w:p>
        </w:tc>
      </w:tr>
      <w:tr w14:paraId="144C6C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92" w:hRule="atLeast"/>
          <w:jc w:val="center"/>
        </w:trPr>
        <w:tc>
          <w:tcPr>
            <w:tcW w:w="1828" w:type="dxa"/>
            <w:gridSpan w:val="2"/>
            <w:tcMar>
              <w:top w:w="16" w:type="dxa"/>
              <w:left w:w="16" w:type="dxa"/>
              <w:right w:w="16" w:type="dxa"/>
            </w:tcMar>
            <w:vAlign w:val="center"/>
          </w:tcPr>
          <w:p w14:paraId="0FCBDFAE">
            <w:pPr>
              <w:adjustRightInd w:val="0"/>
              <w:snapToGrid w:val="0"/>
              <w:jc w:val="left"/>
              <w:rPr>
                <w:b/>
                <w:bCs/>
                <w:color w:val="auto"/>
                <w:sz w:val="24"/>
              </w:rPr>
            </w:pPr>
            <w:r>
              <w:rPr>
                <w:color w:val="auto"/>
                <w:sz w:val="24"/>
              </w:rPr>
              <w:t>项目审批（核准/备案）部门（选填）</w:t>
            </w:r>
          </w:p>
        </w:tc>
        <w:tc>
          <w:tcPr>
            <w:tcW w:w="1937" w:type="dxa"/>
            <w:vAlign w:val="center"/>
          </w:tcPr>
          <w:p w14:paraId="78C2D7A6">
            <w:pPr>
              <w:adjustRightInd w:val="0"/>
              <w:snapToGrid w:val="0"/>
              <w:jc w:val="center"/>
              <w:rPr>
                <w:rFonts w:hint="default"/>
                <w:color w:val="auto"/>
                <w:sz w:val="24"/>
                <w:lang w:val="en-US"/>
              </w:rPr>
            </w:pPr>
            <w:r>
              <w:rPr>
                <w:rFonts w:hint="eastAsia" w:cs="Times New Roman"/>
                <w:color w:val="auto"/>
                <w:sz w:val="24"/>
                <w:lang w:val="en-US" w:eastAsia="zh-CN"/>
              </w:rPr>
              <w:t>高安市行政审批局</w:t>
            </w:r>
          </w:p>
        </w:tc>
        <w:tc>
          <w:tcPr>
            <w:tcW w:w="1910" w:type="dxa"/>
            <w:vAlign w:val="center"/>
          </w:tcPr>
          <w:p w14:paraId="5A68F2F2">
            <w:pPr>
              <w:adjustRightInd w:val="0"/>
              <w:snapToGrid w:val="0"/>
              <w:jc w:val="center"/>
              <w:rPr>
                <w:color w:val="auto"/>
                <w:sz w:val="24"/>
              </w:rPr>
            </w:pPr>
            <w:r>
              <w:rPr>
                <w:color w:val="auto"/>
                <w:sz w:val="24"/>
              </w:rPr>
              <w:t>项目审批（核准/备案）文号（选填）</w:t>
            </w:r>
          </w:p>
        </w:tc>
        <w:tc>
          <w:tcPr>
            <w:tcW w:w="3103" w:type="dxa"/>
            <w:vAlign w:val="center"/>
          </w:tcPr>
          <w:p w14:paraId="56944039">
            <w:pPr>
              <w:adjustRightInd w:val="0"/>
              <w:snapToGrid w:val="0"/>
              <w:jc w:val="center"/>
              <w:rPr>
                <w:color w:val="auto"/>
                <w:sz w:val="24"/>
                <w:highlight w:val="none"/>
              </w:rPr>
            </w:pPr>
            <w:r>
              <w:rPr>
                <w:rFonts w:hint="default" w:ascii="Times New Roman" w:hAnsi="Times New Roman" w:eastAsia="宋体" w:cs="Times New Roman"/>
                <w:color w:val="auto"/>
                <w:sz w:val="24"/>
                <w:szCs w:val="24"/>
                <w:highlight w:val="none"/>
                <w:lang w:bidi="ar"/>
              </w:rPr>
              <w:t>2509-360983-04-05-539043</w:t>
            </w:r>
          </w:p>
        </w:tc>
      </w:tr>
      <w:tr w14:paraId="06B112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89" w:hRule="atLeast"/>
          <w:jc w:val="center"/>
        </w:trPr>
        <w:tc>
          <w:tcPr>
            <w:tcW w:w="1828" w:type="dxa"/>
            <w:gridSpan w:val="2"/>
            <w:tcMar>
              <w:top w:w="16" w:type="dxa"/>
              <w:left w:w="16" w:type="dxa"/>
              <w:right w:w="16" w:type="dxa"/>
            </w:tcMar>
            <w:vAlign w:val="center"/>
          </w:tcPr>
          <w:p w14:paraId="6249CD79">
            <w:pPr>
              <w:adjustRightInd w:val="0"/>
              <w:snapToGrid w:val="0"/>
              <w:jc w:val="center"/>
              <w:rPr>
                <w:b/>
                <w:bCs/>
                <w:color w:val="auto"/>
                <w:sz w:val="24"/>
              </w:rPr>
            </w:pPr>
            <w:r>
              <w:rPr>
                <w:color w:val="auto"/>
                <w:sz w:val="24"/>
              </w:rPr>
              <w:t>总投资（万元）</w:t>
            </w:r>
          </w:p>
        </w:tc>
        <w:tc>
          <w:tcPr>
            <w:tcW w:w="1937" w:type="dxa"/>
            <w:vAlign w:val="center"/>
          </w:tcPr>
          <w:p w14:paraId="3AD882AB">
            <w:pPr>
              <w:adjustRightInd w:val="0"/>
              <w:snapToGrid w:val="0"/>
              <w:jc w:val="center"/>
              <w:rPr>
                <w:rFonts w:hint="default" w:eastAsia="宋体"/>
                <w:color w:val="auto"/>
                <w:sz w:val="24"/>
                <w:lang w:val="en-US" w:eastAsia="zh-CN"/>
              </w:rPr>
            </w:pPr>
            <w:r>
              <w:rPr>
                <w:rFonts w:hint="eastAsia"/>
                <w:color w:val="auto"/>
                <w:sz w:val="24"/>
                <w:lang w:val="en-US" w:eastAsia="zh-CN"/>
              </w:rPr>
              <w:t>110</w:t>
            </w:r>
          </w:p>
        </w:tc>
        <w:tc>
          <w:tcPr>
            <w:tcW w:w="1910" w:type="dxa"/>
            <w:tcMar>
              <w:top w:w="16" w:type="dxa"/>
              <w:left w:w="16" w:type="dxa"/>
              <w:right w:w="16" w:type="dxa"/>
            </w:tcMar>
            <w:vAlign w:val="center"/>
          </w:tcPr>
          <w:p w14:paraId="05B9C995">
            <w:pPr>
              <w:adjustRightInd w:val="0"/>
              <w:snapToGrid w:val="0"/>
              <w:jc w:val="center"/>
              <w:rPr>
                <w:color w:val="auto"/>
                <w:sz w:val="24"/>
              </w:rPr>
            </w:pPr>
            <w:r>
              <w:rPr>
                <w:color w:val="auto"/>
                <w:sz w:val="24"/>
              </w:rPr>
              <w:t>环保投资（万元）</w:t>
            </w:r>
          </w:p>
        </w:tc>
        <w:tc>
          <w:tcPr>
            <w:tcW w:w="3103" w:type="dxa"/>
            <w:vAlign w:val="center"/>
          </w:tcPr>
          <w:p w14:paraId="22812EBA">
            <w:pPr>
              <w:adjustRightInd w:val="0"/>
              <w:snapToGrid w:val="0"/>
              <w:jc w:val="center"/>
              <w:rPr>
                <w:rFonts w:hint="default"/>
                <w:color w:val="auto"/>
                <w:sz w:val="24"/>
                <w:lang w:val="en-US"/>
              </w:rPr>
            </w:pPr>
            <w:r>
              <w:rPr>
                <w:rFonts w:hint="eastAsia" w:cs="Times New Roman"/>
                <w:color w:val="auto"/>
                <w:sz w:val="24"/>
                <w:szCs w:val="24"/>
                <w:lang w:val="en-US" w:eastAsia="zh-CN" w:bidi="ar"/>
              </w:rPr>
              <w:t>20</w:t>
            </w:r>
          </w:p>
        </w:tc>
      </w:tr>
      <w:tr w14:paraId="6DC6EE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05" w:hRule="atLeast"/>
          <w:jc w:val="center"/>
        </w:trPr>
        <w:tc>
          <w:tcPr>
            <w:tcW w:w="1828" w:type="dxa"/>
            <w:gridSpan w:val="2"/>
            <w:tcMar>
              <w:top w:w="16" w:type="dxa"/>
              <w:left w:w="16" w:type="dxa"/>
              <w:right w:w="16" w:type="dxa"/>
            </w:tcMar>
            <w:vAlign w:val="center"/>
          </w:tcPr>
          <w:p w14:paraId="2693A682">
            <w:pPr>
              <w:adjustRightInd w:val="0"/>
              <w:snapToGrid w:val="0"/>
              <w:jc w:val="center"/>
              <w:rPr>
                <w:b/>
                <w:bCs/>
                <w:color w:val="auto"/>
                <w:sz w:val="24"/>
              </w:rPr>
            </w:pPr>
            <w:r>
              <w:rPr>
                <w:color w:val="auto"/>
                <w:sz w:val="24"/>
              </w:rPr>
              <w:t>环保投资占比（%）</w:t>
            </w:r>
          </w:p>
        </w:tc>
        <w:tc>
          <w:tcPr>
            <w:tcW w:w="1937" w:type="dxa"/>
            <w:vAlign w:val="center"/>
          </w:tcPr>
          <w:p w14:paraId="08A53572">
            <w:pPr>
              <w:adjustRightInd w:val="0"/>
              <w:snapToGrid w:val="0"/>
              <w:jc w:val="center"/>
              <w:rPr>
                <w:color w:val="auto"/>
                <w:sz w:val="24"/>
              </w:rPr>
            </w:pPr>
            <w:r>
              <w:rPr>
                <w:rFonts w:hint="eastAsia" w:cs="Times New Roman"/>
                <w:color w:val="auto"/>
                <w:sz w:val="24"/>
                <w:lang w:val="en-US" w:eastAsia="zh-CN"/>
              </w:rPr>
              <w:t>18</w:t>
            </w:r>
            <w:r>
              <w:rPr>
                <w:rFonts w:hint="default" w:ascii="Times New Roman" w:hAnsi="Times New Roman" w:cs="Times New Roman"/>
                <w:color w:val="auto"/>
                <w:sz w:val="24"/>
              </w:rPr>
              <w:t>%</w:t>
            </w:r>
          </w:p>
        </w:tc>
        <w:tc>
          <w:tcPr>
            <w:tcW w:w="1910" w:type="dxa"/>
            <w:tcMar>
              <w:top w:w="16" w:type="dxa"/>
              <w:left w:w="16" w:type="dxa"/>
              <w:right w:w="16" w:type="dxa"/>
            </w:tcMar>
            <w:vAlign w:val="center"/>
          </w:tcPr>
          <w:p w14:paraId="2A78E397">
            <w:pPr>
              <w:adjustRightInd w:val="0"/>
              <w:snapToGrid w:val="0"/>
              <w:jc w:val="center"/>
              <w:rPr>
                <w:color w:val="auto"/>
                <w:sz w:val="24"/>
              </w:rPr>
            </w:pPr>
            <w:r>
              <w:rPr>
                <w:color w:val="auto"/>
                <w:sz w:val="24"/>
              </w:rPr>
              <w:t>施工工期</w:t>
            </w:r>
          </w:p>
        </w:tc>
        <w:tc>
          <w:tcPr>
            <w:tcW w:w="3103" w:type="dxa"/>
            <w:vAlign w:val="center"/>
          </w:tcPr>
          <w:p w14:paraId="43268EC7">
            <w:pPr>
              <w:adjustRightInd w:val="0"/>
              <w:snapToGrid w:val="0"/>
              <w:jc w:val="center"/>
              <w:rPr>
                <w:color w:val="auto"/>
                <w:sz w:val="24"/>
              </w:rPr>
            </w:pPr>
            <w:r>
              <w:rPr>
                <w:rFonts w:hint="eastAsia"/>
                <w:color w:val="auto"/>
                <w:sz w:val="24"/>
                <w:lang w:val="en-US" w:eastAsia="zh-CN"/>
              </w:rPr>
              <w:t>3</w:t>
            </w:r>
            <w:r>
              <w:rPr>
                <w:color w:val="auto"/>
                <w:sz w:val="24"/>
              </w:rPr>
              <w:t>个月</w:t>
            </w:r>
          </w:p>
        </w:tc>
      </w:tr>
      <w:tr w14:paraId="54E924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29" w:hRule="atLeast"/>
          <w:jc w:val="center"/>
        </w:trPr>
        <w:tc>
          <w:tcPr>
            <w:tcW w:w="1828" w:type="dxa"/>
            <w:gridSpan w:val="2"/>
            <w:tcMar>
              <w:top w:w="16" w:type="dxa"/>
              <w:left w:w="16" w:type="dxa"/>
              <w:right w:w="16" w:type="dxa"/>
            </w:tcMar>
            <w:vAlign w:val="center"/>
          </w:tcPr>
          <w:p w14:paraId="5ACC1F60">
            <w:pPr>
              <w:adjustRightInd w:val="0"/>
              <w:snapToGrid w:val="0"/>
              <w:jc w:val="center"/>
              <w:rPr>
                <w:b/>
                <w:bCs/>
                <w:color w:val="auto"/>
                <w:sz w:val="24"/>
              </w:rPr>
            </w:pPr>
            <w:r>
              <w:rPr>
                <w:color w:val="auto"/>
                <w:sz w:val="24"/>
              </w:rPr>
              <w:t>是否开工建设</w:t>
            </w:r>
          </w:p>
        </w:tc>
        <w:tc>
          <w:tcPr>
            <w:tcW w:w="1937" w:type="dxa"/>
            <w:vAlign w:val="center"/>
          </w:tcPr>
          <w:p w14:paraId="67FE7925">
            <w:pPr>
              <w:adjustRightInd w:val="0"/>
              <w:snapToGrid w:val="0"/>
              <w:rPr>
                <w:color w:val="auto"/>
                <w:sz w:val="24"/>
              </w:rPr>
            </w:pPr>
            <w:r>
              <w:rPr>
                <w:color w:val="auto"/>
                <w:sz w:val="24"/>
              </w:rPr>
              <w:sym w:font="Wingdings 2" w:char="0052"/>
            </w:r>
            <w:r>
              <w:rPr>
                <w:color w:val="auto"/>
                <w:sz w:val="24"/>
              </w:rPr>
              <w:t>否</w:t>
            </w:r>
          </w:p>
          <w:p w14:paraId="2634905B">
            <w:pPr>
              <w:adjustRightInd w:val="0"/>
              <w:snapToGrid w:val="0"/>
              <w:rPr>
                <w:color w:val="auto"/>
                <w:sz w:val="24"/>
                <w:u w:val="single"/>
              </w:rPr>
            </w:pPr>
            <w:r>
              <w:rPr>
                <w:color w:val="auto"/>
                <w:sz w:val="24"/>
              </w:rPr>
              <w:sym w:font="Wingdings 2" w:char="00A3"/>
            </w:r>
            <w:r>
              <w:rPr>
                <w:color w:val="auto"/>
                <w:sz w:val="24"/>
              </w:rPr>
              <w:t>是</w:t>
            </w:r>
          </w:p>
        </w:tc>
        <w:tc>
          <w:tcPr>
            <w:tcW w:w="1910" w:type="dxa"/>
            <w:tcMar>
              <w:top w:w="16" w:type="dxa"/>
              <w:left w:w="16" w:type="dxa"/>
              <w:right w:w="16" w:type="dxa"/>
            </w:tcMar>
            <w:vAlign w:val="center"/>
          </w:tcPr>
          <w:p w14:paraId="55226B14">
            <w:pPr>
              <w:adjustRightInd w:val="0"/>
              <w:snapToGrid w:val="0"/>
              <w:jc w:val="center"/>
              <w:rPr>
                <w:color w:val="auto"/>
                <w:sz w:val="24"/>
              </w:rPr>
            </w:pPr>
            <w:r>
              <w:rPr>
                <w:color w:val="auto"/>
                <w:sz w:val="24"/>
              </w:rPr>
              <w:t>用地（用海）</w:t>
            </w:r>
          </w:p>
          <w:p w14:paraId="3A954076">
            <w:pPr>
              <w:adjustRightInd w:val="0"/>
              <w:snapToGrid w:val="0"/>
              <w:jc w:val="center"/>
              <w:rPr>
                <w:color w:val="auto"/>
                <w:sz w:val="24"/>
              </w:rPr>
            </w:pPr>
            <w:r>
              <w:rPr>
                <w:color w:val="auto"/>
                <w:sz w:val="24"/>
              </w:rPr>
              <w:t>面积（m</w:t>
            </w:r>
            <w:r>
              <w:rPr>
                <w:color w:val="auto"/>
                <w:sz w:val="24"/>
                <w:vertAlign w:val="superscript"/>
              </w:rPr>
              <w:t>2</w:t>
            </w:r>
            <w:r>
              <w:rPr>
                <w:color w:val="auto"/>
                <w:sz w:val="24"/>
              </w:rPr>
              <w:t>）</w:t>
            </w:r>
          </w:p>
        </w:tc>
        <w:tc>
          <w:tcPr>
            <w:tcW w:w="3103" w:type="dxa"/>
            <w:vAlign w:val="center"/>
          </w:tcPr>
          <w:p w14:paraId="68F7F96F">
            <w:pPr>
              <w:adjustRightInd w:val="0"/>
              <w:snapToGrid w:val="0"/>
              <w:jc w:val="center"/>
              <w:rPr>
                <w:rFonts w:hint="default" w:eastAsia="宋体"/>
                <w:color w:val="auto"/>
                <w:sz w:val="24"/>
                <w:lang w:val="en-US" w:eastAsia="zh-CN"/>
              </w:rPr>
            </w:pPr>
            <w:r>
              <w:rPr>
                <w:rFonts w:hint="eastAsia"/>
                <w:color w:val="auto"/>
                <w:sz w:val="24"/>
                <w:lang w:val="en-US" w:eastAsia="zh-CN"/>
              </w:rPr>
              <w:t>45</w:t>
            </w:r>
          </w:p>
        </w:tc>
      </w:tr>
      <w:tr w14:paraId="578D94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778" w:type="dxa"/>
            <w:vAlign w:val="center"/>
          </w:tcPr>
          <w:p w14:paraId="79CD3FE5">
            <w:pPr>
              <w:autoSpaceDE w:val="0"/>
              <w:autoSpaceDN w:val="0"/>
              <w:adjustRightInd w:val="0"/>
              <w:snapToGrid w:val="0"/>
              <w:jc w:val="center"/>
              <w:rPr>
                <w:rFonts w:ascii="宋体" w:hAnsi="宋体" w:cs="宋体"/>
                <w:b/>
                <w:bCs/>
                <w:color w:val="auto"/>
                <w:kern w:val="0"/>
                <w:sz w:val="24"/>
              </w:rPr>
            </w:pPr>
            <w:r>
              <w:rPr>
                <w:rFonts w:hint="eastAsia" w:ascii="宋体" w:hAnsi="宋体" w:cs="宋体"/>
                <w:b w:val="0"/>
                <w:bCs w:val="0"/>
                <w:color w:val="auto"/>
                <w:kern w:val="0"/>
                <w:sz w:val="24"/>
              </w:rPr>
              <w:t>专项评价设置情况</w:t>
            </w:r>
          </w:p>
        </w:tc>
        <w:tc>
          <w:tcPr>
            <w:tcW w:w="8000" w:type="dxa"/>
            <w:gridSpan w:val="4"/>
            <w:vAlign w:val="center"/>
          </w:tcPr>
          <w:p w14:paraId="2B051AA8">
            <w:pPr>
              <w:pStyle w:val="69"/>
              <w:rPr>
                <w:color w:val="auto"/>
                <w:kern w:val="2"/>
                <w:sz w:val="24"/>
                <w:szCs w:val="24"/>
              </w:rPr>
            </w:pPr>
            <w:r>
              <w:rPr>
                <w:color w:val="auto"/>
                <w:kern w:val="2"/>
                <w:sz w:val="24"/>
                <w:szCs w:val="24"/>
              </w:rPr>
              <w:t xml:space="preserve">表1-1 </w:t>
            </w:r>
            <w:r>
              <w:rPr>
                <w:rFonts w:hint="eastAsia"/>
                <w:color w:val="auto"/>
                <w:kern w:val="2"/>
                <w:sz w:val="24"/>
                <w:szCs w:val="24"/>
                <w:lang w:val="en-US" w:eastAsia="zh-CN"/>
              </w:rPr>
              <w:t>项目</w:t>
            </w:r>
            <w:r>
              <w:rPr>
                <w:color w:val="FF0000"/>
                <w:kern w:val="2"/>
                <w:sz w:val="24"/>
                <w:szCs w:val="24"/>
              </w:rPr>
              <w:t>专项</w:t>
            </w:r>
            <w:r>
              <w:rPr>
                <w:rFonts w:hint="eastAsia"/>
                <w:color w:val="FF0000"/>
                <w:kern w:val="2"/>
                <w:sz w:val="24"/>
                <w:szCs w:val="24"/>
                <w:lang w:val="en-US" w:eastAsia="zh-CN"/>
              </w:rPr>
              <w:t>评价设置情况分析</w:t>
            </w:r>
            <w:r>
              <w:rPr>
                <w:color w:val="FF0000"/>
                <w:kern w:val="2"/>
                <w:sz w:val="24"/>
                <w:szCs w:val="24"/>
              </w:rPr>
              <w:t>表</w:t>
            </w:r>
          </w:p>
          <w:tbl>
            <w:tblPr>
              <w:tblStyle w:val="27"/>
              <w:tblW w:w="4998" w:type="pct"/>
              <w:jc w:val="center"/>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151"/>
              <w:gridCol w:w="3786"/>
              <w:gridCol w:w="2189"/>
              <w:gridCol w:w="648"/>
            </w:tblGrid>
            <w:tr w14:paraId="652BA05F">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740" w:type="pct"/>
                  <w:vAlign w:val="center"/>
                </w:tcPr>
                <w:p w14:paraId="7622840C">
                  <w:pPr>
                    <w:pStyle w:val="72"/>
                    <w:spacing w:line="240" w:lineRule="auto"/>
                    <w:rPr>
                      <w:rFonts w:ascii="Times New Roman" w:hAnsi="Times New Roman" w:cs="Times New Roman"/>
                      <w:b/>
                      <w:color w:val="auto"/>
                      <w:szCs w:val="21"/>
                    </w:rPr>
                  </w:pPr>
                  <w:r>
                    <w:rPr>
                      <w:rFonts w:ascii="Times New Roman" w:hAnsi="Times New Roman" w:cs="Times New Roman"/>
                      <w:b/>
                      <w:color w:val="auto"/>
                      <w:szCs w:val="21"/>
                    </w:rPr>
                    <w:t>专项评价的类别</w:t>
                  </w:r>
                </w:p>
              </w:tc>
              <w:tc>
                <w:tcPr>
                  <w:tcW w:w="2434" w:type="pct"/>
                  <w:vAlign w:val="center"/>
                </w:tcPr>
                <w:p w14:paraId="1D962A18">
                  <w:pPr>
                    <w:pStyle w:val="72"/>
                    <w:spacing w:line="240" w:lineRule="auto"/>
                    <w:rPr>
                      <w:rFonts w:ascii="Times New Roman" w:hAnsi="Times New Roman" w:cs="Times New Roman"/>
                      <w:b/>
                      <w:color w:val="auto"/>
                      <w:szCs w:val="21"/>
                    </w:rPr>
                  </w:pPr>
                  <w:r>
                    <w:rPr>
                      <w:rFonts w:ascii="Times New Roman" w:hAnsi="Times New Roman" w:cs="Times New Roman"/>
                      <w:b/>
                      <w:color w:val="auto"/>
                      <w:szCs w:val="21"/>
                    </w:rPr>
                    <w:t>设置原则</w:t>
                  </w:r>
                </w:p>
              </w:tc>
              <w:tc>
                <w:tcPr>
                  <w:tcW w:w="1407" w:type="pct"/>
                  <w:vAlign w:val="center"/>
                </w:tcPr>
                <w:p w14:paraId="635A5C4C">
                  <w:pPr>
                    <w:pStyle w:val="72"/>
                    <w:spacing w:line="240" w:lineRule="auto"/>
                    <w:rPr>
                      <w:rFonts w:ascii="Times New Roman" w:hAnsi="Times New Roman" w:cs="Times New Roman"/>
                      <w:b/>
                      <w:color w:val="auto"/>
                      <w:szCs w:val="21"/>
                    </w:rPr>
                  </w:pPr>
                  <w:r>
                    <w:rPr>
                      <w:rFonts w:ascii="Times New Roman" w:hAnsi="Times New Roman" w:cs="Times New Roman"/>
                      <w:b/>
                      <w:color w:val="auto"/>
                      <w:szCs w:val="21"/>
                    </w:rPr>
                    <w:t>本项目情况</w:t>
                  </w:r>
                </w:p>
              </w:tc>
              <w:tc>
                <w:tcPr>
                  <w:tcW w:w="417" w:type="pct"/>
                  <w:vAlign w:val="center"/>
                </w:tcPr>
                <w:p w14:paraId="5C70EC06">
                  <w:pPr>
                    <w:pStyle w:val="72"/>
                    <w:spacing w:line="240" w:lineRule="auto"/>
                    <w:rPr>
                      <w:rFonts w:ascii="Times New Roman" w:hAnsi="Times New Roman" w:cs="Times New Roman"/>
                      <w:b/>
                      <w:color w:val="auto"/>
                      <w:szCs w:val="21"/>
                    </w:rPr>
                  </w:pPr>
                  <w:r>
                    <w:rPr>
                      <w:rFonts w:ascii="Times New Roman" w:hAnsi="Times New Roman" w:cs="Times New Roman"/>
                      <w:b/>
                      <w:color w:val="auto"/>
                      <w:szCs w:val="21"/>
                    </w:rPr>
                    <w:t>设置情况</w:t>
                  </w:r>
                </w:p>
              </w:tc>
            </w:tr>
            <w:tr w14:paraId="003E135D">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47" w:hRule="atLeast"/>
                <w:jc w:val="center"/>
              </w:trPr>
              <w:tc>
                <w:tcPr>
                  <w:tcW w:w="740" w:type="pct"/>
                  <w:vAlign w:val="center"/>
                </w:tcPr>
                <w:p w14:paraId="5B3B68D5">
                  <w:pPr>
                    <w:pStyle w:val="72"/>
                    <w:spacing w:line="240" w:lineRule="auto"/>
                    <w:rPr>
                      <w:rFonts w:ascii="Times New Roman" w:hAnsi="Times New Roman" w:cs="Times New Roman"/>
                      <w:color w:val="auto"/>
                      <w:szCs w:val="21"/>
                    </w:rPr>
                  </w:pPr>
                  <w:r>
                    <w:rPr>
                      <w:rFonts w:ascii="Times New Roman" w:hAnsi="Times New Roman" w:cs="Times New Roman"/>
                      <w:color w:val="auto"/>
                      <w:szCs w:val="21"/>
                    </w:rPr>
                    <w:t>大气</w:t>
                  </w:r>
                </w:p>
              </w:tc>
              <w:tc>
                <w:tcPr>
                  <w:tcW w:w="2434" w:type="pct"/>
                  <w:vAlign w:val="center"/>
                </w:tcPr>
                <w:p w14:paraId="07CF5F2C">
                  <w:pPr>
                    <w:pStyle w:val="72"/>
                    <w:spacing w:line="240" w:lineRule="auto"/>
                    <w:jc w:val="both"/>
                    <w:rPr>
                      <w:rFonts w:hint="eastAsia" w:ascii="Times New Roman" w:hAnsi="Times New Roman" w:eastAsia="宋体" w:cs="Times New Roman"/>
                      <w:color w:val="auto"/>
                      <w:szCs w:val="21"/>
                      <w:lang w:eastAsia="zh-CN"/>
                    </w:rPr>
                  </w:pPr>
                  <w:r>
                    <w:rPr>
                      <w:rFonts w:ascii="Times New Roman" w:hAnsi="Times New Roman" w:cs="Times New Roman"/>
                      <w:color w:val="auto"/>
                    </w:rPr>
                    <w:t>排放废气含有毒有害污染物、二噁英、苯并[a]芘、氰化物、氯气且厂界外500米范围内有环境空气保护目标的建设项目</w:t>
                  </w:r>
                  <w:r>
                    <w:rPr>
                      <w:rFonts w:hint="eastAsia" w:ascii="Times New Roman" w:hAnsi="Times New Roman" w:cs="Times New Roman"/>
                      <w:color w:val="FF0000"/>
                      <w:lang w:eastAsia="zh-CN"/>
                    </w:rPr>
                    <w:t>。</w:t>
                  </w:r>
                </w:p>
              </w:tc>
              <w:tc>
                <w:tcPr>
                  <w:tcW w:w="1407" w:type="pct"/>
                  <w:vAlign w:val="center"/>
                </w:tcPr>
                <w:p w14:paraId="137AFDA0">
                  <w:pPr>
                    <w:pStyle w:val="72"/>
                    <w:spacing w:line="240" w:lineRule="auto"/>
                    <w:rPr>
                      <w:rFonts w:hint="eastAsia" w:ascii="Times New Roman" w:hAnsi="Times New Roman" w:eastAsia="宋体" w:cs="Times New Roman"/>
                      <w:color w:val="auto"/>
                      <w:szCs w:val="21"/>
                      <w:lang w:eastAsia="zh-CN"/>
                    </w:rPr>
                  </w:pPr>
                  <w:r>
                    <w:rPr>
                      <w:rFonts w:ascii="Times New Roman" w:hAnsi="Times New Roman" w:cs="Times New Roman"/>
                      <w:color w:val="auto"/>
                    </w:rPr>
                    <w:t>本项目排放废气不涉及二噁英、苯并[a]芘、氰化物、氯气等污染物</w:t>
                  </w:r>
                  <w:r>
                    <w:rPr>
                      <w:rFonts w:hint="eastAsia" w:ascii="Times New Roman" w:hAnsi="Times New Roman" w:cs="Times New Roman"/>
                      <w:color w:val="FF0000"/>
                      <w:lang w:eastAsia="zh-CN"/>
                    </w:rPr>
                    <w:t>。</w:t>
                  </w:r>
                </w:p>
              </w:tc>
              <w:tc>
                <w:tcPr>
                  <w:tcW w:w="417" w:type="pct"/>
                  <w:vAlign w:val="center"/>
                </w:tcPr>
                <w:p w14:paraId="0478AD9F">
                  <w:pPr>
                    <w:pStyle w:val="72"/>
                    <w:spacing w:line="240" w:lineRule="auto"/>
                    <w:rPr>
                      <w:rFonts w:ascii="Times New Roman" w:hAnsi="Times New Roman" w:cs="Times New Roman"/>
                      <w:color w:val="auto"/>
                      <w:szCs w:val="21"/>
                    </w:rPr>
                  </w:pPr>
                  <w:r>
                    <w:rPr>
                      <w:rFonts w:ascii="Times New Roman" w:hAnsi="Times New Roman" w:cs="Times New Roman"/>
                      <w:color w:val="auto"/>
                      <w:szCs w:val="21"/>
                    </w:rPr>
                    <w:t>不开展</w:t>
                  </w:r>
                </w:p>
              </w:tc>
            </w:tr>
            <w:tr w14:paraId="2975581B">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95" w:hRule="atLeast"/>
                <w:jc w:val="center"/>
              </w:trPr>
              <w:tc>
                <w:tcPr>
                  <w:tcW w:w="740" w:type="pct"/>
                  <w:vAlign w:val="center"/>
                </w:tcPr>
                <w:p w14:paraId="7BECEFC6">
                  <w:pPr>
                    <w:pStyle w:val="72"/>
                    <w:spacing w:line="240" w:lineRule="auto"/>
                    <w:rPr>
                      <w:rFonts w:ascii="Times New Roman" w:hAnsi="Times New Roman" w:cs="Times New Roman"/>
                      <w:color w:val="auto"/>
                      <w:szCs w:val="21"/>
                    </w:rPr>
                  </w:pPr>
                  <w:r>
                    <w:rPr>
                      <w:rFonts w:ascii="Times New Roman" w:hAnsi="Times New Roman" w:cs="Times New Roman"/>
                      <w:color w:val="auto"/>
                      <w:szCs w:val="21"/>
                    </w:rPr>
                    <w:t>地表水</w:t>
                  </w:r>
                </w:p>
              </w:tc>
              <w:tc>
                <w:tcPr>
                  <w:tcW w:w="2434" w:type="pct"/>
                  <w:vAlign w:val="center"/>
                </w:tcPr>
                <w:p w14:paraId="02251537">
                  <w:pPr>
                    <w:pStyle w:val="72"/>
                    <w:spacing w:line="240" w:lineRule="auto"/>
                    <w:jc w:val="both"/>
                    <w:rPr>
                      <w:rFonts w:ascii="Times New Roman" w:hAnsi="Times New Roman" w:cs="Times New Roman"/>
                      <w:color w:val="auto"/>
                      <w:szCs w:val="21"/>
                    </w:rPr>
                  </w:pPr>
                  <w:r>
                    <w:rPr>
                      <w:rFonts w:ascii="Times New Roman" w:hAnsi="Times New Roman" w:cs="Times New Roman"/>
                      <w:color w:val="auto"/>
                    </w:rPr>
                    <w:t>新增工业废水直排建设项目（槽罐车外送污水处理厂的除外）；新增废水直排的污水集中处理厂</w:t>
                  </w:r>
                </w:p>
              </w:tc>
              <w:tc>
                <w:tcPr>
                  <w:tcW w:w="1407" w:type="pct"/>
                  <w:vAlign w:val="center"/>
                </w:tcPr>
                <w:p w14:paraId="16FE9CD3">
                  <w:pPr>
                    <w:pStyle w:val="72"/>
                    <w:spacing w:line="240" w:lineRule="auto"/>
                    <w:rPr>
                      <w:rFonts w:ascii="Times New Roman" w:hAnsi="Times New Roman" w:cs="Times New Roman"/>
                      <w:color w:val="auto"/>
                      <w:szCs w:val="21"/>
                    </w:rPr>
                  </w:pPr>
                  <w:r>
                    <w:rPr>
                      <w:rFonts w:ascii="Times New Roman" w:hAnsi="Times New Roman" w:cs="Times New Roman"/>
                      <w:color w:val="auto"/>
                      <w:szCs w:val="21"/>
                    </w:rPr>
                    <w:t>不涉及</w:t>
                  </w:r>
                </w:p>
              </w:tc>
              <w:tc>
                <w:tcPr>
                  <w:tcW w:w="417" w:type="pct"/>
                  <w:vAlign w:val="center"/>
                </w:tcPr>
                <w:p w14:paraId="6B9D853D">
                  <w:pPr>
                    <w:pStyle w:val="72"/>
                    <w:spacing w:line="240" w:lineRule="auto"/>
                    <w:rPr>
                      <w:rFonts w:ascii="Times New Roman" w:hAnsi="Times New Roman" w:cs="Times New Roman"/>
                      <w:color w:val="auto"/>
                      <w:szCs w:val="21"/>
                    </w:rPr>
                  </w:pPr>
                  <w:r>
                    <w:rPr>
                      <w:rFonts w:ascii="Times New Roman" w:hAnsi="Times New Roman" w:cs="Times New Roman"/>
                      <w:color w:val="auto"/>
                      <w:szCs w:val="21"/>
                    </w:rPr>
                    <w:t>不开展</w:t>
                  </w:r>
                </w:p>
              </w:tc>
            </w:tr>
            <w:tr w14:paraId="3C8305EC">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5" w:hRule="atLeast"/>
                <w:jc w:val="center"/>
              </w:trPr>
              <w:tc>
                <w:tcPr>
                  <w:tcW w:w="740" w:type="pct"/>
                  <w:vAlign w:val="center"/>
                </w:tcPr>
                <w:p w14:paraId="34502497">
                  <w:pPr>
                    <w:pStyle w:val="72"/>
                    <w:spacing w:line="240" w:lineRule="auto"/>
                    <w:rPr>
                      <w:rFonts w:ascii="Times New Roman" w:hAnsi="Times New Roman" w:cs="Times New Roman"/>
                      <w:color w:val="auto"/>
                      <w:szCs w:val="21"/>
                    </w:rPr>
                  </w:pPr>
                  <w:r>
                    <w:rPr>
                      <w:rFonts w:ascii="Times New Roman" w:hAnsi="Times New Roman" w:cs="Times New Roman"/>
                      <w:color w:val="auto"/>
                      <w:szCs w:val="21"/>
                    </w:rPr>
                    <w:t>环境风险</w:t>
                  </w:r>
                </w:p>
              </w:tc>
              <w:tc>
                <w:tcPr>
                  <w:tcW w:w="2434" w:type="pct"/>
                  <w:vAlign w:val="center"/>
                </w:tcPr>
                <w:p w14:paraId="64318791">
                  <w:pPr>
                    <w:pStyle w:val="72"/>
                    <w:spacing w:line="240" w:lineRule="auto"/>
                    <w:jc w:val="both"/>
                    <w:rPr>
                      <w:rFonts w:ascii="Times New Roman" w:hAnsi="Times New Roman" w:cs="Times New Roman"/>
                      <w:color w:val="auto"/>
                      <w:szCs w:val="21"/>
                    </w:rPr>
                  </w:pPr>
                  <w:r>
                    <w:rPr>
                      <w:rFonts w:ascii="Times New Roman" w:hAnsi="Times New Roman" w:cs="Times New Roman"/>
                      <w:color w:val="auto"/>
                      <w:szCs w:val="21"/>
                    </w:rPr>
                    <w:t>有毒有害和易燃易爆危险物质存储量超过临界量的建设项目</w:t>
                  </w:r>
                </w:p>
              </w:tc>
              <w:tc>
                <w:tcPr>
                  <w:tcW w:w="1407" w:type="pct"/>
                  <w:vAlign w:val="center"/>
                </w:tcPr>
                <w:p w14:paraId="0A59017A">
                  <w:pPr>
                    <w:pStyle w:val="72"/>
                    <w:spacing w:line="240" w:lineRule="auto"/>
                    <w:rPr>
                      <w:rFonts w:ascii="Times New Roman" w:hAnsi="Times New Roman" w:cs="Times New Roman"/>
                      <w:color w:val="auto"/>
                      <w:szCs w:val="21"/>
                    </w:rPr>
                  </w:pPr>
                  <w:r>
                    <w:rPr>
                      <w:rFonts w:ascii="Times New Roman" w:hAnsi="Times New Roman" w:cs="Times New Roman"/>
                      <w:color w:val="auto"/>
                      <w:szCs w:val="21"/>
                    </w:rPr>
                    <w:t>不涉及</w:t>
                  </w:r>
                </w:p>
              </w:tc>
              <w:tc>
                <w:tcPr>
                  <w:tcW w:w="417" w:type="pct"/>
                  <w:vAlign w:val="center"/>
                </w:tcPr>
                <w:p w14:paraId="1B5037CC">
                  <w:pPr>
                    <w:pStyle w:val="72"/>
                    <w:spacing w:line="240" w:lineRule="auto"/>
                    <w:rPr>
                      <w:rFonts w:ascii="Times New Roman" w:hAnsi="Times New Roman" w:cs="Times New Roman"/>
                      <w:color w:val="auto"/>
                      <w:szCs w:val="21"/>
                    </w:rPr>
                  </w:pPr>
                  <w:r>
                    <w:rPr>
                      <w:rFonts w:ascii="Times New Roman" w:hAnsi="Times New Roman" w:cs="Times New Roman"/>
                      <w:color w:val="auto"/>
                      <w:szCs w:val="21"/>
                    </w:rPr>
                    <w:t>不开展</w:t>
                  </w:r>
                </w:p>
              </w:tc>
            </w:tr>
            <w:tr w14:paraId="0B64BD58">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73" w:hRule="atLeast"/>
                <w:jc w:val="center"/>
              </w:trPr>
              <w:tc>
                <w:tcPr>
                  <w:tcW w:w="740" w:type="pct"/>
                  <w:vAlign w:val="center"/>
                </w:tcPr>
                <w:p w14:paraId="281C1240">
                  <w:pPr>
                    <w:pStyle w:val="72"/>
                    <w:spacing w:line="240" w:lineRule="auto"/>
                    <w:rPr>
                      <w:rFonts w:ascii="Times New Roman" w:hAnsi="Times New Roman" w:cs="Times New Roman"/>
                      <w:color w:val="auto"/>
                      <w:szCs w:val="21"/>
                    </w:rPr>
                  </w:pPr>
                  <w:r>
                    <w:rPr>
                      <w:rFonts w:ascii="Times New Roman" w:hAnsi="Times New Roman" w:cs="Times New Roman"/>
                      <w:color w:val="auto"/>
                      <w:szCs w:val="21"/>
                    </w:rPr>
                    <w:t>生态</w:t>
                  </w:r>
                </w:p>
              </w:tc>
              <w:tc>
                <w:tcPr>
                  <w:tcW w:w="2434" w:type="pct"/>
                  <w:vAlign w:val="center"/>
                </w:tcPr>
                <w:p w14:paraId="6E2E3804">
                  <w:pPr>
                    <w:pStyle w:val="72"/>
                    <w:spacing w:line="240" w:lineRule="auto"/>
                    <w:jc w:val="both"/>
                    <w:rPr>
                      <w:rFonts w:ascii="Times New Roman" w:hAnsi="Times New Roman" w:cs="Times New Roman"/>
                      <w:color w:val="auto"/>
                      <w:szCs w:val="21"/>
                    </w:rPr>
                  </w:pPr>
                  <w:r>
                    <w:rPr>
                      <w:rFonts w:ascii="Times New Roman" w:hAnsi="Times New Roman" w:cs="Times New Roman"/>
                      <w:color w:val="auto"/>
                      <w:szCs w:val="21"/>
                    </w:rPr>
                    <w:t>取水口下游500米范围内有重要水生生物的自然产卵场、索饵场、越冬场和洄游通道的新增河道取水的污染类建设项目。</w:t>
                  </w:r>
                </w:p>
              </w:tc>
              <w:tc>
                <w:tcPr>
                  <w:tcW w:w="1407" w:type="pct"/>
                  <w:vAlign w:val="center"/>
                </w:tcPr>
                <w:p w14:paraId="5DF770CD">
                  <w:pPr>
                    <w:pStyle w:val="72"/>
                    <w:spacing w:line="240" w:lineRule="auto"/>
                    <w:rPr>
                      <w:rFonts w:ascii="Times New Roman" w:hAnsi="Times New Roman" w:cs="Times New Roman"/>
                      <w:color w:val="auto"/>
                      <w:szCs w:val="21"/>
                    </w:rPr>
                  </w:pPr>
                  <w:r>
                    <w:rPr>
                      <w:rFonts w:ascii="Times New Roman" w:hAnsi="Times New Roman" w:cs="Times New Roman"/>
                      <w:color w:val="auto"/>
                      <w:szCs w:val="21"/>
                    </w:rPr>
                    <w:t>不涉及</w:t>
                  </w:r>
                </w:p>
              </w:tc>
              <w:tc>
                <w:tcPr>
                  <w:tcW w:w="417" w:type="pct"/>
                  <w:vAlign w:val="center"/>
                </w:tcPr>
                <w:p w14:paraId="792583CC">
                  <w:pPr>
                    <w:pStyle w:val="72"/>
                    <w:spacing w:line="240" w:lineRule="auto"/>
                    <w:rPr>
                      <w:rFonts w:ascii="Times New Roman" w:hAnsi="Times New Roman" w:cs="Times New Roman"/>
                      <w:color w:val="auto"/>
                      <w:szCs w:val="21"/>
                    </w:rPr>
                  </w:pPr>
                  <w:r>
                    <w:rPr>
                      <w:rFonts w:ascii="Times New Roman" w:hAnsi="Times New Roman" w:cs="Times New Roman"/>
                      <w:color w:val="auto"/>
                      <w:szCs w:val="21"/>
                    </w:rPr>
                    <w:t>不开展</w:t>
                  </w:r>
                </w:p>
              </w:tc>
            </w:tr>
            <w:tr w14:paraId="27AF8ECC">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79" w:hRule="atLeast"/>
                <w:jc w:val="center"/>
              </w:trPr>
              <w:tc>
                <w:tcPr>
                  <w:tcW w:w="740" w:type="pct"/>
                  <w:vAlign w:val="center"/>
                </w:tcPr>
                <w:p w14:paraId="5B62CE36">
                  <w:pPr>
                    <w:pStyle w:val="72"/>
                    <w:spacing w:line="240" w:lineRule="auto"/>
                    <w:rPr>
                      <w:rFonts w:ascii="Times New Roman" w:hAnsi="Times New Roman" w:cs="Times New Roman"/>
                      <w:color w:val="auto"/>
                      <w:szCs w:val="21"/>
                    </w:rPr>
                  </w:pPr>
                  <w:r>
                    <w:rPr>
                      <w:rFonts w:ascii="Times New Roman" w:hAnsi="Times New Roman" w:cs="Times New Roman"/>
                      <w:color w:val="auto"/>
                      <w:szCs w:val="21"/>
                    </w:rPr>
                    <w:t>海洋</w:t>
                  </w:r>
                </w:p>
              </w:tc>
              <w:tc>
                <w:tcPr>
                  <w:tcW w:w="2434" w:type="pct"/>
                  <w:vAlign w:val="center"/>
                </w:tcPr>
                <w:p w14:paraId="4224C82D">
                  <w:pPr>
                    <w:pStyle w:val="72"/>
                    <w:spacing w:line="240" w:lineRule="auto"/>
                    <w:jc w:val="both"/>
                    <w:rPr>
                      <w:rFonts w:ascii="Times New Roman" w:hAnsi="Times New Roman" w:cs="Times New Roman"/>
                      <w:color w:val="auto"/>
                      <w:szCs w:val="21"/>
                    </w:rPr>
                  </w:pPr>
                  <w:r>
                    <w:rPr>
                      <w:rFonts w:ascii="Times New Roman" w:hAnsi="Times New Roman" w:cs="Times New Roman"/>
                      <w:color w:val="auto"/>
                      <w:szCs w:val="21"/>
                    </w:rPr>
                    <w:t>直接向海排放污染物的海洋工程建设项目</w:t>
                  </w:r>
                </w:p>
              </w:tc>
              <w:tc>
                <w:tcPr>
                  <w:tcW w:w="1407" w:type="pct"/>
                  <w:vAlign w:val="center"/>
                </w:tcPr>
                <w:p w14:paraId="5F48F709">
                  <w:pPr>
                    <w:pStyle w:val="72"/>
                    <w:spacing w:line="240" w:lineRule="auto"/>
                    <w:rPr>
                      <w:rFonts w:ascii="Times New Roman" w:hAnsi="Times New Roman" w:cs="Times New Roman"/>
                      <w:color w:val="auto"/>
                      <w:szCs w:val="21"/>
                    </w:rPr>
                  </w:pPr>
                  <w:r>
                    <w:rPr>
                      <w:rFonts w:ascii="Times New Roman" w:hAnsi="Times New Roman" w:cs="Times New Roman"/>
                      <w:color w:val="auto"/>
                      <w:szCs w:val="21"/>
                    </w:rPr>
                    <w:t>不涉及</w:t>
                  </w:r>
                </w:p>
              </w:tc>
              <w:tc>
                <w:tcPr>
                  <w:tcW w:w="417" w:type="pct"/>
                  <w:vAlign w:val="center"/>
                </w:tcPr>
                <w:p w14:paraId="525E0618">
                  <w:pPr>
                    <w:pStyle w:val="72"/>
                    <w:spacing w:line="240" w:lineRule="auto"/>
                    <w:rPr>
                      <w:rFonts w:ascii="Times New Roman" w:hAnsi="Times New Roman" w:cs="Times New Roman"/>
                      <w:color w:val="auto"/>
                      <w:szCs w:val="21"/>
                    </w:rPr>
                  </w:pPr>
                  <w:r>
                    <w:rPr>
                      <w:rFonts w:ascii="Times New Roman" w:hAnsi="Times New Roman" w:cs="Times New Roman"/>
                      <w:color w:val="auto"/>
                      <w:szCs w:val="21"/>
                    </w:rPr>
                    <w:t>不开展</w:t>
                  </w:r>
                </w:p>
              </w:tc>
            </w:tr>
          </w:tbl>
          <w:p w14:paraId="09C37BEE">
            <w:pPr>
              <w:autoSpaceDE w:val="0"/>
              <w:autoSpaceDN w:val="0"/>
              <w:adjustRightInd w:val="0"/>
              <w:snapToGrid w:val="0"/>
              <w:spacing w:line="360" w:lineRule="auto"/>
              <w:ind w:firstLine="420" w:firstLineChars="200"/>
              <w:rPr>
                <w:rFonts w:ascii="宋体" w:hAnsi="宋体" w:cs="宋体"/>
                <w:color w:val="auto"/>
                <w:kern w:val="0"/>
                <w:sz w:val="24"/>
              </w:rPr>
            </w:pPr>
            <w:r>
              <w:rPr>
                <w:color w:val="auto"/>
              </w:rPr>
              <w:t>由表1-1可知，本项目无需进行专项评价。</w:t>
            </w:r>
          </w:p>
        </w:tc>
      </w:tr>
      <w:tr w14:paraId="7AAC17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778" w:type="dxa"/>
            <w:vAlign w:val="center"/>
          </w:tcPr>
          <w:p w14:paraId="69478D6B">
            <w:pPr>
              <w:autoSpaceDE w:val="0"/>
              <w:autoSpaceDN w:val="0"/>
              <w:adjustRightInd w:val="0"/>
              <w:snapToGrid w:val="0"/>
              <w:jc w:val="center"/>
              <w:rPr>
                <w:rFonts w:ascii="宋体" w:hAnsi="宋体" w:cs="宋体"/>
                <w:color w:val="auto"/>
                <w:kern w:val="0"/>
                <w:sz w:val="24"/>
              </w:rPr>
            </w:pPr>
            <w:r>
              <w:rPr>
                <w:rFonts w:hint="eastAsia" w:ascii="宋体" w:hAnsi="宋体" w:cs="宋体"/>
                <w:color w:val="auto"/>
                <w:sz w:val="24"/>
              </w:rPr>
              <w:t>规划情况</w:t>
            </w:r>
          </w:p>
        </w:tc>
        <w:tc>
          <w:tcPr>
            <w:tcW w:w="8000" w:type="dxa"/>
            <w:gridSpan w:val="4"/>
            <w:vAlign w:val="center"/>
          </w:tcPr>
          <w:p w14:paraId="27FD79E7">
            <w:pPr>
              <w:keepNext w:val="0"/>
              <w:keepLines w:val="0"/>
              <w:pageBreakBefore w:val="0"/>
              <w:widowControl w:val="0"/>
              <w:kinsoku/>
              <w:wordWrap/>
              <w:overflowPunct/>
              <w:topLinePunct w:val="0"/>
              <w:bidi w:val="0"/>
              <w:spacing w:line="360" w:lineRule="auto"/>
              <w:textAlignment w:val="auto"/>
              <w:rPr>
                <w:rFonts w:hint="eastAsia" w:ascii="Times New Roman" w:hAnsi="Times New Roman" w:eastAsia="宋体" w:cs="Times New Roman"/>
                <w:color w:val="FF0000"/>
                <w:sz w:val="24"/>
                <w:szCs w:val="24"/>
                <w:lang w:eastAsia="zh-CN"/>
              </w:rPr>
            </w:pPr>
            <w:r>
              <w:rPr>
                <w:rFonts w:hint="default" w:ascii="Times New Roman" w:hAnsi="Times New Roman" w:eastAsia="宋体" w:cs="Times New Roman"/>
                <w:color w:val="FF0000"/>
                <w:sz w:val="24"/>
                <w:szCs w:val="24"/>
              </w:rPr>
              <w:t>规划名称：《高安高新技术产业园区调区规划》</w:t>
            </w:r>
            <w:r>
              <w:rPr>
                <w:rFonts w:hint="eastAsia" w:cs="Times New Roman"/>
                <w:color w:val="FF0000"/>
                <w:sz w:val="24"/>
                <w:szCs w:val="24"/>
                <w:lang w:eastAsia="zh-CN"/>
              </w:rPr>
              <w:t>。</w:t>
            </w:r>
          </w:p>
          <w:p w14:paraId="423A572E">
            <w:pPr>
              <w:pStyle w:val="7"/>
              <w:keepNext w:val="0"/>
              <w:keepLines w:val="0"/>
              <w:pageBreakBefore w:val="0"/>
              <w:widowControl w:val="0"/>
              <w:kinsoku/>
              <w:wordWrap/>
              <w:overflowPunct/>
              <w:topLinePunct w:val="0"/>
              <w:bidi w:val="0"/>
              <w:spacing w:line="360" w:lineRule="auto"/>
              <w:ind w:left="0" w:leftChars="0" w:firstLine="0" w:firstLineChars="0"/>
              <w:textAlignment w:val="auto"/>
              <w:rPr>
                <w:rFonts w:hint="eastAsia" w:ascii="Times New Roman" w:hAnsi="Times New Roman" w:eastAsia="宋体" w:cs="Times New Roman"/>
                <w:color w:val="FF0000"/>
                <w:sz w:val="24"/>
                <w:szCs w:val="24"/>
                <w:lang w:eastAsia="zh-CN"/>
              </w:rPr>
            </w:pPr>
            <w:r>
              <w:rPr>
                <w:rFonts w:hint="default" w:ascii="Times New Roman" w:hAnsi="Times New Roman" w:eastAsia="宋体" w:cs="Times New Roman"/>
                <w:color w:val="FF0000"/>
                <w:sz w:val="24"/>
                <w:szCs w:val="24"/>
              </w:rPr>
              <w:t>审批机关：江西省人民政府</w:t>
            </w:r>
            <w:r>
              <w:rPr>
                <w:rFonts w:hint="eastAsia" w:cs="Times New Roman"/>
                <w:color w:val="FF0000"/>
                <w:sz w:val="24"/>
                <w:szCs w:val="24"/>
                <w:lang w:eastAsia="zh-CN"/>
              </w:rPr>
              <w:t>。</w:t>
            </w:r>
          </w:p>
          <w:p w14:paraId="2B96B213">
            <w:pPr>
              <w:tabs>
                <w:tab w:val="left" w:pos="2799"/>
              </w:tabs>
              <w:autoSpaceDE w:val="0"/>
              <w:autoSpaceDN w:val="0"/>
              <w:adjustRightInd w:val="0"/>
              <w:snapToGrid w:val="0"/>
              <w:spacing w:line="360" w:lineRule="auto"/>
              <w:jc w:val="left"/>
              <w:rPr>
                <w:rFonts w:hint="eastAsia" w:ascii="宋体" w:hAnsi="宋体" w:eastAsia="宋体" w:cs="宋体"/>
                <w:color w:val="auto"/>
                <w:kern w:val="0"/>
                <w:sz w:val="24"/>
                <w:lang w:val="en-US" w:eastAsia="zh-CN"/>
              </w:rPr>
            </w:pPr>
            <w:r>
              <w:rPr>
                <w:rFonts w:hint="default" w:ascii="Times New Roman" w:hAnsi="Times New Roman" w:eastAsia="宋体" w:cs="Times New Roman"/>
                <w:b w:val="0"/>
                <w:bCs/>
                <w:color w:val="FF0000"/>
                <w:sz w:val="24"/>
                <w:szCs w:val="24"/>
              </w:rPr>
              <w:t>审查文件文号及名称：府厅字</w:t>
            </w:r>
            <w:r>
              <w:rPr>
                <w:rFonts w:hint="eastAsia" w:ascii="Times New Roman" w:hAnsi="Times New Roman" w:eastAsia="宋体" w:cs="Times New Roman"/>
                <w:b w:val="0"/>
                <w:bCs/>
                <w:color w:val="FF0000"/>
                <w:sz w:val="24"/>
                <w:szCs w:val="24"/>
                <w:lang w:eastAsia="zh-CN"/>
              </w:rPr>
              <w:t>（</w:t>
            </w:r>
            <w:r>
              <w:rPr>
                <w:rFonts w:hint="default" w:ascii="Times New Roman" w:hAnsi="Times New Roman" w:eastAsia="宋体" w:cs="Times New Roman"/>
                <w:b w:val="0"/>
                <w:bCs/>
                <w:color w:val="FF0000"/>
                <w:sz w:val="24"/>
                <w:szCs w:val="24"/>
              </w:rPr>
              <w:t>2024</w:t>
            </w:r>
            <w:r>
              <w:rPr>
                <w:rFonts w:hint="eastAsia" w:ascii="Times New Roman" w:hAnsi="Times New Roman" w:eastAsia="宋体" w:cs="Times New Roman"/>
                <w:b w:val="0"/>
                <w:bCs/>
                <w:color w:val="FF0000"/>
                <w:sz w:val="24"/>
                <w:szCs w:val="24"/>
                <w:lang w:eastAsia="zh-CN"/>
              </w:rPr>
              <w:t>）</w:t>
            </w:r>
            <w:r>
              <w:rPr>
                <w:rFonts w:hint="default" w:ascii="Times New Roman" w:hAnsi="Times New Roman" w:eastAsia="宋体" w:cs="Times New Roman"/>
                <w:b w:val="0"/>
                <w:bCs/>
                <w:color w:val="FF0000"/>
                <w:sz w:val="24"/>
                <w:szCs w:val="24"/>
              </w:rPr>
              <w:t>32号</w:t>
            </w:r>
            <w:r>
              <w:rPr>
                <w:rFonts w:hint="eastAsia" w:cs="Times New Roman"/>
                <w:b w:val="0"/>
                <w:bCs/>
                <w:color w:val="FF0000"/>
                <w:sz w:val="24"/>
                <w:szCs w:val="24"/>
                <w:lang w:eastAsia="zh-CN"/>
              </w:rPr>
              <w:t>。</w:t>
            </w:r>
          </w:p>
        </w:tc>
      </w:tr>
      <w:tr w14:paraId="7A8FC5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778" w:type="dxa"/>
            <w:vAlign w:val="center"/>
          </w:tcPr>
          <w:p w14:paraId="48E5C6D5">
            <w:pPr>
              <w:adjustRightInd w:val="0"/>
              <w:snapToGrid w:val="0"/>
              <w:jc w:val="center"/>
              <w:rPr>
                <w:rFonts w:ascii="宋体" w:hAnsi="宋体" w:cs="宋体"/>
                <w:color w:val="auto"/>
                <w:sz w:val="24"/>
              </w:rPr>
            </w:pPr>
            <w:r>
              <w:rPr>
                <w:rFonts w:hint="eastAsia" w:ascii="宋体" w:hAnsi="宋体" w:cs="宋体"/>
                <w:color w:val="auto"/>
                <w:sz w:val="24"/>
              </w:rPr>
              <w:t>规划环境影响</w:t>
            </w:r>
          </w:p>
          <w:p w14:paraId="1B6772B5">
            <w:pPr>
              <w:adjustRightInd w:val="0"/>
              <w:snapToGrid w:val="0"/>
              <w:jc w:val="center"/>
              <w:rPr>
                <w:rFonts w:ascii="宋体" w:hAnsi="宋体" w:cs="宋体"/>
                <w:color w:val="auto"/>
                <w:kern w:val="0"/>
                <w:sz w:val="24"/>
              </w:rPr>
            </w:pPr>
            <w:r>
              <w:rPr>
                <w:rFonts w:hint="eastAsia" w:ascii="宋体" w:hAnsi="宋体" w:cs="宋体"/>
                <w:color w:val="auto"/>
                <w:sz w:val="24"/>
              </w:rPr>
              <w:t>评价情况</w:t>
            </w:r>
          </w:p>
        </w:tc>
        <w:tc>
          <w:tcPr>
            <w:tcW w:w="8000" w:type="dxa"/>
            <w:gridSpan w:val="4"/>
            <w:vAlign w:val="center"/>
          </w:tcPr>
          <w:p w14:paraId="6816DCCF">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hint="eastAsia" w:ascii="Times New Roman" w:hAnsi="Times New Roman" w:eastAsia="宋体" w:cs="Times New Roman"/>
                <w:color w:val="FF0000"/>
                <w:sz w:val="24"/>
                <w:szCs w:val="24"/>
                <w:lang w:eastAsia="zh-CN"/>
              </w:rPr>
            </w:pPr>
            <w:r>
              <w:rPr>
                <w:rFonts w:hint="default" w:ascii="Times New Roman" w:hAnsi="Times New Roman" w:eastAsia="宋体" w:cs="Times New Roman"/>
                <w:color w:val="FF0000"/>
                <w:sz w:val="24"/>
                <w:szCs w:val="24"/>
              </w:rPr>
              <w:t>规划环境影响评价名称：《江西高安高新技术产业园区扩区调区规划环境影响报告书》</w:t>
            </w:r>
            <w:r>
              <w:rPr>
                <w:rFonts w:hint="eastAsia" w:cs="Times New Roman"/>
                <w:color w:val="FF0000"/>
                <w:sz w:val="24"/>
                <w:szCs w:val="24"/>
                <w:lang w:eastAsia="zh-CN"/>
              </w:rPr>
              <w:t>。</w:t>
            </w:r>
          </w:p>
          <w:p w14:paraId="5021D78D">
            <w:pPr>
              <w:keepNext w:val="0"/>
              <w:keepLines w:val="0"/>
              <w:pageBreakBefore w:val="0"/>
              <w:widowControl w:val="0"/>
              <w:kinsoku/>
              <w:wordWrap/>
              <w:overflowPunct/>
              <w:topLinePunct w:val="0"/>
              <w:autoSpaceDE w:val="0"/>
              <w:autoSpaceDN w:val="0"/>
              <w:bidi w:val="0"/>
              <w:adjustRightInd w:val="0"/>
              <w:snapToGrid w:val="0"/>
              <w:spacing w:line="360" w:lineRule="auto"/>
              <w:jc w:val="left"/>
              <w:textAlignment w:val="auto"/>
              <w:rPr>
                <w:rFonts w:hint="eastAsia" w:ascii="Times New Roman" w:hAnsi="Times New Roman" w:eastAsia="宋体" w:cs="Times New Roman"/>
                <w:color w:val="FF0000"/>
                <w:sz w:val="24"/>
                <w:szCs w:val="24"/>
                <w:lang w:eastAsia="zh-CN"/>
              </w:rPr>
            </w:pPr>
            <w:r>
              <w:rPr>
                <w:rFonts w:hint="default" w:ascii="Times New Roman" w:hAnsi="Times New Roman" w:eastAsia="宋体" w:cs="Times New Roman"/>
                <w:color w:val="FF0000"/>
                <w:sz w:val="24"/>
                <w:szCs w:val="24"/>
              </w:rPr>
              <w:t>召集审查机关：江西省生态环境厅</w:t>
            </w:r>
            <w:r>
              <w:rPr>
                <w:rFonts w:hint="eastAsia" w:cs="Times New Roman"/>
                <w:color w:val="FF0000"/>
                <w:sz w:val="24"/>
                <w:szCs w:val="24"/>
                <w:lang w:eastAsia="zh-CN"/>
              </w:rPr>
              <w:t>。</w:t>
            </w:r>
          </w:p>
          <w:p w14:paraId="6D1C9B36">
            <w:pPr>
              <w:keepNext w:val="0"/>
              <w:keepLines w:val="0"/>
              <w:pageBreakBefore w:val="0"/>
              <w:widowControl w:val="0"/>
              <w:kinsoku/>
              <w:wordWrap/>
              <w:overflowPunct/>
              <w:topLinePunct w:val="0"/>
              <w:autoSpaceDE w:val="0"/>
              <w:autoSpaceDN w:val="0"/>
              <w:bidi w:val="0"/>
              <w:adjustRightInd w:val="0"/>
              <w:snapToGrid w:val="0"/>
              <w:spacing w:line="360" w:lineRule="auto"/>
              <w:jc w:val="left"/>
              <w:textAlignment w:val="auto"/>
              <w:rPr>
                <w:rFonts w:hint="default" w:ascii="宋体" w:hAnsi="宋体" w:eastAsia="宋体" w:cs="宋体"/>
                <w:color w:val="auto"/>
                <w:kern w:val="0"/>
                <w:sz w:val="24"/>
                <w:lang w:val="en-US" w:eastAsia="zh-CN"/>
              </w:rPr>
            </w:pPr>
            <w:r>
              <w:rPr>
                <w:rFonts w:hint="default" w:ascii="Times New Roman" w:hAnsi="Times New Roman" w:eastAsia="宋体" w:cs="Times New Roman"/>
                <w:color w:val="FF0000"/>
                <w:sz w:val="24"/>
                <w:szCs w:val="24"/>
              </w:rPr>
              <w:t>审查文件名称及文号：《江西省生态环境厅关于江西高安高新技术产业园区扩区调区规划环境影响报告书审查意见的函》（赣环环评函〔2024〕69号）</w:t>
            </w:r>
            <w:r>
              <w:rPr>
                <w:rFonts w:hint="eastAsia" w:cs="Times New Roman"/>
                <w:color w:val="FF0000"/>
                <w:sz w:val="24"/>
                <w:szCs w:val="24"/>
                <w:lang w:eastAsia="zh-CN"/>
              </w:rPr>
              <w:t>。</w:t>
            </w:r>
          </w:p>
        </w:tc>
      </w:tr>
      <w:tr w14:paraId="7287DC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78" w:type="dxa"/>
            <w:vAlign w:val="center"/>
          </w:tcPr>
          <w:p w14:paraId="30D1D14E">
            <w:pPr>
              <w:autoSpaceDE w:val="0"/>
              <w:autoSpaceDN w:val="0"/>
              <w:adjustRightInd w:val="0"/>
              <w:snapToGrid w:val="0"/>
              <w:jc w:val="center"/>
              <w:rPr>
                <w:rFonts w:ascii="宋体" w:hAnsi="宋体" w:cs="宋体"/>
                <w:color w:val="auto"/>
                <w:kern w:val="0"/>
                <w:sz w:val="24"/>
              </w:rPr>
            </w:pPr>
            <w:r>
              <w:rPr>
                <w:rFonts w:hint="eastAsia" w:ascii="宋体" w:hAnsi="宋体" w:cs="宋体"/>
                <w:color w:val="auto"/>
                <w:kern w:val="0"/>
                <w:sz w:val="24"/>
              </w:rPr>
              <w:t>价符规划及规划环境影响评合性分析</w:t>
            </w:r>
          </w:p>
        </w:tc>
        <w:tc>
          <w:tcPr>
            <w:tcW w:w="8000" w:type="dxa"/>
            <w:gridSpan w:val="4"/>
            <w:vAlign w:val="center"/>
          </w:tcPr>
          <w:p w14:paraId="39F970A3">
            <w:pPr>
              <w:keepNext w:val="0"/>
              <w:keepLines w:val="0"/>
              <w:pageBreakBefore w:val="0"/>
              <w:widowControl w:val="0"/>
              <w:kinsoku/>
              <w:wordWrap/>
              <w:overflowPunct/>
              <w:topLinePunct w:val="0"/>
              <w:bidi w:val="0"/>
              <w:spacing w:line="360" w:lineRule="auto"/>
              <w:ind w:firstLine="482" w:firstLineChars="200"/>
              <w:textAlignment w:val="auto"/>
              <w:rPr>
                <w:rFonts w:hint="default" w:ascii="Times New Roman" w:hAnsi="Times New Roman" w:eastAsia="宋体" w:cs="Times New Roman"/>
                <w:b/>
                <w:bCs/>
                <w:color w:val="FF0000"/>
                <w:sz w:val="24"/>
                <w:szCs w:val="24"/>
              </w:rPr>
            </w:pPr>
            <w:r>
              <w:rPr>
                <w:rFonts w:hint="default" w:ascii="Times New Roman" w:hAnsi="Times New Roman" w:eastAsia="宋体" w:cs="Times New Roman"/>
                <w:b/>
                <w:bCs/>
                <w:color w:val="FF0000"/>
                <w:sz w:val="24"/>
                <w:szCs w:val="24"/>
              </w:rPr>
              <w:t>1、与《江西高安高新技术产业园区扩区调区规划》</w:t>
            </w:r>
            <w:r>
              <w:rPr>
                <w:rFonts w:hint="eastAsia" w:ascii="Times New Roman" w:hAnsi="Times New Roman" w:cs="Times New Roman"/>
                <w:b/>
                <w:bCs/>
                <w:color w:val="FF0000"/>
                <w:sz w:val="24"/>
                <w:szCs w:val="24"/>
                <w:lang w:eastAsia="zh-CN"/>
              </w:rPr>
              <w:t>（</w:t>
            </w:r>
            <w:r>
              <w:rPr>
                <w:rFonts w:hint="default" w:ascii="Times New Roman" w:hAnsi="Times New Roman" w:eastAsia="宋体" w:cs="Times New Roman"/>
                <w:b/>
                <w:bCs/>
                <w:color w:val="FF0000"/>
                <w:sz w:val="24"/>
                <w:szCs w:val="24"/>
              </w:rPr>
              <w:t>赣府厅字(2024)32号</w:t>
            </w:r>
            <w:r>
              <w:rPr>
                <w:rFonts w:hint="eastAsia" w:ascii="Times New Roman" w:hAnsi="Times New Roman" w:cs="Times New Roman"/>
                <w:b/>
                <w:bCs/>
                <w:color w:val="FF0000"/>
                <w:sz w:val="24"/>
                <w:szCs w:val="24"/>
                <w:lang w:eastAsia="zh-CN"/>
              </w:rPr>
              <w:t>）</w:t>
            </w:r>
            <w:r>
              <w:rPr>
                <w:rFonts w:hint="default" w:ascii="Times New Roman" w:hAnsi="Times New Roman" w:eastAsia="宋体" w:cs="Times New Roman"/>
                <w:b/>
                <w:bCs/>
                <w:color w:val="FF0000"/>
                <w:sz w:val="24"/>
                <w:szCs w:val="24"/>
              </w:rPr>
              <w:t>相符性分析</w:t>
            </w:r>
          </w:p>
          <w:p w14:paraId="4DC8967C">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FF0000"/>
                <w:sz w:val="24"/>
                <w:szCs w:val="24"/>
              </w:rPr>
            </w:pPr>
            <w:r>
              <w:rPr>
                <w:rFonts w:hint="default" w:ascii="Times New Roman" w:hAnsi="Times New Roman" w:eastAsia="宋体" w:cs="Times New Roman"/>
                <w:color w:val="FF0000"/>
                <w:sz w:val="24"/>
                <w:szCs w:val="24"/>
              </w:rPr>
              <w:t>江西高安工业园区中的新世纪产业园前身为新世纪工业城，江西省政府于2006年</w:t>
            </w:r>
            <w:r>
              <w:rPr>
                <w:rFonts w:hint="eastAsia" w:ascii="Times New Roman" w:hAnsi="Times New Roman" w:cs="Times New Roman"/>
                <w:color w:val="FF0000"/>
                <w:sz w:val="24"/>
                <w:szCs w:val="24"/>
                <w:lang w:val="en-US" w:eastAsia="zh-CN"/>
              </w:rPr>
              <w:t>3</w:t>
            </w:r>
            <w:r>
              <w:rPr>
                <w:rFonts w:hint="default" w:ascii="Times New Roman" w:hAnsi="Times New Roman" w:eastAsia="宋体" w:cs="Times New Roman"/>
                <w:color w:val="FF0000"/>
                <w:sz w:val="24"/>
                <w:szCs w:val="24"/>
              </w:rPr>
              <w:t>月以赣府字〔2006〕17号文件批准其为省级工业园区，并更名为</w:t>
            </w:r>
            <w:r>
              <w:rPr>
                <w:rFonts w:hint="eastAsia" w:ascii="Times New Roman" w:hAnsi="Times New Roman" w:eastAsia="宋体" w:cs="Times New Roman"/>
                <w:color w:val="FF0000"/>
                <w:sz w:val="24"/>
                <w:szCs w:val="24"/>
                <w:lang w:eastAsia="zh-CN"/>
              </w:rPr>
              <w:t>“</w:t>
            </w:r>
            <w:r>
              <w:rPr>
                <w:rFonts w:hint="default" w:ascii="Times New Roman" w:hAnsi="Times New Roman" w:eastAsia="宋体" w:cs="Times New Roman"/>
                <w:color w:val="FF0000"/>
                <w:sz w:val="24"/>
                <w:szCs w:val="24"/>
              </w:rPr>
              <w:t>江西高安工业园区</w:t>
            </w:r>
            <w:r>
              <w:rPr>
                <w:rFonts w:hint="eastAsia" w:ascii="Times New Roman" w:hAnsi="Times New Roman" w:eastAsia="宋体" w:cs="Times New Roman"/>
                <w:color w:val="FF0000"/>
                <w:sz w:val="24"/>
                <w:szCs w:val="24"/>
                <w:lang w:eastAsia="zh-CN"/>
              </w:rPr>
              <w:t>”</w:t>
            </w:r>
            <w:r>
              <w:rPr>
                <w:rFonts w:hint="eastAsia" w:ascii="Times New Roman" w:hAnsi="Times New Roman" w:cs="Times New Roman"/>
                <w:color w:val="FF0000"/>
                <w:sz w:val="24"/>
                <w:szCs w:val="24"/>
                <w:lang w:eastAsia="zh-CN"/>
              </w:rPr>
              <w:t>；</w:t>
            </w:r>
            <w:r>
              <w:rPr>
                <w:rFonts w:hint="default" w:ascii="Times New Roman" w:hAnsi="Times New Roman" w:eastAsia="宋体" w:cs="Times New Roman"/>
                <w:color w:val="FF0000"/>
                <w:sz w:val="24"/>
                <w:szCs w:val="24"/>
              </w:rPr>
              <w:t>2017年7月，江西省人民政府以</w:t>
            </w:r>
            <w:r>
              <w:rPr>
                <w:rFonts w:hint="eastAsia" w:ascii="Times New Roman" w:hAnsi="Times New Roman" w:cs="Times New Roman"/>
                <w:color w:val="FF0000"/>
                <w:sz w:val="24"/>
                <w:szCs w:val="24"/>
                <w:lang w:val="en-US" w:eastAsia="zh-CN"/>
              </w:rPr>
              <w:t>赣</w:t>
            </w:r>
            <w:r>
              <w:rPr>
                <w:rFonts w:hint="default" w:ascii="Times New Roman" w:hAnsi="Times New Roman" w:eastAsia="宋体" w:cs="Times New Roman"/>
                <w:color w:val="FF0000"/>
                <w:sz w:val="24"/>
                <w:szCs w:val="24"/>
              </w:rPr>
              <w:t>府字〔2017〕59号同意江西高安工业园区更名为江西高安高新技术产业园区</w:t>
            </w:r>
            <w:r>
              <w:rPr>
                <w:rFonts w:hint="eastAsia" w:ascii="Times New Roman" w:hAnsi="Times New Roman" w:cs="Times New Roman"/>
                <w:color w:val="FF0000"/>
                <w:sz w:val="24"/>
                <w:szCs w:val="24"/>
                <w:lang w:eastAsia="zh-CN"/>
              </w:rPr>
              <w:t>；</w:t>
            </w:r>
            <w:r>
              <w:rPr>
                <w:rFonts w:hint="default" w:ascii="Times New Roman" w:hAnsi="Times New Roman" w:eastAsia="宋体" w:cs="Times New Roman"/>
                <w:color w:val="FF0000"/>
                <w:sz w:val="24"/>
                <w:szCs w:val="24"/>
              </w:rPr>
              <w:t>2021年8月江西省人民政府以赣府厅字〔20</w:t>
            </w:r>
            <w:r>
              <w:rPr>
                <w:rFonts w:hint="eastAsia" w:ascii="Times New Roman" w:hAnsi="Times New Roman" w:cs="Times New Roman"/>
                <w:color w:val="FF0000"/>
                <w:sz w:val="24"/>
                <w:szCs w:val="24"/>
                <w:lang w:val="en-US" w:eastAsia="zh-CN"/>
              </w:rPr>
              <w:t>21</w:t>
            </w:r>
            <w:r>
              <w:rPr>
                <w:rFonts w:hint="default" w:ascii="Times New Roman" w:hAnsi="Times New Roman" w:eastAsia="宋体" w:cs="Times New Roman"/>
                <w:color w:val="FF0000"/>
                <w:sz w:val="24"/>
                <w:szCs w:val="24"/>
              </w:rPr>
              <w:t>〕64号</w:t>
            </w:r>
            <w:r>
              <w:rPr>
                <w:rFonts w:hint="eastAsia" w:ascii="Times New Roman" w:hAnsi="Times New Roman" w:cs="Times New Roman"/>
                <w:color w:val="FF0000"/>
                <w:sz w:val="24"/>
                <w:szCs w:val="24"/>
                <w:lang w:val="en-US" w:eastAsia="zh-CN"/>
              </w:rPr>
              <w:t>文</w:t>
            </w:r>
            <w:r>
              <w:rPr>
                <w:rFonts w:hint="default" w:ascii="Times New Roman" w:hAnsi="Times New Roman" w:eastAsia="宋体" w:cs="Times New Roman"/>
                <w:color w:val="FF0000"/>
                <w:sz w:val="24"/>
                <w:szCs w:val="24"/>
              </w:rPr>
              <w:t>同意江西高安高新技术产业园调整区位。2023年4月，江西省发展和改革委员会出具了《关于同意高安高新技术产业园区开展扩区调区前期工作的复函</w:t>
            </w:r>
            <w:r>
              <w:rPr>
                <w:rFonts w:hint="eastAsia" w:ascii="Times New Roman" w:hAnsi="Times New Roman" w:cs="Times New Roman"/>
                <w:color w:val="FF0000"/>
                <w:sz w:val="24"/>
                <w:szCs w:val="24"/>
                <w:lang w:eastAsia="zh-CN"/>
              </w:rPr>
              <w:t>》</w:t>
            </w:r>
            <w:r>
              <w:rPr>
                <w:rFonts w:hint="default" w:ascii="Times New Roman" w:hAnsi="Times New Roman" w:eastAsia="宋体" w:cs="Times New Roman"/>
                <w:color w:val="FF0000"/>
                <w:sz w:val="24"/>
                <w:szCs w:val="24"/>
              </w:rPr>
              <w:t>。</w:t>
            </w:r>
          </w:p>
          <w:p w14:paraId="07F7D3C3">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FF0000"/>
                <w:sz w:val="24"/>
                <w:szCs w:val="24"/>
              </w:rPr>
            </w:pPr>
            <w:r>
              <w:rPr>
                <w:rFonts w:hint="default" w:ascii="Times New Roman" w:hAnsi="Times New Roman" w:eastAsia="宋体" w:cs="Times New Roman"/>
                <w:color w:val="FF0000"/>
                <w:sz w:val="24"/>
                <w:szCs w:val="24"/>
              </w:rPr>
              <w:t>江西高安高新技术产业园本次扩区调区拟规划面积3896.47公顷，其中新世纪产业园1444.8公顷、建筑陶瓷产业园2408.42公顷、建材环保产业园43.25公顷，形成</w:t>
            </w:r>
            <w:r>
              <w:rPr>
                <w:rFonts w:hint="eastAsia" w:ascii="Times New Roman" w:hAnsi="Times New Roman" w:cs="Times New Roman"/>
                <w:color w:val="FF0000"/>
                <w:sz w:val="24"/>
                <w:szCs w:val="24"/>
                <w:lang w:eastAsia="zh-CN"/>
              </w:rPr>
              <w:t>“</w:t>
            </w:r>
            <w:r>
              <w:rPr>
                <w:rFonts w:hint="default" w:ascii="Times New Roman" w:hAnsi="Times New Roman" w:eastAsia="宋体" w:cs="Times New Roman"/>
                <w:color w:val="FF0000"/>
                <w:sz w:val="24"/>
                <w:szCs w:val="24"/>
              </w:rPr>
              <w:t>一区三园</w:t>
            </w:r>
            <w:r>
              <w:rPr>
                <w:rFonts w:hint="eastAsia" w:ascii="Times New Roman" w:hAnsi="Times New Roman" w:cs="Times New Roman"/>
                <w:color w:val="FF0000"/>
                <w:sz w:val="24"/>
                <w:szCs w:val="24"/>
                <w:lang w:eastAsia="zh-CN"/>
              </w:rPr>
              <w:t>”</w:t>
            </w:r>
            <w:r>
              <w:rPr>
                <w:rFonts w:hint="default" w:ascii="Times New Roman" w:hAnsi="Times New Roman" w:eastAsia="宋体" w:cs="Times New Roman"/>
                <w:color w:val="FF0000"/>
                <w:sz w:val="24"/>
                <w:szCs w:val="24"/>
              </w:rPr>
              <w:t>的产业发展格局。新世纪产业园包括工业园核心组团、杨家湖组团和祥符收费站组团，以高端装备制造、电子信息制造、新能源新材料为主导产业</w:t>
            </w:r>
            <w:r>
              <w:rPr>
                <w:rFonts w:hint="eastAsia" w:ascii="Times New Roman" w:hAnsi="Times New Roman" w:cs="Times New Roman"/>
                <w:color w:val="FF0000"/>
                <w:sz w:val="24"/>
                <w:szCs w:val="24"/>
                <w:lang w:eastAsia="zh-CN"/>
              </w:rPr>
              <w:t>；</w:t>
            </w:r>
            <w:r>
              <w:rPr>
                <w:rFonts w:hint="default" w:ascii="Times New Roman" w:hAnsi="Times New Roman" w:eastAsia="宋体" w:cs="Times New Roman"/>
                <w:color w:val="FF0000"/>
                <w:sz w:val="24"/>
                <w:szCs w:val="24"/>
              </w:rPr>
              <w:t>建筑陶瓷产业园包括陶瓷基地核心组团、铁路沿线组团、南组团、胡家坊组团及西组团，以建筑陶瓷、新能源为主导产业</w:t>
            </w:r>
            <w:r>
              <w:rPr>
                <w:rFonts w:hint="eastAsia" w:ascii="Times New Roman" w:hAnsi="Times New Roman" w:cs="Times New Roman"/>
                <w:color w:val="FF0000"/>
                <w:sz w:val="24"/>
                <w:szCs w:val="24"/>
                <w:lang w:eastAsia="zh-CN"/>
              </w:rPr>
              <w:t>；</w:t>
            </w:r>
            <w:r>
              <w:rPr>
                <w:rFonts w:hint="default" w:ascii="Times New Roman" w:hAnsi="Times New Roman" w:eastAsia="宋体" w:cs="Times New Roman"/>
                <w:color w:val="FF0000"/>
                <w:sz w:val="24"/>
                <w:szCs w:val="24"/>
              </w:rPr>
              <w:t>建材环保产业园规划建材水泥产业。</w:t>
            </w:r>
          </w:p>
          <w:p w14:paraId="7FB2BFFE">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FF0000"/>
                <w:sz w:val="24"/>
                <w:szCs w:val="24"/>
              </w:rPr>
            </w:pPr>
            <w:r>
              <w:rPr>
                <w:rFonts w:hint="default" w:ascii="Times New Roman" w:hAnsi="Times New Roman" w:eastAsia="宋体" w:cs="Times New Roman"/>
                <w:color w:val="FF0000"/>
                <w:sz w:val="24"/>
                <w:szCs w:val="24"/>
              </w:rPr>
              <w:t>本项目位于江西高安高新技术产业园区建筑陶瓷产业园，项目</w:t>
            </w:r>
            <w:r>
              <w:rPr>
                <w:rFonts w:hint="eastAsia" w:ascii="Times New Roman" w:hAnsi="Times New Roman" w:cs="Times New Roman"/>
                <w:color w:val="FF0000"/>
                <w:sz w:val="24"/>
                <w:szCs w:val="24"/>
                <w:lang w:val="en-US" w:eastAsia="zh-CN"/>
              </w:rPr>
              <w:t>为锅炉技改项目，仅为现有项目供热，不涉及违背</w:t>
            </w:r>
            <w:r>
              <w:rPr>
                <w:rFonts w:hint="default" w:ascii="Times New Roman" w:hAnsi="Times New Roman" w:eastAsia="宋体" w:cs="Times New Roman"/>
                <w:color w:val="FF0000"/>
                <w:sz w:val="24"/>
                <w:szCs w:val="24"/>
              </w:rPr>
              <w:t>《江西高安高新技术产业园区扩区调区规划》</w:t>
            </w:r>
            <w:r>
              <w:rPr>
                <w:rFonts w:hint="eastAsia" w:ascii="Times New Roman" w:hAnsi="Times New Roman" w:cs="Times New Roman"/>
                <w:color w:val="FF0000"/>
                <w:sz w:val="24"/>
                <w:szCs w:val="24"/>
                <w:lang w:val="en-US" w:eastAsia="zh-CN"/>
              </w:rPr>
              <w:t>的</w:t>
            </w:r>
            <w:r>
              <w:rPr>
                <w:rFonts w:hint="default" w:ascii="Times New Roman" w:hAnsi="Times New Roman" w:eastAsia="宋体" w:cs="Times New Roman"/>
                <w:color w:val="FF0000"/>
                <w:sz w:val="24"/>
                <w:szCs w:val="24"/>
              </w:rPr>
              <w:t>要求。</w:t>
            </w:r>
          </w:p>
          <w:p w14:paraId="6C9B1877">
            <w:pPr>
              <w:keepNext w:val="0"/>
              <w:keepLines w:val="0"/>
              <w:pageBreakBefore w:val="0"/>
              <w:widowControl w:val="0"/>
              <w:kinsoku/>
              <w:wordWrap/>
              <w:overflowPunct/>
              <w:topLinePunct w:val="0"/>
              <w:bidi w:val="0"/>
              <w:spacing w:line="360" w:lineRule="auto"/>
              <w:ind w:firstLine="482" w:firstLineChars="200"/>
              <w:textAlignment w:val="auto"/>
              <w:rPr>
                <w:rFonts w:hint="default" w:ascii="Times New Roman" w:hAnsi="Times New Roman" w:eastAsia="宋体" w:cs="Times New Roman"/>
                <w:b/>
                <w:bCs/>
                <w:color w:val="FF0000"/>
                <w:sz w:val="24"/>
                <w:szCs w:val="24"/>
              </w:rPr>
            </w:pPr>
            <w:r>
              <w:rPr>
                <w:rFonts w:hint="default" w:ascii="Times New Roman" w:hAnsi="Times New Roman" w:eastAsia="宋体" w:cs="Times New Roman"/>
                <w:b/>
                <w:bCs/>
                <w:color w:val="FF0000"/>
                <w:sz w:val="24"/>
                <w:szCs w:val="24"/>
              </w:rPr>
              <w:t>2、与《江西高安高新技术产业园区扩区调区规划环境影响报告书》相符性分析</w:t>
            </w:r>
          </w:p>
          <w:p w14:paraId="22F16741">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b/>
                <w:bCs/>
                <w:color w:val="FF0000"/>
                <w:sz w:val="24"/>
                <w:szCs w:val="24"/>
              </w:rPr>
            </w:pPr>
            <w:r>
              <w:rPr>
                <w:rFonts w:hint="default" w:ascii="Times New Roman" w:hAnsi="Times New Roman" w:eastAsia="宋体" w:cs="Times New Roman"/>
                <w:b w:val="0"/>
                <w:bCs w:val="0"/>
                <w:color w:val="FF0000"/>
                <w:sz w:val="24"/>
                <w:szCs w:val="24"/>
              </w:rPr>
              <w:t>根据《江西高安高新技术产业园区扩区调区规划环境影响报告书》产业园设置了环境准入要求，本项目与其相符性分析见下表</w:t>
            </w:r>
            <w:r>
              <w:rPr>
                <w:rFonts w:hint="eastAsia" w:ascii="Times New Roman" w:hAnsi="Times New Roman" w:cs="Times New Roman"/>
                <w:b w:val="0"/>
                <w:bCs w:val="0"/>
                <w:color w:val="FF0000"/>
                <w:sz w:val="24"/>
                <w:szCs w:val="24"/>
                <w:lang w:eastAsia="zh-CN"/>
              </w:rPr>
              <w:t>。</w:t>
            </w:r>
          </w:p>
          <w:p w14:paraId="0C920FA5">
            <w:pPr>
              <w:spacing w:line="240" w:lineRule="auto"/>
              <w:ind w:firstLine="0" w:firstLineChars="0"/>
              <w:jc w:val="center"/>
              <w:rPr>
                <w:rFonts w:hint="default" w:eastAsia="宋体"/>
                <w:b/>
                <w:bCs/>
                <w:color w:val="FF0000"/>
                <w:sz w:val="24"/>
                <w:szCs w:val="24"/>
                <w:lang w:val="en-US" w:eastAsia="zh-CN"/>
              </w:rPr>
            </w:pPr>
            <w:r>
              <w:rPr>
                <w:b/>
                <w:bCs/>
                <w:color w:val="FF0000"/>
                <w:sz w:val="24"/>
                <w:szCs w:val="24"/>
              </w:rPr>
              <w:t xml:space="preserve">表1-2 </w:t>
            </w:r>
            <w:r>
              <w:rPr>
                <w:rFonts w:hint="eastAsia"/>
                <w:b/>
                <w:bCs/>
                <w:color w:val="FF0000"/>
                <w:sz w:val="24"/>
                <w:szCs w:val="24"/>
                <w:lang w:val="en-US" w:eastAsia="zh-CN"/>
              </w:rPr>
              <w:t xml:space="preserve">  与</w:t>
            </w:r>
            <w:r>
              <w:rPr>
                <w:rFonts w:hint="eastAsia"/>
                <w:b/>
                <w:bCs/>
                <w:color w:val="FF0000"/>
                <w:sz w:val="24"/>
                <w:szCs w:val="24"/>
              </w:rPr>
              <w:t>江西高安高新技术产业园生态环境准入清单</w:t>
            </w:r>
            <w:r>
              <w:rPr>
                <w:rFonts w:hint="eastAsia"/>
                <w:b/>
                <w:bCs/>
                <w:color w:val="FF0000"/>
                <w:sz w:val="24"/>
                <w:szCs w:val="24"/>
                <w:lang w:val="en-US" w:eastAsia="zh-CN"/>
              </w:rPr>
              <w:t>相符性分析</w:t>
            </w:r>
          </w:p>
          <w:tbl>
            <w:tblPr>
              <w:tblStyle w:val="2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6"/>
              <w:gridCol w:w="1048"/>
              <w:gridCol w:w="3421"/>
              <w:gridCol w:w="2020"/>
              <w:gridCol w:w="518"/>
            </w:tblGrid>
            <w:tr w14:paraId="7185C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7" w:type="pct"/>
                  <w:vAlign w:val="center"/>
                </w:tcPr>
                <w:p w14:paraId="5A6EEECD">
                  <w:pPr>
                    <w:pStyle w:val="9"/>
                    <w:keepNext w:val="0"/>
                    <w:keepLines w:val="0"/>
                    <w:pageBreakBefore w:val="0"/>
                    <w:widowControl w:val="0"/>
                    <w:kinsoku/>
                    <w:wordWrap/>
                    <w:overflowPunct/>
                    <w:topLinePunct w:val="0"/>
                    <w:bidi w:val="0"/>
                    <w:adjustRightInd w:val="0"/>
                    <w:spacing w:line="240" w:lineRule="auto"/>
                    <w:ind w:left="0" w:firstLine="0"/>
                    <w:jc w:val="center"/>
                    <w:rPr>
                      <w:rFonts w:hint="default" w:ascii="Times New Roman" w:hAnsi="Times New Roman" w:eastAsia="宋体" w:cs="Times New Roman"/>
                      <w:b w:val="0"/>
                      <w:bCs w:val="0"/>
                      <w:color w:val="FF0000"/>
                      <w:sz w:val="21"/>
                      <w:szCs w:val="21"/>
                    </w:rPr>
                  </w:pPr>
                  <w:r>
                    <w:rPr>
                      <w:rFonts w:hint="default" w:ascii="Times New Roman" w:hAnsi="Times New Roman" w:eastAsia="宋体" w:cs="Times New Roman"/>
                      <w:b w:val="0"/>
                      <w:bCs w:val="0"/>
                      <w:color w:val="FF0000"/>
                      <w:sz w:val="21"/>
                      <w:szCs w:val="21"/>
                    </w:rPr>
                    <w:t>清单维度</w:t>
                  </w:r>
                </w:p>
              </w:tc>
              <w:tc>
                <w:tcPr>
                  <w:tcW w:w="676" w:type="pct"/>
                  <w:vAlign w:val="center"/>
                </w:tcPr>
                <w:p w14:paraId="6CCC21B6">
                  <w:pPr>
                    <w:pStyle w:val="9"/>
                    <w:keepNext w:val="0"/>
                    <w:keepLines w:val="0"/>
                    <w:pageBreakBefore w:val="0"/>
                    <w:widowControl w:val="0"/>
                    <w:kinsoku/>
                    <w:wordWrap/>
                    <w:overflowPunct/>
                    <w:topLinePunct w:val="0"/>
                    <w:bidi w:val="0"/>
                    <w:adjustRightInd w:val="0"/>
                    <w:spacing w:line="240" w:lineRule="auto"/>
                    <w:ind w:left="0" w:firstLine="0"/>
                    <w:jc w:val="center"/>
                    <w:rPr>
                      <w:rFonts w:hint="default" w:ascii="Times New Roman" w:hAnsi="Times New Roman" w:eastAsia="宋体" w:cs="Times New Roman"/>
                      <w:b w:val="0"/>
                      <w:bCs w:val="0"/>
                      <w:color w:val="FF0000"/>
                      <w:sz w:val="21"/>
                      <w:szCs w:val="21"/>
                    </w:rPr>
                  </w:pPr>
                  <w:r>
                    <w:rPr>
                      <w:rFonts w:hint="default" w:ascii="Times New Roman" w:hAnsi="Times New Roman" w:eastAsia="宋体" w:cs="Times New Roman"/>
                      <w:b w:val="0"/>
                      <w:bCs w:val="0"/>
                      <w:color w:val="FF0000"/>
                      <w:sz w:val="21"/>
                      <w:szCs w:val="21"/>
                    </w:rPr>
                    <w:t>片区</w:t>
                  </w:r>
                </w:p>
              </w:tc>
              <w:tc>
                <w:tcPr>
                  <w:tcW w:w="2203" w:type="pct"/>
                  <w:vAlign w:val="center"/>
                </w:tcPr>
                <w:p w14:paraId="6E362AE4">
                  <w:pPr>
                    <w:pStyle w:val="9"/>
                    <w:keepNext w:val="0"/>
                    <w:keepLines w:val="0"/>
                    <w:pageBreakBefore w:val="0"/>
                    <w:widowControl w:val="0"/>
                    <w:kinsoku/>
                    <w:wordWrap/>
                    <w:overflowPunct/>
                    <w:topLinePunct w:val="0"/>
                    <w:bidi w:val="0"/>
                    <w:adjustRightInd w:val="0"/>
                    <w:spacing w:line="240" w:lineRule="auto"/>
                    <w:ind w:left="0" w:firstLine="0"/>
                    <w:jc w:val="center"/>
                    <w:rPr>
                      <w:rFonts w:hint="default" w:ascii="Times New Roman" w:hAnsi="Times New Roman" w:eastAsia="宋体" w:cs="Times New Roman"/>
                      <w:b w:val="0"/>
                      <w:bCs w:val="0"/>
                      <w:color w:val="FF0000"/>
                      <w:sz w:val="21"/>
                      <w:szCs w:val="21"/>
                    </w:rPr>
                  </w:pPr>
                  <w:r>
                    <w:rPr>
                      <w:rFonts w:hint="default" w:ascii="Times New Roman" w:hAnsi="Times New Roman" w:eastAsia="宋体" w:cs="Times New Roman"/>
                      <w:b w:val="0"/>
                      <w:bCs w:val="0"/>
                      <w:color w:val="FF0000"/>
                      <w:sz w:val="21"/>
                      <w:szCs w:val="21"/>
                    </w:rPr>
                    <w:t>准入内容</w:t>
                  </w:r>
                </w:p>
              </w:tc>
              <w:tc>
                <w:tcPr>
                  <w:tcW w:w="1301" w:type="pct"/>
                  <w:vAlign w:val="center"/>
                </w:tcPr>
                <w:p w14:paraId="2F185CB3">
                  <w:pPr>
                    <w:pStyle w:val="9"/>
                    <w:keepNext w:val="0"/>
                    <w:keepLines w:val="0"/>
                    <w:pageBreakBefore w:val="0"/>
                    <w:widowControl w:val="0"/>
                    <w:kinsoku/>
                    <w:wordWrap/>
                    <w:overflowPunct/>
                    <w:topLinePunct w:val="0"/>
                    <w:bidi w:val="0"/>
                    <w:adjustRightInd w:val="0"/>
                    <w:spacing w:line="240" w:lineRule="auto"/>
                    <w:ind w:left="0" w:firstLine="0"/>
                    <w:jc w:val="center"/>
                    <w:rPr>
                      <w:rFonts w:hint="default" w:ascii="Times New Roman" w:hAnsi="Times New Roman" w:eastAsia="宋体" w:cs="Times New Roman"/>
                      <w:b w:val="0"/>
                      <w:bCs w:val="0"/>
                      <w:color w:val="FF0000"/>
                      <w:sz w:val="21"/>
                      <w:szCs w:val="21"/>
                    </w:rPr>
                  </w:pPr>
                  <w:r>
                    <w:rPr>
                      <w:rFonts w:hint="default" w:ascii="Times New Roman" w:hAnsi="Times New Roman" w:eastAsia="宋体" w:cs="Times New Roman"/>
                      <w:b w:val="0"/>
                      <w:bCs w:val="0"/>
                      <w:color w:val="FF0000"/>
                      <w:sz w:val="21"/>
                      <w:szCs w:val="21"/>
                    </w:rPr>
                    <w:t>本项目情况</w:t>
                  </w:r>
                </w:p>
              </w:tc>
              <w:tc>
                <w:tcPr>
                  <w:tcW w:w="331" w:type="pct"/>
                  <w:vAlign w:val="center"/>
                </w:tcPr>
                <w:p w14:paraId="54A8F9D8">
                  <w:pPr>
                    <w:pStyle w:val="9"/>
                    <w:keepNext w:val="0"/>
                    <w:keepLines w:val="0"/>
                    <w:pageBreakBefore w:val="0"/>
                    <w:widowControl w:val="0"/>
                    <w:kinsoku/>
                    <w:wordWrap/>
                    <w:overflowPunct/>
                    <w:topLinePunct w:val="0"/>
                    <w:bidi w:val="0"/>
                    <w:adjustRightInd w:val="0"/>
                    <w:spacing w:line="240" w:lineRule="auto"/>
                    <w:ind w:left="0" w:firstLine="0"/>
                    <w:jc w:val="center"/>
                    <w:rPr>
                      <w:rFonts w:hint="default" w:ascii="Times New Roman" w:hAnsi="Times New Roman" w:eastAsia="宋体" w:cs="Times New Roman"/>
                      <w:b w:val="0"/>
                      <w:bCs w:val="0"/>
                      <w:color w:val="FF0000"/>
                      <w:sz w:val="21"/>
                      <w:szCs w:val="21"/>
                      <w:lang w:val="en-US" w:eastAsia="zh-CN"/>
                    </w:rPr>
                  </w:pPr>
                  <w:r>
                    <w:rPr>
                      <w:rFonts w:hint="eastAsia" w:ascii="Times New Roman" w:hAnsi="Times New Roman" w:eastAsia="宋体" w:cs="Times New Roman"/>
                      <w:b w:val="0"/>
                      <w:bCs w:val="0"/>
                      <w:color w:val="FF0000"/>
                      <w:sz w:val="21"/>
                      <w:szCs w:val="21"/>
                      <w:lang w:val="en-US" w:eastAsia="zh-CN"/>
                    </w:rPr>
                    <w:t>相符性</w:t>
                  </w:r>
                </w:p>
              </w:tc>
            </w:tr>
            <w:tr w14:paraId="1A1C6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7" w:type="pct"/>
                  <w:vAlign w:val="center"/>
                </w:tcPr>
                <w:p w14:paraId="33B7BA72">
                  <w:pPr>
                    <w:pStyle w:val="9"/>
                    <w:keepNext w:val="0"/>
                    <w:keepLines w:val="0"/>
                    <w:pageBreakBefore w:val="0"/>
                    <w:widowControl w:val="0"/>
                    <w:kinsoku/>
                    <w:wordWrap/>
                    <w:overflowPunct/>
                    <w:topLinePunct w:val="0"/>
                    <w:bidi w:val="0"/>
                    <w:adjustRightInd w:val="0"/>
                    <w:spacing w:line="240" w:lineRule="auto"/>
                    <w:ind w:left="0" w:firstLine="0"/>
                    <w:jc w:val="center"/>
                    <w:rPr>
                      <w:rFonts w:hint="default" w:ascii="Times New Roman" w:hAnsi="Times New Roman" w:eastAsia="宋体" w:cs="Times New Roman"/>
                      <w:b w:val="0"/>
                      <w:bCs w:val="0"/>
                      <w:color w:val="FF0000"/>
                      <w:sz w:val="21"/>
                      <w:szCs w:val="21"/>
                    </w:rPr>
                  </w:pPr>
                  <w:r>
                    <w:rPr>
                      <w:rFonts w:hint="default" w:ascii="Times New Roman" w:hAnsi="Times New Roman" w:eastAsia="宋体" w:cs="Times New Roman"/>
                      <w:b w:val="0"/>
                      <w:bCs w:val="0"/>
                      <w:color w:val="FF0000"/>
                      <w:sz w:val="21"/>
                      <w:szCs w:val="21"/>
                    </w:rPr>
                    <w:t>空间布局约束</w:t>
                  </w:r>
                </w:p>
              </w:tc>
              <w:tc>
                <w:tcPr>
                  <w:tcW w:w="676" w:type="pct"/>
                  <w:vAlign w:val="center"/>
                </w:tcPr>
                <w:p w14:paraId="2A787411">
                  <w:pPr>
                    <w:pStyle w:val="9"/>
                    <w:keepNext w:val="0"/>
                    <w:keepLines w:val="0"/>
                    <w:pageBreakBefore w:val="0"/>
                    <w:widowControl w:val="0"/>
                    <w:kinsoku/>
                    <w:wordWrap/>
                    <w:overflowPunct/>
                    <w:topLinePunct w:val="0"/>
                    <w:bidi w:val="0"/>
                    <w:adjustRightInd w:val="0"/>
                    <w:spacing w:line="240" w:lineRule="auto"/>
                    <w:ind w:left="0" w:firstLine="0"/>
                    <w:jc w:val="center"/>
                    <w:rPr>
                      <w:rFonts w:hint="default" w:ascii="Times New Roman" w:hAnsi="Times New Roman" w:eastAsia="宋体" w:cs="Times New Roman"/>
                      <w:b w:val="0"/>
                      <w:bCs w:val="0"/>
                      <w:color w:val="FF0000"/>
                      <w:sz w:val="21"/>
                      <w:szCs w:val="21"/>
                    </w:rPr>
                  </w:pPr>
                  <w:r>
                    <w:rPr>
                      <w:rFonts w:hint="default" w:ascii="Times New Roman" w:hAnsi="Times New Roman" w:eastAsia="宋体" w:cs="Times New Roman"/>
                      <w:color w:val="FF0000"/>
                      <w:sz w:val="21"/>
                      <w:szCs w:val="21"/>
                    </w:rPr>
                    <w:t>建筑陶瓷产业园</w:t>
                  </w:r>
                </w:p>
              </w:tc>
              <w:tc>
                <w:tcPr>
                  <w:tcW w:w="2203" w:type="pct"/>
                  <w:vAlign w:val="center"/>
                </w:tcPr>
                <w:p w14:paraId="18BF723A">
                  <w:pPr>
                    <w:pStyle w:val="102"/>
                    <w:keepNext w:val="0"/>
                    <w:keepLines w:val="0"/>
                    <w:pageBreakBefore w:val="0"/>
                    <w:widowControl w:val="0"/>
                    <w:numPr>
                      <w:ilvl w:val="0"/>
                      <w:numId w:val="3"/>
                    </w:numPr>
                    <w:kinsoku/>
                    <w:wordWrap/>
                    <w:overflowPunct/>
                    <w:topLinePunct w:val="0"/>
                    <w:bidi w:val="0"/>
                    <w:adjustRightInd w:val="0"/>
                    <w:spacing w:line="240" w:lineRule="auto"/>
                    <w:ind w:left="0" w:firstLine="0"/>
                    <w:jc w:val="both"/>
                    <w:rPr>
                      <w:rFonts w:hint="eastAsia" w:ascii="Times New Roman" w:hAnsi="Times New Roman" w:eastAsia="宋体" w:cs="Times New Roman"/>
                      <w:b w:val="0"/>
                      <w:bCs w:val="0"/>
                      <w:color w:val="FF0000"/>
                      <w:sz w:val="21"/>
                      <w:szCs w:val="21"/>
                      <w:lang w:val="en-US" w:eastAsia="zh-CN"/>
                    </w:rPr>
                  </w:pPr>
                  <w:r>
                    <w:rPr>
                      <w:rFonts w:hint="eastAsia" w:ascii="Times New Roman" w:hAnsi="Times New Roman" w:eastAsia="宋体" w:cs="Times New Roman"/>
                      <w:b w:val="0"/>
                      <w:bCs w:val="0"/>
                      <w:color w:val="FF0000"/>
                      <w:sz w:val="21"/>
                      <w:szCs w:val="21"/>
                      <w:lang w:val="en-US" w:eastAsia="zh-CN"/>
                    </w:rPr>
                    <w:t>建议加快江西省建筑陶瓷产业基地污水处理厂除铊设施建设进度，尽快投入使用。</w:t>
                  </w:r>
                </w:p>
                <w:p w14:paraId="53051604">
                  <w:pPr>
                    <w:pStyle w:val="102"/>
                    <w:keepNext w:val="0"/>
                    <w:keepLines w:val="0"/>
                    <w:pageBreakBefore w:val="0"/>
                    <w:widowControl w:val="0"/>
                    <w:numPr>
                      <w:ilvl w:val="0"/>
                      <w:numId w:val="3"/>
                    </w:numPr>
                    <w:kinsoku/>
                    <w:wordWrap/>
                    <w:overflowPunct/>
                    <w:topLinePunct w:val="0"/>
                    <w:bidi w:val="0"/>
                    <w:adjustRightInd w:val="0"/>
                    <w:spacing w:line="240" w:lineRule="auto"/>
                    <w:ind w:left="0" w:leftChars="0" w:firstLine="0" w:firstLineChars="0"/>
                    <w:jc w:val="both"/>
                    <w:rPr>
                      <w:rFonts w:hint="eastAsia" w:ascii="Times New Roman" w:hAnsi="Times New Roman" w:eastAsia="宋体" w:cs="Times New Roman"/>
                      <w:b w:val="0"/>
                      <w:bCs w:val="0"/>
                      <w:color w:val="FF0000"/>
                      <w:sz w:val="21"/>
                      <w:szCs w:val="21"/>
                      <w:lang w:val="en-US" w:eastAsia="zh-CN"/>
                    </w:rPr>
                  </w:pPr>
                  <w:r>
                    <w:rPr>
                      <w:rFonts w:hint="eastAsia" w:ascii="Times New Roman" w:hAnsi="Times New Roman" w:eastAsia="宋体" w:cs="Times New Roman"/>
                      <w:b w:val="0"/>
                      <w:bCs w:val="0"/>
                      <w:color w:val="FF0000"/>
                      <w:sz w:val="21"/>
                      <w:szCs w:val="21"/>
                      <w:lang w:val="en-US" w:eastAsia="zh-CN"/>
                    </w:rPr>
                    <w:t>建议加快高安市锂渣消纳场的建设，尽快投入使用。</w:t>
                  </w:r>
                </w:p>
                <w:p w14:paraId="69696B6F">
                  <w:pPr>
                    <w:pStyle w:val="102"/>
                    <w:keepNext w:val="0"/>
                    <w:keepLines w:val="0"/>
                    <w:pageBreakBefore w:val="0"/>
                    <w:widowControl w:val="0"/>
                    <w:numPr>
                      <w:ilvl w:val="0"/>
                      <w:numId w:val="3"/>
                    </w:numPr>
                    <w:kinsoku/>
                    <w:wordWrap/>
                    <w:overflowPunct/>
                    <w:topLinePunct w:val="0"/>
                    <w:bidi w:val="0"/>
                    <w:adjustRightInd w:val="0"/>
                    <w:spacing w:line="240" w:lineRule="auto"/>
                    <w:ind w:left="0" w:leftChars="0" w:firstLine="0" w:firstLineChars="0"/>
                    <w:jc w:val="both"/>
                    <w:rPr>
                      <w:rFonts w:hint="eastAsia" w:ascii="Times New Roman" w:hAnsi="Times New Roman" w:eastAsia="宋体" w:cs="Times New Roman"/>
                      <w:b w:val="0"/>
                      <w:bCs w:val="0"/>
                      <w:color w:val="FF0000"/>
                      <w:sz w:val="21"/>
                      <w:szCs w:val="21"/>
                      <w:lang w:val="en-US" w:eastAsia="zh-CN"/>
                    </w:rPr>
                  </w:pPr>
                  <w:r>
                    <w:rPr>
                      <w:rFonts w:hint="eastAsia" w:ascii="Times New Roman" w:hAnsi="Times New Roman" w:eastAsia="宋体" w:cs="Times New Roman"/>
                      <w:b w:val="0"/>
                      <w:bCs w:val="0"/>
                      <w:color w:val="FF0000"/>
                      <w:sz w:val="21"/>
                      <w:szCs w:val="21"/>
                      <w:lang w:val="en-US" w:eastAsia="zh-CN"/>
                    </w:rPr>
                    <w:t>规划产业：建筑陶瓷：根据区域环境容量严格控制建筑陶瓷产业规模，引进高精陶瓷及配套产业入园。新能源：规划的新能源行业碳酸锂生产企业产能控制在10.32万吨规模以内；禁止新建污染较大的太阳能电池前端工序多晶硅或单品硅生产。禁止引入不符合产业定位或碳排放要求的“两高”项目。</w:t>
                  </w:r>
                </w:p>
                <w:p w14:paraId="451057B3">
                  <w:pPr>
                    <w:pStyle w:val="102"/>
                    <w:keepNext w:val="0"/>
                    <w:keepLines w:val="0"/>
                    <w:pageBreakBefore w:val="0"/>
                    <w:widowControl w:val="0"/>
                    <w:numPr>
                      <w:ilvl w:val="0"/>
                      <w:numId w:val="0"/>
                    </w:numPr>
                    <w:kinsoku/>
                    <w:wordWrap/>
                    <w:overflowPunct/>
                    <w:topLinePunct w:val="0"/>
                    <w:bidi w:val="0"/>
                    <w:adjustRightInd w:val="0"/>
                    <w:spacing w:line="240" w:lineRule="auto"/>
                    <w:ind w:leftChars="0"/>
                    <w:jc w:val="both"/>
                    <w:rPr>
                      <w:rFonts w:hint="default" w:ascii="Times New Roman" w:hAnsi="Times New Roman" w:eastAsia="宋体" w:cs="Times New Roman"/>
                      <w:b w:val="0"/>
                      <w:bCs w:val="0"/>
                      <w:color w:val="FF0000"/>
                      <w:sz w:val="21"/>
                      <w:szCs w:val="21"/>
                    </w:rPr>
                  </w:pPr>
                  <w:r>
                    <w:rPr>
                      <w:rFonts w:hint="eastAsia" w:ascii="Times New Roman" w:hAnsi="Times New Roman" w:eastAsia="宋体" w:cs="Times New Roman"/>
                      <w:b w:val="0"/>
                      <w:bCs w:val="0"/>
                      <w:color w:val="FF0000"/>
                      <w:sz w:val="21"/>
                      <w:szCs w:val="21"/>
                      <w:lang w:val="en-US" w:eastAsia="zh-CN"/>
                    </w:rPr>
                    <w:t>4、建筑陶瓷产业园区胡家坊污水处理厂下游约8.4km 处为肖江与樟树交界断面，其选址在水环境要素方面存在制约因素，建议将胡家坊组团规划的锂电产业优化调整为主导产业的配套产业，禁止新建废水排放量大、含重金属等有毒有害污染物和难降解的有机污染物排放的项目。</w:t>
                  </w:r>
                </w:p>
              </w:tc>
              <w:tc>
                <w:tcPr>
                  <w:tcW w:w="1301" w:type="pct"/>
                  <w:vAlign w:val="center"/>
                </w:tcPr>
                <w:p w14:paraId="1F0154D5">
                  <w:pPr>
                    <w:pStyle w:val="102"/>
                    <w:keepNext w:val="0"/>
                    <w:keepLines w:val="0"/>
                    <w:pageBreakBefore w:val="0"/>
                    <w:widowControl w:val="0"/>
                    <w:kinsoku/>
                    <w:wordWrap/>
                    <w:overflowPunct/>
                    <w:topLinePunct w:val="0"/>
                    <w:bidi w:val="0"/>
                    <w:adjustRightInd w:val="0"/>
                    <w:spacing w:line="240" w:lineRule="auto"/>
                    <w:ind w:left="0" w:firstLine="0"/>
                    <w:jc w:val="both"/>
                    <w:rPr>
                      <w:rFonts w:hint="default" w:ascii="Times New Roman" w:hAnsi="Times New Roman" w:eastAsia="宋体" w:cs="Times New Roman"/>
                      <w:b w:val="0"/>
                      <w:bCs w:val="0"/>
                      <w:color w:val="FF0000"/>
                      <w:sz w:val="21"/>
                      <w:szCs w:val="21"/>
                      <w:lang w:val="en-US" w:eastAsia="zh-CN"/>
                    </w:rPr>
                  </w:pPr>
                  <w:r>
                    <w:rPr>
                      <w:rFonts w:hint="default" w:ascii="Times New Roman" w:hAnsi="Times New Roman" w:eastAsia="宋体" w:cs="Times New Roman"/>
                      <w:b w:val="0"/>
                      <w:bCs w:val="0"/>
                      <w:color w:val="FF0000"/>
                      <w:sz w:val="21"/>
                      <w:szCs w:val="21"/>
                    </w:rPr>
                    <w:t>1、本项目</w:t>
                  </w:r>
                  <w:r>
                    <w:rPr>
                      <w:rFonts w:hint="eastAsia" w:ascii="Times New Roman" w:hAnsi="Times New Roman" w:eastAsia="宋体" w:cs="Times New Roman"/>
                      <w:b w:val="0"/>
                      <w:bCs w:val="0"/>
                      <w:color w:val="FF0000"/>
                      <w:sz w:val="21"/>
                      <w:szCs w:val="21"/>
                      <w:lang w:val="en-US" w:eastAsia="zh-CN"/>
                    </w:rPr>
                    <w:t>无</w:t>
                  </w:r>
                  <w:r>
                    <w:rPr>
                      <w:rFonts w:hint="default" w:ascii="Times New Roman" w:hAnsi="Times New Roman" w:eastAsia="宋体" w:cs="Times New Roman"/>
                      <w:b w:val="0"/>
                      <w:bCs w:val="0"/>
                      <w:color w:val="FF0000"/>
                      <w:sz w:val="21"/>
                      <w:szCs w:val="21"/>
                    </w:rPr>
                    <w:t>外排废水</w:t>
                  </w:r>
                  <w:r>
                    <w:rPr>
                      <w:rFonts w:hint="eastAsia" w:ascii="Times New Roman" w:hAnsi="Times New Roman" w:eastAsia="宋体" w:cs="Times New Roman"/>
                      <w:b w:val="0"/>
                      <w:bCs w:val="0"/>
                      <w:color w:val="FF0000"/>
                      <w:sz w:val="21"/>
                      <w:szCs w:val="21"/>
                      <w:lang w:eastAsia="zh-CN"/>
                    </w:rPr>
                    <w:t>；</w:t>
                  </w:r>
                  <w:r>
                    <w:rPr>
                      <w:rFonts w:hint="eastAsia" w:ascii="Times New Roman" w:hAnsi="Times New Roman" w:eastAsia="宋体" w:cs="Times New Roman"/>
                      <w:b w:val="0"/>
                      <w:bCs w:val="0"/>
                      <w:color w:val="FF0000"/>
                      <w:sz w:val="21"/>
                      <w:szCs w:val="21"/>
                      <w:lang w:val="en-US" w:eastAsia="zh-CN"/>
                    </w:rPr>
                    <w:t>2</w:t>
                  </w:r>
                  <w:r>
                    <w:rPr>
                      <w:rFonts w:hint="default" w:ascii="Times New Roman" w:hAnsi="Times New Roman" w:eastAsia="宋体" w:cs="Times New Roman"/>
                      <w:b w:val="0"/>
                      <w:bCs w:val="0"/>
                      <w:color w:val="FF0000"/>
                      <w:sz w:val="21"/>
                      <w:szCs w:val="21"/>
                    </w:rPr>
                    <w:t>、本项目不涉及锂渣产生</w:t>
                  </w:r>
                  <w:r>
                    <w:rPr>
                      <w:rFonts w:hint="eastAsia" w:ascii="Times New Roman" w:hAnsi="Times New Roman" w:eastAsia="宋体" w:cs="Times New Roman"/>
                      <w:b w:val="0"/>
                      <w:bCs w:val="0"/>
                      <w:color w:val="FF0000"/>
                      <w:sz w:val="21"/>
                      <w:szCs w:val="21"/>
                      <w:lang w:eastAsia="zh-CN"/>
                    </w:rPr>
                    <w:t>；</w:t>
                  </w:r>
                  <w:r>
                    <w:rPr>
                      <w:rFonts w:hint="default" w:ascii="Times New Roman" w:hAnsi="Times New Roman" w:eastAsia="宋体" w:cs="Times New Roman"/>
                      <w:b w:val="0"/>
                      <w:bCs w:val="0"/>
                      <w:color w:val="FF0000"/>
                      <w:sz w:val="21"/>
                      <w:szCs w:val="21"/>
                    </w:rPr>
                    <w:t>3、本项目为</w:t>
                  </w:r>
                  <w:r>
                    <w:rPr>
                      <w:rFonts w:hint="eastAsia" w:ascii="Times New Roman" w:hAnsi="Times New Roman" w:eastAsia="宋体" w:cs="Times New Roman"/>
                      <w:b w:val="0"/>
                      <w:bCs w:val="0"/>
                      <w:color w:val="FF0000"/>
                      <w:sz w:val="21"/>
                      <w:szCs w:val="21"/>
                      <w:lang w:val="en-US" w:eastAsia="zh-CN"/>
                    </w:rPr>
                    <w:t>属于锅炉技改项目，为现有项目供热</w:t>
                  </w:r>
                  <w:r>
                    <w:rPr>
                      <w:rFonts w:hint="default" w:ascii="Times New Roman" w:hAnsi="Times New Roman" w:eastAsia="宋体" w:cs="Times New Roman"/>
                      <w:b w:val="0"/>
                      <w:bCs w:val="0"/>
                      <w:color w:val="FF0000"/>
                      <w:sz w:val="21"/>
                      <w:szCs w:val="21"/>
                    </w:rPr>
                    <w:t>，不属于园区禁止准入行业，不属于两高行</w:t>
                  </w:r>
                  <w:r>
                    <w:rPr>
                      <w:rFonts w:hint="eastAsia" w:ascii="Times New Roman" w:hAnsi="Times New Roman" w:eastAsia="宋体" w:cs="Times New Roman"/>
                      <w:b w:val="0"/>
                      <w:bCs w:val="0"/>
                      <w:color w:val="FF0000"/>
                      <w:sz w:val="21"/>
                      <w:szCs w:val="21"/>
                      <w:lang w:eastAsia="zh-CN"/>
                    </w:rPr>
                    <w:t>；</w:t>
                  </w:r>
                  <w:r>
                    <w:rPr>
                      <w:rFonts w:hint="eastAsia" w:ascii="Times New Roman" w:hAnsi="Times New Roman" w:eastAsia="宋体" w:cs="Times New Roman"/>
                      <w:b w:val="0"/>
                      <w:bCs w:val="0"/>
                      <w:color w:val="FF0000"/>
                      <w:sz w:val="21"/>
                      <w:szCs w:val="21"/>
                      <w:lang w:val="en-US" w:eastAsia="zh-CN"/>
                    </w:rPr>
                    <w:t>4、本项目无外排废水。</w:t>
                  </w:r>
                </w:p>
              </w:tc>
              <w:tc>
                <w:tcPr>
                  <w:tcW w:w="331" w:type="pct"/>
                  <w:vAlign w:val="center"/>
                </w:tcPr>
                <w:p w14:paraId="11202AF3">
                  <w:pPr>
                    <w:pStyle w:val="9"/>
                    <w:keepNext w:val="0"/>
                    <w:keepLines w:val="0"/>
                    <w:pageBreakBefore w:val="0"/>
                    <w:widowControl w:val="0"/>
                    <w:kinsoku/>
                    <w:wordWrap/>
                    <w:overflowPunct/>
                    <w:topLinePunct w:val="0"/>
                    <w:bidi w:val="0"/>
                    <w:adjustRightInd w:val="0"/>
                    <w:spacing w:line="240" w:lineRule="auto"/>
                    <w:ind w:left="0" w:firstLine="0"/>
                    <w:jc w:val="center"/>
                    <w:rPr>
                      <w:rFonts w:hint="eastAsia" w:ascii="Times New Roman" w:hAnsi="Times New Roman" w:eastAsia="宋体" w:cs="Times New Roman"/>
                      <w:b w:val="0"/>
                      <w:bCs w:val="0"/>
                      <w:color w:val="FF0000"/>
                      <w:sz w:val="21"/>
                      <w:szCs w:val="21"/>
                      <w:lang w:eastAsia="zh-CN"/>
                    </w:rPr>
                  </w:pPr>
                  <w:r>
                    <w:rPr>
                      <w:rFonts w:hint="eastAsia" w:ascii="Times New Roman" w:hAnsi="Times New Roman" w:cs="Times New Roman"/>
                      <w:b w:val="0"/>
                      <w:bCs w:val="0"/>
                      <w:color w:val="FF0000"/>
                      <w:sz w:val="21"/>
                      <w:szCs w:val="21"/>
                      <w:lang w:val="en-US" w:eastAsia="zh-CN"/>
                    </w:rPr>
                    <w:t>不涉及</w:t>
                  </w:r>
                </w:p>
              </w:tc>
            </w:tr>
            <w:tr w14:paraId="577192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7" w:type="pct"/>
                  <w:vAlign w:val="center"/>
                </w:tcPr>
                <w:p w14:paraId="4FE54604">
                  <w:pPr>
                    <w:pStyle w:val="9"/>
                    <w:keepNext w:val="0"/>
                    <w:keepLines w:val="0"/>
                    <w:pageBreakBefore w:val="0"/>
                    <w:widowControl w:val="0"/>
                    <w:kinsoku/>
                    <w:wordWrap/>
                    <w:overflowPunct/>
                    <w:topLinePunct w:val="0"/>
                    <w:bidi w:val="0"/>
                    <w:adjustRightInd w:val="0"/>
                    <w:spacing w:line="240" w:lineRule="auto"/>
                    <w:ind w:left="0" w:firstLine="0"/>
                    <w:jc w:val="center"/>
                    <w:rPr>
                      <w:rFonts w:hint="default" w:ascii="Times New Roman" w:hAnsi="Times New Roman" w:eastAsia="宋体" w:cs="Times New Roman"/>
                      <w:b w:val="0"/>
                      <w:bCs w:val="0"/>
                      <w:color w:val="FF0000"/>
                      <w:sz w:val="21"/>
                      <w:szCs w:val="21"/>
                    </w:rPr>
                  </w:pPr>
                  <w:r>
                    <w:rPr>
                      <w:rFonts w:hint="default" w:ascii="Times New Roman" w:hAnsi="Times New Roman" w:eastAsia="宋体" w:cs="Times New Roman"/>
                      <w:b w:val="0"/>
                      <w:bCs w:val="0"/>
                      <w:color w:val="FF0000"/>
                      <w:sz w:val="21"/>
                      <w:szCs w:val="21"/>
                    </w:rPr>
                    <w:t>污染物排放管控</w:t>
                  </w:r>
                </w:p>
              </w:tc>
              <w:tc>
                <w:tcPr>
                  <w:tcW w:w="676" w:type="pct"/>
                  <w:vAlign w:val="center"/>
                </w:tcPr>
                <w:p w14:paraId="29BBD7C7">
                  <w:pPr>
                    <w:pStyle w:val="9"/>
                    <w:keepNext w:val="0"/>
                    <w:keepLines w:val="0"/>
                    <w:pageBreakBefore w:val="0"/>
                    <w:widowControl w:val="0"/>
                    <w:kinsoku/>
                    <w:wordWrap/>
                    <w:overflowPunct/>
                    <w:topLinePunct w:val="0"/>
                    <w:bidi w:val="0"/>
                    <w:adjustRightInd w:val="0"/>
                    <w:spacing w:line="240" w:lineRule="auto"/>
                    <w:ind w:left="0" w:firstLine="0"/>
                    <w:jc w:val="center"/>
                    <w:rPr>
                      <w:rFonts w:hint="default" w:ascii="Times New Roman" w:hAnsi="Times New Roman" w:eastAsia="宋体" w:cs="Times New Roman"/>
                      <w:b w:val="0"/>
                      <w:bCs w:val="0"/>
                      <w:color w:val="FF0000"/>
                      <w:sz w:val="21"/>
                      <w:szCs w:val="21"/>
                    </w:rPr>
                  </w:pPr>
                  <w:r>
                    <w:rPr>
                      <w:rFonts w:hint="default" w:ascii="Times New Roman" w:hAnsi="Times New Roman" w:eastAsia="宋体" w:cs="Times New Roman"/>
                      <w:b w:val="0"/>
                      <w:bCs w:val="0"/>
                      <w:color w:val="FF0000"/>
                      <w:sz w:val="21"/>
                      <w:szCs w:val="21"/>
                    </w:rPr>
                    <w:t>现有源提标升级改造</w:t>
                  </w:r>
                </w:p>
              </w:tc>
              <w:tc>
                <w:tcPr>
                  <w:tcW w:w="2203" w:type="pct"/>
                  <w:vAlign w:val="center"/>
                </w:tcPr>
                <w:p w14:paraId="2651BC58">
                  <w:pPr>
                    <w:pStyle w:val="9"/>
                    <w:keepNext w:val="0"/>
                    <w:keepLines w:val="0"/>
                    <w:pageBreakBefore w:val="0"/>
                    <w:widowControl w:val="0"/>
                    <w:kinsoku/>
                    <w:wordWrap/>
                    <w:overflowPunct/>
                    <w:topLinePunct w:val="0"/>
                    <w:bidi w:val="0"/>
                    <w:adjustRightInd w:val="0"/>
                    <w:spacing w:line="240" w:lineRule="auto"/>
                    <w:ind w:left="0" w:firstLine="0"/>
                    <w:jc w:val="both"/>
                    <w:rPr>
                      <w:rFonts w:hint="default" w:ascii="Times New Roman" w:hAnsi="Times New Roman" w:eastAsia="宋体" w:cs="Times New Roman"/>
                      <w:b w:val="0"/>
                      <w:bCs w:val="0"/>
                      <w:color w:val="FF0000"/>
                      <w:sz w:val="21"/>
                      <w:szCs w:val="21"/>
                    </w:rPr>
                  </w:pPr>
                  <w:r>
                    <w:rPr>
                      <w:rFonts w:hint="default" w:ascii="Times New Roman" w:hAnsi="Times New Roman" w:eastAsia="宋体" w:cs="Times New Roman"/>
                      <w:b w:val="0"/>
                      <w:bCs w:val="0"/>
                      <w:color w:val="FF0000"/>
                      <w:sz w:val="21"/>
                      <w:szCs w:val="21"/>
                    </w:rPr>
                    <w:t>区域环境质量达标，新建、改扩建项目保证区域环境质量维持基本稳定。</w:t>
                  </w:r>
                </w:p>
              </w:tc>
              <w:tc>
                <w:tcPr>
                  <w:tcW w:w="1301" w:type="pct"/>
                  <w:vAlign w:val="center"/>
                </w:tcPr>
                <w:p w14:paraId="28B347A6">
                  <w:pPr>
                    <w:pStyle w:val="9"/>
                    <w:keepNext w:val="0"/>
                    <w:keepLines w:val="0"/>
                    <w:pageBreakBefore w:val="0"/>
                    <w:widowControl w:val="0"/>
                    <w:kinsoku/>
                    <w:wordWrap/>
                    <w:overflowPunct/>
                    <w:topLinePunct w:val="0"/>
                    <w:bidi w:val="0"/>
                    <w:adjustRightInd w:val="0"/>
                    <w:spacing w:line="240" w:lineRule="auto"/>
                    <w:ind w:left="0" w:firstLine="0"/>
                    <w:jc w:val="both"/>
                    <w:rPr>
                      <w:rFonts w:hint="default" w:ascii="Times New Roman" w:hAnsi="Times New Roman" w:eastAsia="宋体" w:cs="Times New Roman"/>
                      <w:b w:val="0"/>
                      <w:bCs w:val="0"/>
                      <w:color w:val="FF0000"/>
                      <w:sz w:val="21"/>
                      <w:szCs w:val="21"/>
                    </w:rPr>
                  </w:pPr>
                  <w:r>
                    <w:rPr>
                      <w:rFonts w:hint="default" w:ascii="Times New Roman" w:hAnsi="Times New Roman" w:eastAsia="宋体" w:cs="Times New Roman"/>
                      <w:b w:val="0"/>
                      <w:bCs w:val="0"/>
                      <w:color w:val="FF0000"/>
                      <w:sz w:val="21"/>
                      <w:szCs w:val="21"/>
                    </w:rPr>
                    <w:t>本项目所在区域环境质量达标，且项目污染物均达标排放不会破坏区域环境质量。</w:t>
                  </w:r>
                </w:p>
              </w:tc>
              <w:tc>
                <w:tcPr>
                  <w:tcW w:w="331" w:type="pct"/>
                  <w:vAlign w:val="center"/>
                </w:tcPr>
                <w:p w14:paraId="00D07051">
                  <w:pPr>
                    <w:pStyle w:val="9"/>
                    <w:keepNext w:val="0"/>
                    <w:keepLines w:val="0"/>
                    <w:pageBreakBefore w:val="0"/>
                    <w:widowControl w:val="0"/>
                    <w:kinsoku/>
                    <w:wordWrap/>
                    <w:overflowPunct/>
                    <w:topLinePunct w:val="0"/>
                    <w:bidi w:val="0"/>
                    <w:adjustRightInd w:val="0"/>
                    <w:spacing w:line="240" w:lineRule="auto"/>
                    <w:ind w:left="0" w:firstLine="0"/>
                    <w:jc w:val="center"/>
                    <w:rPr>
                      <w:rFonts w:hint="default" w:ascii="Times New Roman" w:hAnsi="Times New Roman" w:eastAsia="宋体" w:cs="Times New Roman"/>
                      <w:b w:val="0"/>
                      <w:bCs w:val="0"/>
                      <w:color w:val="FF0000"/>
                      <w:sz w:val="21"/>
                      <w:szCs w:val="21"/>
                    </w:rPr>
                  </w:pPr>
                  <w:r>
                    <w:rPr>
                      <w:rFonts w:hint="default" w:ascii="Times New Roman" w:hAnsi="Times New Roman" w:eastAsia="宋体" w:cs="Times New Roman"/>
                      <w:b w:val="0"/>
                      <w:bCs w:val="0"/>
                      <w:color w:val="FF0000"/>
                      <w:sz w:val="21"/>
                      <w:szCs w:val="21"/>
                    </w:rPr>
                    <w:t>符合</w:t>
                  </w:r>
                </w:p>
              </w:tc>
            </w:tr>
            <w:tr w14:paraId="6E674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87" w:type="pct"/>
                  <w:vMerge w:val="restart"/>
                  <w:vAlign w:val="center"/>
                </w:tcPr>
                <w:p w14:paraId="3371934E">
                  <w:pPr>
                    <w:pStyle w:val="9"/>
                    <w:keepNext w:val="0"/>
                    <w:keepLines w:val="0"/>
                    <w:pageBreakBefore w:val="0"/>
                    <w:widowControl w:val="0"/>
                    <w:kinsoku/>
                    <w:wordWrap/>
                    <w:overflowPunct/>
                    <w:topLinePunct w:val="0"/>
                    <w:bidi w:val="0"/>
                    <w:adjustRightInd w:val="0"/>
                    <w:spacing w:line="240" w:lineRule="auto"/>
                    <w:ind w:left="0" w:firstLine="0"/>
                    <w:jc w:val="center"/>
                    <w:rPr>
                      <w:rFonts w:hint="default" w:ascii="Times New Roman" w:hAnsi="Times New Roman" w:eastAsia="宋体" w:cs="Times New Roman"/>
                      <w:b w:val="0"/>
                      <w:bCs w:val="0"/>
                      <w:color w:val="FF0000"/>
                      <w:sz w:val="21"/>
                      <w:szCs w:val="21"/>
                    </w:rPr>
                  </w:pPr>
                  <w:r>
                    <w:rPr>
                      <w:rFonts w:hint="default" w:ascii="Times New Roman" w:hAnsi="Times New Roman" w:eastAsia="宋体" w:cs="Times New Roman"/>
                      <w:b w:val="0"/>
                      <w:bCs w:val="0"/>
                      <w:color w:val="FF0000"/>
                      <w:sz w:val="21"/>
                      <w:szCs w:val="21"/>
                    </w:rPr>
                    <w:t>环境风险防控</w:t>
                  </w:r>
                </w:p>
              </w:tc>
              <w:tc>
                <w:tcPr>
                  <w:tcW w:w="676" w:type="pct"/>
                  <w:vAlign w:val="center"/>
                </w:tcPr>
                <w:p w14:paraId="272CDF32">
                  <w:pPr>
                    <w:pStyle w:val="9"/>
                    <w:keepNext w:val="0"/>
                    <w:keepLines w:val="0"/>
                    <w:pageBreakBefore w:val="0"/>
                    <w:widowControl w:val="0"/>
                    <w:kinsoku/>
                    <w:wordWrap/>
                    <w:overflowPunct/>
                    <w:topLinePunct w:val="0"/>
                    <w:bidi w:val="0"/>
                    <w:adjustRightInd w:val="0"/>
                    <w:spacing w:line="240" w:lineRule="auto"/>
                    <w:ind w:left="0" w:firstLine="0"/>
                    <w:jc w:val="center"/>
                    <w:rPr>
                      <w:rFonts w:hint="default" w:ascii="Times New Roman" w:hAnsi="Times New Roman" w:eastAsia="宋体" w:cs="Times New Roman"/>
                      <w:b w:val="0"/>
                      <w:bCs w:val="0"/>
                      <w:color w:val="FF0000"/>
                      <w:sz w:val="21"/>
                      <w:szCs w:val="21"/>
                    </w:rPr>
                  </w:pPr>
                  <w:r>
                    <w:rPr>
                      <w:rFonts w:hint="default" w:ascii="Times New Roman" w:hAnsi="Times New Roman" w:eastAsia="宋体" w:cs="Times New Roman"/>
                      <w:b w:val="0"/>
                      <w:bCs w:val="0"/>
                      <w:color w:val="FF0000"/>
                      <w:sz w:val="21"/>
                      <w:szCs w:val="21"/>
                    </w:rPr>
                    <w:t>用地环境风险防控要</w:t>
                  </w:r>
                </w:p>
              </w:tc>
              <w:tc>
                <w:tcPr>
                  <w:tcW w:w="2203" w:type="pct"/>
                  <w:vAlign w:val="center"/>
                </w:tcPr>
                <w:p w14:paraId="7F7B3C0E">
                  <w:pPr>
                    <w:pStyle w:val="9"/>
                    <w:keepNext w:val="0"/>
                    <w:keepLines w:val="0"/>
                    <w:pageBreakBefore w:val="0"/>
                    <w:widowControl w:val="0"/>
                    <w:kinsoku/>
                    <w:wordWrap/>
                    <w:overflowPunct/>
                    <w:topLinePunct w:val="0"/>
                    <w:bidi w:val="0"/>
                    <w:adjustRightInd w:val="0"/>
                    <w:spacing w:line="240" w:lineRule="auto"/>
                    <w:ind w:left="0" w:firstLine="0"/>
                    <w:jc w:val="both"/>
                    <w:rPr>
                      <w:rFonts w:hint="default" w:ascii="Times New Roman" w:hAnsi="Times New Roman" w:eastAsia="宋体" w:cs="Times New Roman"/>
                      <w:b w:val="0"/>
                      <w:bCs w:val="0"/>
                      <w:color w:val="FF0000"/>
                      <w:sz w:val="21"/>
                      <w:szCs w:val="21"/>
                    </w:rPr>
                  </w:pPr>
                  <w:r>
                    <w:rPr>
                      <w:rFonts w:hint="default" w:ascii="Times New Roman" w:hAnsi="Times New Roman" w:eastAsia="宋体" w:cs="Times New Roman"/>
                      <w:b w:val="0"/>
                      <w:bCs w:val="0"/>
                      <w:color w:val="FF0000"/>
                      <w:sz w:val="21"/>
                      <w:szCs w:val="21"/>
                    </w:rPr>
                    <w:t>区内部分紧邻规划居住用地等环境敏感目标的工业用地，严格限制涉及使用剧毒化学品的企业进入。</w:t>
                  </w:r>
                </w:p>
              </w:tc>
              <w:tc>
                <w:tcPr>
                  <w:tcW w:w="1301" w:type="pct"/>
                  <w:vAlign w:val="center"/>
                </w:tcPr>
                <w:p w14:paraId="35BBDC73">
                  <w:pPr>
                    <w:pStyle w:val="9"/>
                    <w:keepNext w:val="0"/>
                    <w:keepLines w:val="0"/>
                    <w:pageBreakBefore w:val="0"/>
                    <w:widowControl w:val="0"/>
                    <w:kinsoku/>
                    <w:wordWrap/>
                    <w:overflowPunct/>
                    <w:topLinePunct w:val="0"/>
                    <w:bidi w:val="0"/>
                    <w:adjustRightInd w:val="0"/>
                    <w:spacing w:line="240" w:lineRule="auto"/>
                    <w:ind w:left="0" w:firstLine="0"/>
                    <w:jc w:val="both"/>
                    <w:rPr>
                      <w:rFonts w:hint="eastAsia" w:ascii="Times New Roman" w:hAnsi="Times New Roman" w:eastAsia="宋体" w:cs="Times New Roman"/>
                      <w:b w:val="0"/>
                      <w:bCs w:val="0"/>
                      <w:color w:val="FF0000"/>
                      <w:sz w:val="21"/>
                      <w:szCs w:val="21"/>
                      <w:lang w:eastAsia="zh-CN"/>
                    </w:rPr>
                  </w:pPr>
                  <w:r>
                    <w:rPr>
                      <w:rFonts w:hint="default" w:ascii="Times New Roman" w:hAnsi="Times New Roman" w:eastAsia="宋体" w:cs="Times New Roman"/>
                      <w:b w:val="0"/>
                      <w:bCs w:val="0"/>
                      <w:color w:val="FF0000"/>
                      <w:sz w:val="21"/>
                      <w:szCs w:val="21"/>
                    </w:rPr>
                    <w:t>本项目不属于紧邻规划居住用地等环境敏感目标的工业用地，</w:t>
                  </w:r>
                  <w:r>
                    <w:rPr>
                      <w:rFonts w:hint="eastAsia" w:ascii="Times New Roman" w:hAnsi="Times New Roman" w:cs="Times New Roman"/>
                      <w:b w:val="0"/>
                      <w:bCs w:val="0"/>
                      <w:color w:val="FF0000"/>
                      <w:sz w:val="21"/>
                      <w:szCs w:val="21"/>
                      <w:lang w:val="en-US" w:eastAsia="zh-CN"/>
                    </w:rPr>
                    <w:t>且</w:t>
                  </w:r>
                  <w:r>
                    <w:rPr>
                      <w:rFonts w:hint="default" w:ascii="Times New Roman" w:hAnsi="Times New Roman" w:eastAsia="宋体" w:cs="Times New Roman"/>
                      <w:b w:val="0"/>
                      <w:bCs w:val="0"/>
                      <w:color w:val="FF0000"/>
                      <w:sz w:val="21"/>
                      <w:szCs w:val="21"/>
                    </w:rPr>
                    <w:t>不使用剧毒化学品</w:t>
                  </w:r>
                  <w:r>
                    <w:rPr>
                      <w:rFonts w:hint="eastAsia" w:ascii="Times New Roman" w:hAnsi="Times New Roman" w:cs="Times New Roman"/>
                      <w:b w:val="0"/>
                      <w:bCs w:val="0"/>
                      <w:color w:val="FF0000"/>
                      <w:sz w:val="21"/>
                      <w:szCs w:val="21"/>
                      <w:lang w:eastAsia="zh-CN"/>
                    </w:rPr>
                    <w:t>。</w:t>
                  </w:r>
                </w:p>
              </w:tc>
              <w:tc>
                <w:tcPr>
                  <w:tcW w:w="331" w:type="pct"/>
                  <w:vAlign w:val="center"/>
                </w:tcPr>
                <w:p w14:paraId="0304E8E5">
                  <w:pPr>
                    <w:pStyle w:val="9"/>
                    <w:keepNext w:val="0"/>
                    <w:keepLines w:val="0"/>
                    <w:pageBreakBefore w:val="0"/>
                    <w:widowControl w:val="0"/>
                    <w:kinsoku/>
                    <w:wordWrap/>
                    <w:overflowPunct/>
                    <w:topLinePunct w:val="0"/>
                    <w:bidi w:val="0"/>
                    <w:adjustRightInd w:val="0"/>
                    <w:spacing w:line="240" w:lineRule="auto"/>
                    <w:ind w:left="0" w:firstLine="0"/>
                    <w:jc w:val="center"/>
                    <w:rPr>
                      <w:rFonts w:hint="eastAsia" w:ascii="Times New Roman" w:hAnsi="Times New Roman" w:eastAsia="宋体" w:cs="Times New Roman"/>
                      <w:b w:val="0"/>
                      <w:bCs w:val="0"/>
                      <w:color w:val="FF0000"/>
                      <w:sz w:val="21"/>
                      <w:szCs w:val="21"/>
                      <w:lang w:eastAsia="zh-CN"/>
                    </w:rPr>
                  </w:pPr>
                  <w:r>
                    <w:rPr>
                      <w:rFonts w:hint="eastAsia" w:ascii="Times New Roman" w:hAnsi="Times New Roman" w:cs="Times New Roman"/>
                      <w:b w:val="0"/>
                      <w:bCs w:val="0"/>
                      <w:color w:val="FF0000"/>
                      <w:sz w:val="21"/>
                      <w:szCs w:val="21"/>
                      <w:lang w:val="en-US" w:eastAsia="zh-CN"/>
                    </w:rPr>
                    <w:t>不涉及</w:t>
                  </w:r>
                </w:p>
              </w:tc>
            </w:tr>
            <w:tr w14:paraId="1D46D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7" w:type="pct"/>
                  <w:vMerge w:val="continue"/>
                  <w:vAlign w:val="center"/>
                </w:tcPr>
                <w:p w14:paraId="77CC66EF">
                  <w:pPr>
                    <w:pStyle w:val="9"/>
                    <w:keepNext w:val="0"/>
                    <w:keepLines w:val="0"/>
                    <w:pageBreakBefore w:val="0"/>
                    <w:widowControl w:val="0"/>
                    <w:kinsoku/>
                    <w:wordWrap/>
                    <w:overflowPunct/>
                    <w:topLinePunct w:val="0"/>
                    <w:bidi w:val="0"/>
                    <w:adjustRightInd w:val="0"/>
                    <w:spacing w:line="240" w:lineRule="auto"/>
                    <w:ind w:left="0" w:firstLine="0"/>
                    <w:jc w:val="center"/>
                    <w:rPr>
                      <w:rFonts w:hint="default" w:ascii="Times New Roman" w:hAnsi="Times New Roman" w:eastAsia="宋体" w:cs="Times New Roman"/>
                      <w:b w:val="0"/>
                      <w:bCs w:val="0"/>
                      <w:color w:val="FF0000"/>
                      <w:sz w:val="21"/>
                      <w:szCs w:val="21"/>
                    </w:rPr>
                  </w:pPr>
                </w:p>
              </w:tc>
              <w:tc>
                <w:tcPr>
                  <w:tcW w:w="676" w:type="pct"/>
                  <w:vAlign w:val="center"/>
                </w:tcPr>
                <w:p w14:paraId="0A4112D0">
                  <w:pPr>
                    <w:pStyle w:val="9"/>
                    <w:keepNext w:val="0"/>
                    <w:keepLines w:val="0"/>
                    <w:pageBreakBefore w:val="0"/>
                    <w:widowControl w:val="0"/>
                    <w:kinsoku/>
                    <w:wordWrap/>
                    <w:overflowPunct/>
                    <w:topLinePunct w:val="0"/>
                    <w:bidi w:val="0"/>
                    <w:adjustRightInd w:val="0"/>
                    <w:spacing w:line="240" w:lineRule="auto"/>
                    <w:ind w:left="0" w:firstLine="0"/>
                    <w:jc w:val="center"/>
                    <w:rPr>
                      <w:rFonts w:hint="default" w:ascii="Times New Roman" w:hAnsi="Times New Roman" w:eastAsia="宋体" w:cs="Times New Roman"/>
                      <w:b w:val="0"/>
                      <w:bCs w:val="0"/>
                      <w:color w:val="FF0000"/>
                      <w:sz w:val="21"/>
                      <w:szCs w:val="21"/>
                    </w:rPr>
                  </w:pPr>
                  <w:r>
                    <w:rPr>
                      <w:rFonts w:hint="default" w:ascii="Times New Roman" w:hAnsi="Times New Roman" w:eastAsia="宋体" w:cs="Times New Roman"/>
                      <w:b w:val="0"/>
                      <w:bCs w:val="0"/>
                      <w:color w:val="FF0000"/>
                      <w:sz w:val="21"/>
                      <w:szCs w:val="21"/>
                    </w:rPr>
                    <w:t>园区环境风险防控要</w:t>
                  </w:r>
                </w:p>
                <w:p w14:paraId="567C3D8F">
                  <w:pPr>
                    <w:pStyle w:val="9"/>
                    <w:keepNext w:val="0"/>
                    <w:keepLines w:val="0"/>
                    <w:pageBreakBefore w:val="0"/>
                    <w:widowControl w:val="0"/>
                    <w:kinsoku/>
                    <w:wordWrap/>
                    <w:overflowPunct/>
                    <w:topLinePunct w:val="0"/>
                    <w:bidi w:val="0"/>
                    <w:adjustRightInd w:val="0"/>
                    <w:spacing w:line="240" w:lineRule="auto"/>
                    <w:ind w:left="0" w:firstLine="0"/>
                    <w:jc w:val="center"/>
                    <w:rPr>
                      <w:rFonts w:hint="default" w:ascii="Times New Roman" w:hAnsi="Times New Roman" w:eastAsia="宋体" w:cs="Times New Roman"/>
                      <w:b w:val="0"/>
                      <w:bCs w:val="0"/>
                      <w:color w:val="FF0000"/>
                      <w:sz w:val="21"/>
                      <w:szCs w:val="21"/>
                    </w:rPr>
                  </w:pPr>
                  <w:r>
                    <w:rPr>
                      <w:rFonts w:hint="default" w:ascii="Times New Roman" w:hAnsi="Times New Roman" w:eastAsia="宋体" w:cs="Times New Roman"/>
                      <w:b w:val="0"/>
                      <w:bCs w:val="0"/>
                      <w:color w:val="FF0000"/>
                      <w:sz w:val="21"/>
                      <w:szCs w:val="21"/>
                    </w:rPr>
                    <w:t>求</w:t>
                  </w:r>
                </w:p>
              </w:tc>
              <w:tc>
                <w:tcPr>
                  <w:tcW w:w="2203" w:type="pct"/>
                  <w:vAlign w:val="center"/>
                </w:tcPr>
                <w:p w14:paraId="72B12B93">
                  <w:pPr>
                    <w:pStyle w:val="9"/>
                    <w:keepNext w:val="0"/>
                    <w:keepLines w:val="0"/>
                    <w:pageBreakBefore w:val="0"/>
                    <w:widowControl w:val="0"/>
                    <w:kinsoku/>
                    <w:wordWrap/>
                    <w:overflowPunct/>
                    <w:topLinePunct w:val="0"/>
                    <w:bidi w:val="0"/>
                    <w:adjustRightInd w:val="0"/>
                    <w:spacing w:line="240" w:lineRule="auto"/>
                    <w:ind w:left="0" w:firstLine="0"/>
                    <w:jc w:val="both"/>
                    <w:rPr>
                      <w:rFonts w:hint="eastAsia" w:ascii="Times New Roman" w:hAnsi="Times New Roman" w:eastAsia="宋体" w:cs="Times New Roman"/>
                      <w:b w:val="0"/>
                      <w:bCs w:val="0"/>
                      <w:color w:val="FF0000"/>
                      <w:sz w:val="21"/>
                      <w:szCs w:val="21"/>
                      <w:lang w:eastAsia="zh-CN"/>
                    </w:rPr>
                  </w:pPr>
                  <w:r>
                    <w:rPr>
                      <w:rFonts w:hint="default" w:ascii="Times New Roman" w:hAnsi="Times New Roman" w:eastAsia="宋体" w:cs="Times New Roman"/>
                      <w:b w:val="0"/>
                      <w:bCs w:val="0"/>
                      <w:color w:val="FF0000"/>
                      <w:sz w:val="21"/>
                      <w:szCs w:val="21"/>
                    </w:rPr>
                    <w:t>紧邻居住、行政等环境敏感点的工业用地，禁止新建环境风险等级高的建设项目。园区应建立三级环境风险防控体系</w:t>
                  </w:r>
                  <w:r>
                    <w:rPr>
                      <w:rFonts w:hint="eastAsia" w:ascii="Times New Roman" w:hAnsi="Times New Roman" w:cs="Times New Roman"/>
                      <w:b w:val="0"/>
                      <w:bCs w:val="0"/>
                      <w:color w:val="FF0000"/>
                      <w:sz w:val="21"/>
                      <w:szCs w:val="21"/>
                      <w:lang w:eastAsia="zh-CN"/>
                    </w:rPr>
                    <w:t>。</w:t>
                  </w:r>
                </w:p>
              </w:tc>
              <w:tc>
                <w:tcPr>
                  <w:tcW w:w="1301" w:type="pct"/>
                  <w:vAlign w:val="center"/>
                </w:tcPr>
                <w:p w14:paraId="0801FBE4">
                  <w:pPr>
                    <w:pStyle w:val="9"/>
                    <w:keepNext w:val="0"/>
                    <w:keepLines w:val="0"/>
                    <w:pageBreakBefore w:val="0"/>
                    <w:widowControl w:val="0"/>
                    <w:kinsoku/>
                    <w:wordWrap/>
                    <w:overflowPunct/>
                    <w:topLinePunct w:val="0"/>
                    <w:bidi w:val="0"/>
                    <w:adjustRightInd w:val="0"/>
                    <w:spacing w:line="240" w:lineRule="auto"/>
                    <w:ind w:left="0" w:firstLine="0"/>
                    <w:jc w:val="both"/>
                    <w:rPr>
                      <w:rFonts w:hint="eastAsia" w:ascii="Times New Roman" w:hAnsi="Times New Roman" w:eastAsia="宋体" w:cs="Times New Roman"/>
                      <w:b w:val="0"/>
                      <w:bCs w:val="0"/>
                      <w:color w:val="FF0000"/>
                      <w:sz w:val="21"/>
                      <w:szCs w:val="21"/>
                      <w:lang w:val="en-US" w:eastAsia="zh-CN"/>
                    </w:rPr>
                  </w:pPr>
                  <w:r>
                    <w:rPr>
                      <w:rFonts w:hint="default" w:ascii="Times New Roman" w:hAnsi="Times New Roman" w:eastAsia="宋体" w:cs="Times New Roman"/>
                      <w:b w:val="0"/>
                      <w:bCs w:val="0"/>
                      <w:color w:val="FF0000"/>
                      <w:sz w:val="21"/>
                      <w:szCs w:val="21"/>
                    </w:rPr>
                    <w:t>本项目不属于紧邻规划居住用地等环境敏感目标的工业用地，</w:t>
                  </w:r>
                  <w:r>
                    <w:rPr>
                      <w:rFonts w:hint="eastAsia" w:ascii="Times New Roman" w:hAnsi="Times New Roman" w:cs="Times New Roman"/>
                      <w:b w:val="0"/>
                      <w:bCs w:val="0"/>
                      <w:color w:val="FF0000"/>
                      <w:sz w:val="21"/>
                      <w:szCs w:val="21"/>
                      <w:lang w:val="en-US" w:eastAsia="zh-CN"/>
                    </w:rPr>
                    <w:t>且</w:t>
                  </w:r>
                  <w:r>
                    <w:rPr>
                      <w:rFonts w:hint="default" w:ascii="Times New Roman" w:hAnsi="Times New Roman" w:eastAsia="宋体" w:cs="Times New Roman"/>
                      <w:b w:val="0"/>
                      <w:bCs w:val="0"/>
                      <w:color w:val="FF0000"/>
                      <w:sz w:val="21"/>
                      <w:szCs w:val="21"/>
                    </w:rPr>
                    <w:t>不使用剧毒化学品</w:t>
                  </w:r>
                  <w:r>
                    <w:rPr>
                      <w:rFonts w:hint="eastAsia" w:ascii="Times New Roman" w:hAnsi="Times New Roman" w:cs="Times New Roman"/>
                      <w:b w:val="0"/>
                      <w:bCs w:val="0"/>
                      <w:color w:val="FF0000"/>
                      <w:sz w:val="21"/>
                      <w:szCs w:val="21"/>
                      <w:lang w:eastAsia="zh-CN"/>
                    </w:rPr>
                    <w:t>。</w:t>
                  </w:r>
                </w:p>
              </w:tc>
              <w:tc>
                <w:tcPr>
                  <w:tcW w:w="331" w:type="pct"/>
                  <w:vAlign w:val="center"/>
                </w:tcPr>
                <w:p w14:paraId="202C0C57">
                  <w:pPr>
                    <w:pStyle w:val="9"/>
                    <w:keepNext w:val="0"/>
                    <w:keepLines w:val="0"/>
                    <w:pageBreakBefore w:val="0"/>
                    <w:widowControl w:val="0"/>
                    <w:kinsoku/>
                    <w:wordWrap/>
                    <w:overflowPunct/>
                    <w:topLinePunct w:val="0"/>
                    <w:bidi w:val="0"/>
                    <w:adjustRightInd w:val="0"/>
                    <w:spacing w:line="240" w:lineRule="auto"/>
                    <w:ind w:left="0" w:firstLine="0"/>
                    <w:jc w:val="center"/>
                    <w:rPr>
                      <w:rFonts w:hint="default" w:ascii="Times New Roman" w:hAnsi="Times New Roman" w:eastAsia="宋体" w:cs="Times New Roman"/>
                      <w:b w:val="0"/>
                      <w:bCs w:val="0"/>
                      <w:color w:val="FF0000"/>
                      <w:sz w:val="21"/>
                      <w:szCs w:val="21"/>
                    </w:rPr>
                  </w:pPr>
                  <w:r>
                    <w:rPr>
                      <w:rFonts w:hint="eastAsia" w:ascii="Times New Roman" w:hAnsi="Times New Roman" w:cs="Times New Roman"/>
                      <w:b w:val="0"/>
                      <w:bCs w:val="0"/>
                      <w:color w:val="FF0000"/>
                      <w:sz w:val="21"/>
                      <w:szCs w:val="21"/>
                      <w:lang w:val="en-US" w:eastAsia="zh-CN"/>
                    </w:rPr>
                    <w:t>不涉及</w:t>
                  </w:r>
                </w:p>
              </w:tc>
            </w:tr>
            <w:tr w14:paraId="72866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7" w:type="pct"/>
                  <w:vMerge w:val="continue"/>
                  <w:vAlign w:val="center"/>
                </w:tcPr>
                <w:p w14:paraId="3C888E64">
                  <w:pPr>
                    <w:pStyle w:val="9"/>
                    <w:keepNext w:val="0"/>
                    <w:keepLines w:val="0"/>
                    <w:pageBreakBefore w:val="0"/>
                    <w:widowControl w:val="0"/>
                    <w:kinsoku/>
                    <w:wordWrap/>
                    <w:overflowPunct/>
                    <w:topLinePunct w:val="0"/>
                    <w:bidi w:val="0"/>
                    <w:adjustRightInd w:val="0"/>
                    <w:spacing w:line="240" w:lineRule="auto"/>
                    <w:ind w:left="0" w:firstLine="0"/>
                    <w:jc w:val="center"/>
                    <w:rPr>
                      <w:rFonts w:hint="default" w:ascii="Times New Roman" w:hAnsi="Times New Roman" w:eastAsia="宋体" w:cs="Times New Roman"/>
                      <w:b w:val="0"/>
                      <w:bCs w:val="0"/>
                      <w:color w:val="FF0000"/>
                      <w:sz w:val="21"/>
                      <w:szCs w:val="21"/>
                    </w:rPr>
                  </w:pPr>
                </w:p>
              </w:tc>
              <w:tc>
                <w:tcPr>
                  <w:tcW w:w="676" w:type="pct"/>
                  <w:vAlign w:val="center"/>
                </w:tcPr>
                <w:p w14:paraId="4B6467C7">
                  <w:pPr>
                    <w:pStyle w:val="9"/>
                    <w:keepNext w:val="0"/>
                    <w:keepLines w:val="0"/>
                    <w:pageBreakBefore w:val="0"/>
                    <w:widowControl w:val="0"/>
                    <w:kinsoku/>
                    <w:wordWrap/>
                    <w:overflowPunct/>
                    <w:topLinePunct w:val="0"/>
                    <w:bidi w:val="0"/>
                    <w:adjustRightInd w:val="0"/>
                    <w:spacing w:line="240" w:lineRule="auto"/>
                    <w:ind w:left="0" w:firstLine="0"/>
                    <w:jc w:val="center"/>
                    <w:rPr>
                      <w:rFonts w:hint="default" w:ascii="Times New Roman" w:hAnsi="Times New Roman" w:eastAsia="宋体" w:cs="Times New Roman"/>
                      <w:b w:val="0"/>
                      <w:bCs w:val="0"/>
                      <w:color w:val="FF0000"/>
                      <w:sz w:val="21"/>
                      <w:szCs w:val="21"/>
                    </w:rPr>
                  </w:pPr>
                  <w:r>
                    <w:rPr>
                      <w:rFonts w:hint="default" w:ascii="Times New Roman" w:hAnsi="Times New Roman" w:eastAsia="宋体" w:cs="Times New Roman"/>
                      <w:b w:val="0"/>
                      <w:bCs w:val="0"/>
                      <w:color w:val="FF0000"/>
                      <w:sz w:val="21"/>
                      <w:szCs w:val="21"/>
                    </w:rPr>
                    <w:t>企业环境风险防控要求</w:t>
                  </w:r>
                </w:p>
              </w:tc>
              <w:tc>
                <w:tcPr>
                  <w:tcW w:w="2203" w:type="pct"/>
                  <w:vAlign w:val="center"/>
                </w:tcPr>
                <w:p w14:paraId="65EE0B37">
                  <w:pPr>
                    <w:pStyle w:val="9"/>
                    <w:keepNext w:val="0"/>
                    <w:keepLines w:val="0"/>
                    <w:pageBreakBefore w:val="0"/>
                    <w:widowControl w:val="0"/>
                    <w:kinsoku/>
                    <w:wordWrap/>
                    <w:overflowPunct/>
                    <w:topLinePunct w:val="0"/>
                    <w:bidi w:val="0"/>
                    <w:adjustRightInd w:val="0"/>
                    <w:spacing w:line="240" w:lineRule="auto"/>
                    <w:ind w:left="0" w:firstLine="0"/>
                    <w:jc w:val="both"/>
                    <w:rPr>
                      <w:rFonts w:hint="default" w:ascii="Times New Roman" w:hAnsi="Times New Roman" w:eastAsia="宋体" w:cs="Times New Roman"/>
                      <w:b w:val="0"/>
                      <w:bCs w:val="0"/>
                      <w:color w:val="FF0000"/>
                      <w:sz w:val="21"/>
                      <w:szCs w:val="21"/>
                    </w:rPr>
                  </w:pPr>
                  <w:r>
                    <w:rPr>
                      <w:rFonts w:hint="default" w:ascii="Times New Roman" w:hAnsi="Times New Roman" w:eastAsia="宋体" w:cs="Times New Roman"/>
                      <w:b w:val="0"/>
                      <w:bCs w:val="0"/>
                      <w:color w:val="FF0000"/>
                      <w:sz w:val="21"/>
                      <w:szCs w:val="21"/>
                    </w:rPr>
                    <w:t>新增或改扩建存在环境风险的项目，在建设项目环评阶段须重点开展环境风险评价，与项目周边环境敏感目标之前控制合理的风险控制距离，提出并落实风险防范措施及应急联动要求，编制应急预案，并与园区应急预案联动。</w:t>
                  </w:r>
                </w:p>
              </w:tc>
              <w:tc>
                <w:tcPr>
                  <w:tcW w:w="1301" w:type="pct"/>
                  <w:vAlign w:val="center"/>
                </w:tcPr>
                <w:p w14:paraId="78313995">
                  <w:pPr>
                    <w:pStyle w:val="9"/>
                    <w:keepNext w:val="0"/>
                    <w:keepLines w:val="0"/>
                    <w:pageBreakBefore w:val="0"/>
                    <w:widowControl w:val="0"/>
                    <w:kinsoku/>
                    <w:wordWrap/>
                    <w:overflowPunct/>
                    <w:topLinePunct w:val="0"/>
                    <w:bidi w:val="0"/>
                    <w:adjustRightInd w:val="0"/>
                    <w:spacing w:line="240" w:lineRule="auto"/>
                    <w:ind w:left="0" w:firstLine="0"/>
                    <w:jc w:val="both"/>
                    <w:rPr>
                      <w:rFonts w:hint="eastAsia" w:ascii="Times New Roman" w:hAnsi="Times New Roman" w:eastAsia="宋体" w:cs="Times New Roman"/>
                      <w:b w:val="0"/>
                      <w:bCs w:val="0"/>
                      <w:color w:val="FF0000"/>
                      <w:sz w:val="21"/>
                      <w:szCs w:val="21"/>
                      <w:lang w:eastAsia="zh-CN"/>
                    </w:rPr>
                  </w:pPr>
                  <w:r>
                    <w:rPr>
                      <w:rFonts w:hint="eastAsia"/>
                      <w:color w:val="FF0000"/>
                      <w:sz w:val="21"/>
                      <w:szCs w:val="21"/>
                    </w:rPr>
                    <w:t>本项目环境风险较低，已开展环境风险评价</w:t>
                  </w:r>
                  <w:r>
                    <w:rPr>
                      <w:rFonts w:hint="eastAsia"/>
                      <w:color w:val="FF0000"/>
                      <w:sz w:val="21"/>
                      <w:szCs w:val="21"/>
                      <w:lang w:eastAsia="zh-CN"/>
                    </w:rPr>
                    <w:t>。</w:t>
                  </w:r>
                </w:p>
              </w:tc>
              <w:tc>
                <w:tcPr>
                  <w:tcW w:w="331" w:type="pct"/>
                  <w:vAlign w:val="center"/>
                </w:tcPr>
                <w:p w14:paraId="137B0BF5">
                  <w:pPr>
                    <w:pStyle w:val="9"/>
                    <w:keepNext w:val="0"/>
                    <w:keepLines w:val="0"/>
                    <w:pageBreakBefore w:val="0"/>
                    <w:widowControl w:val="0"/>
                    <w:kinsoku/>
                    <w:wordWrap/>
                    <w:overflowPunct/>
                    <w:topLinePunct w:val="0"/>
                    <w:bidi w:val="0"/>
                    <w:adjustRightInd w:val="0"/>
                    <w:spacing w:line="240" w:lineRule="auto"/>
                    <w:ind w:left="0" w:firstLine="0"/>
                    <w:jc w:val="center"/>
                    <w:rPr>
                      <w:rFonts w:hint="default" w:ascii="Times New Roman" w:hAnsi="Times New Roman" w:eastAsia="宋体" w:cs="Times New Roman"/>
                      <w:b w:val="0"/>
                      <w:bCs w:val="0"/>
                      <w:color w:val="FF0000"/>
                      <w:sz w:val="21"/>
                      <w:szCs w:val="21"/>
                    </w:rPr>
                  </w:pPr>
                  <w:r>
                    <w:rPr>
                      <w:rFonts w:hint="default" w:ascii="Times New Roman" w:hAnsi="Times New Roman" w:eastAsia="宋体" w:cs="Times New Roman"/>
                      <w:b w:val="0"/>
                      <w:bCs w:val="0"/>
                      <w:color w:val="FF0000"/>
                      <w:sz w:val="21"/>
                      <w:szCs w:val="21"/>
                    </w:rPr>
                    <w:t>符合</w:t>
                  </w:r>
                </w:p>
              </w:tc>
            </w:tr>
            <w:tr w14:paraId="591C9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7" w:type="pct"/>
                  <w:vAlign w:val="center"/>
                </w:tcPr>
                <w:p w14:paraId="0AE6AD36">
                  <w:pPr>
                    <w:pStyle w:val="9"/>
                    <w:keepNext w:val="0"/>
                    <w:keepLines w:val="0"/>
                    <w:pageBreakBefore w:val="0"/>
                    <w:widowControl w:val="0"/>
                    <w:kinsoku/>
                    <w:wordWrap/>
                    <w:overflowPunct/>
                    <w:topLinePunct w:val="0"/>
                    <w:bidi w:val="0"/>
                    <w:adjustRightInd w:val="0"/>
                    <w:spacing w:line="240" w:lineRule="auto"/>
                    <w:ind w:left="0" w:firstLine="0"/>
                    <w:jc w:val="center"/>
                    <w:rPr>
                      <w:rFonts w:hint="default" w:ascii="Times New Roman" w:hAnsi="Times New Roman" w:eastAsia="宋体" w:cs="Times New Roman"/>
                      <w:b w:val="0"/>
                      <w:bCs w:val="0"/>
                      <w:color w:val="FF0000"/>
                      <w:sz w:val="21"/>
                      <w:szCs w:val="21"/>
                    </w:rPr>
                  </w:pPr>
                  <w:r>
                    <w:rPr>
                      <w:rFonts w:hint="default" w:ascii="Times New Roman" w:hAnsi="Times New Roman" w:eastAsia="宋体" w:cs="Times New Roman"/>
                      <w:b w:val="0"/>
                      <w:bCs w:val="0"/>
                      <w:color w:val="FF0000"/>
                      <w:sz w:val="21"/>
                      <w:szCs w:val="21"/>
                    </w:rPr>
                    <w:t>资源开发利用</w:t>
                  </w:r>
                </w:p>
                <w:p w14:paraId="1BDE8B1E">
                  <w:pPr>
                    <w:pStyle w:val="9"/>
                    <w:keepNext w:val="0"/>
                    <w:keepLines w:val="0"/>
                    <w:pageBreakBefore w:val="0"/>
                    <w:widowControl w:val="0"/>
                    <w:kinsoku/>
                    <w:wordWrap/>
                    <w:overflowPunct/>
                    <w:topLinePunct w:val="0"/>
                    <w:bidi w:val="0"/>
                    <w:adjustRightInd w:val="0"/>
                    <w:spacing w:line="240" w:lineRule="auto"/>
                    <w:ind w:left="0" w:firstLine="0"/>
                    <w:jc w:val="center"/>
                    <w:rPr>
                      <w:rFonts w:hint="default" w:ascii="Times New Roman" w:hAnsi="Times New Roman" w:eastAsia="宋体" w:cs="Times New Roman"/>
                      <w:b w:val="0"/>
                      <w:bCs w:val="0"/>
                      <w:color w:val="FF0000"/>
                      <w:sz w:val="21"/>
                      <w:szCs w:val="21"/>
                    </w:rPr>
                  </w:pPr>
                  <w:r>
                    <w:rPr>
                      <w:rFonts w:hint="default" w:ascii="Times New Roman" w:hAnsi="Times New Roman" w:eastAsia="宋体" w:cs="Times New Roman"/>
                      <w:b w:val="0"/>
                      <w:bCs w:val="0"/>
                      <w:color w:val="FF0000"/>
                      <w:sz w:val="21"/>
                      <w:szCs w:val="21"/>
                    </w:rPr>
                    <w:t>管控</w:t>
                  </w:r>
                </w:p>
              </w:tc>
              <w:tc>
                <w:tcPr>
                  <w:tcW w:w="676" w:type="pct"/>
                  <w:vAlign w:val="center"/>
                </w:tcPr>
                <w:p w14:paraId="6527F5BD">
                  <w:pPr>
                    <w:pStyle w:val="9"/>
                    <w:keepNext w:val="0"/>
                    <w:keepLines w:val="0"/>
                    <w:pageBreakBefore w:val="0"/>
                    <w:widowControl w:val="0"/>
                    <w:kinsoku/>
                    <w:wordWrap/>
                    <w:overflowPunct/>
                    <w:topLinePunct w:val="0"/>
                    <w:bidi w:val="0"/>
                    <w:adjustRightInd w:val="0"/>
                    <w:spacing w:line="240" w:lineRule="auto"/>
                    <w:ind w:left="0" w:firstLine="0"/>
                    <w:jc w:val="center"/>
                    <w:rPr>
                      <w:rFonts w:hint="default" w:ascii="Times New Roman" w:hAnsi="Times New Roman" w:eastAsia="宋体" w:cs="Times New Roman"/>
                      <w:b w:val="0"/>
                      <w:bCs w:val="0"/>
                      <w:color w:val="FF0000"/>
                      <w:sz w:val="21"/>
                      <w:szCs w:val="21"/>
                    </w:rPr>
                  </w:pPr>
                  <w:r>
                    <w:rPr>
                      <w:rFonts w:hint="default" w:ascii="Times New Roman" w:hAnsi="Times New Roman" w:eastAsia="宋体" w:cs="Times New Roman"/>
                      <w:b w:val="0"/>
                      <w:bCs w:val="0"/>
                      <w:color w:val="FF0000"/>
                      <w:sz w:val="21"/>
                      <w:szCs w:val="21"/>
                    </w:rPr>
                    <w:t>土地资</w:t>
                  </w:r>
                </w:p>
                <w:p w14:paraId="6CEAA73C">
                  <w:pPr>
                    <w:pStyle w:val="9"/>
                    <w:keepNext w:val="0"/>
                    <w:keepLines w:val="0"/>
                    <w:pageBreakBefore w:val="0"/>
                    <w:widowControl w:val="0"/>
                    <w:kinsoku/>
                    <w:wordWrap/>
                    <w:overflowPunct/>
                    <w:topLinePunct w:val="0"/>
                    <w:bidi w:val="0"/>
                    <w:adjustRightInd w:val="0"/>
                    <w:spacing w:line="240" w:lineRule="auto"/>
                    <w:ind w:left="0" w:firstLine="0"/>
                    <w:jc w:val="center"/>
                    <w:rPr>
                      <w:rFonts w:hint="default" w:ascii="Times New Roman" w:hAnsi="Times New Roman" w:eastAsia="宋体" w:cs="Times New Roman"/>
                      <w:b w:val="0"/>
                      <w:bCs w:val="0"/>
                      <w:color w:val="FF0000"/>
                      <w:sz w:val="21"/>
                      <w:szCs w:val="21"/>
                    </w:rPr>
                  </w:pPr>
                  <w:r>
                    <w:rPr>
                      <w:rFonts w:hint="default" w:ascii="Times New Roman" w:hAnsi="Times New Roman" w:eastAsia="宋体" w:cs="Times New Roman"/>
                      <w:b w:val="0"/>
                      <w:bCs w:val="0"/>
                      <w:color w:val="FF0000"/>
                      <w:sz w:val="21"/>
                      <w:szCs w:val="21"/>
                    </w:rPr>
                    <w:t>源利用</w:t>
                  </w:r>
                </w:p>
                <w:p w14:paraId="4DA9ED42">
                  <w:pPr>
                    <w:pStyle w:val="9"/>
                    <w:keepNext w:val="0"/>
                    <w:keepLines w:val="0"/>
                    <w:pageBreakBefore w:val="0"/>
                    <w:widowControl w:val="0"/>
                    <w:kinsoku/>
                    <w:wordWrap/>
                    <w:overflowPunct/>
                    <w:topLinePunct w:val="0"/>
                    <w:bidi w:val="0"/>
                    <w:adjustRightInd w:val="0"/>
                    <w:spacing w:line="240" w:lineRule="auto"/>
                    <w:ind w:left="0" w:firstLine="0"/>
                    <w:jc w:val="center"/>
                    <w:rPr>
                      <w:rFonts w:hint="default" w:ascii="Times New Roman" w:hAnsi="Times New Roman" w:eastAsia="宋体" w:cs="Times New Roman"/>
                      <w:b w:val="0"/>
                      <w:bCs w:val="0"/>
                      <w:color w:val="FF0000"/>
                      <w:sz w:val="21"/>
                      <w:szCs w:val="21"/>
                    </w:rPr>
                  </w:pPr>
                  <w:r>
                    <w:rPr>
                      <w:rFonts w:hint="default" w:ascii="Times New Roman" w:hAnsi="Times New Roman" w:eastAsia="宋体" w:cs="Times New Roman"/>
                      <w:b w:val="0"/>
                      <w:bCs w:val="0"/>
                      <w:color w:val="FF0000"/>
                      <w:sz w:val="21"/>
                      <w:szCs w:val="21"/>
                    </w:rPr>
                    <w:t>要</w:t>
                  </w:r>
                </w:p>
              </w:tc>
              <w:tc>
                <w:tcPr>
                  <w:tcW w:w="2203" w:type="pct"/>
                  <w:vAlign w:val="center"/>
                </w:tcPr>
                <w:p w14:paraId="2E98A495">
                  <w:pPr>
                    <w:pStyle w:val="9"/>
                    <w:keepNext w:val="0"/>
                    <w:keepLines w:val="0"/>
                    <w:pageBreakBefore w:val="0"/>
                    <w:widowControl w:val="0"/>
                    <w:kinsoku/>
                    <w:wordWrap/>
                    <w:overflowPunct/>
                    <w:topLinePunct w:val="0"/>
                    <w:bidi w:val="0"/>
                    <w:adjustRightInd w:val="0"/>
                    <w:spacing w:line="240" w:lineRule="auto"/>
                    <w:ind w:left="0" w:firstLine="0"/>
                    <w:jc w:val="both"/>
                    <w:rPr>
                      <w:rFonts w:hint="eastAsia" w:ascii="Times New Roman" w:hAnsi="Times New Roman" w:eastAsia="宋体" w:cs="Times New Roman"/>
                      <w:b w:val="0"/>
                      <w:bCs w:val="0"/>
                      <w:color w:val="FF0000"/>
                      <w:sz w:val="21"/>
                      <w:szCs w:val="21"/>
                      <w:lang w:eastAsia="zh-CN"/>
                    </w:rPr>
                  </w:pPr>
                  <w:r>
                    <w:rPr>
                      <w:rFonts w:hint="default" w:ascii="Times New Roman" w:hAnsi="Times New Roman" w:eastAsia="宋体" w:cs="Times New Roman"/>
                      <w:b w:val="0"/>
                      <w:bCs w:val="0"/>
                      <w:color w:val="FF0000"/>
                      <w:sz w:val="21"/>
                      <w:szCs w:val="21"/>
                    </w:rPr>
                    <w:t>满足《江西省建设用地控制指标》</w:t>
                  </w:r>
                  <w:r>
                    <w:rPr>
                      <w:rFonts w:hint="eastAsia" w:ascii="Times New Roman" w:hAnsi="Times New Roman" w:cs="Times New Roman"/>
                      <w:b w:val="0"/>
                      <w:bCs w:val="0"/>
                      <w:color w:val="FF0000"/>
                      <w:sz w:val="21"/>
                      <w:szCs w:val="21"/>
                      <w:lang w:eastAsia="zh-CN"/>
                    </w:rPr>
                    <w:t>（</w:t>
                  </w:r>
                  <w:r>
                    <w:rPr>
                      <w:rFonts w:hint="default" w:ascii="Times New Roman" w:hAnsi="Times New Roman" w:eastAsia="宋体" w:cs="Times New Roman"/>
                      <w:b w:val="0"/>
                      <w:bCs w:val="0"/>
                      <w:color w:val="FF0000"/>
                      <w:sz w:val="21"/>
                      <w:szCs w:val="21"/>
                    </w:rPr>
                    <w:t>2018年</w:t>
                  </w:r>
                  <w:r>
                    <w:rPr>
                      <w:rFonts w:hint="eastAsia" w:ascii="Times New Roman" w:hAnsi="Times New Roman" w:cs="Times New Roman"/>
                      <w:b w:val="0"/>
                      <w:bCs w:val="0"/>
                      <w:color w:val="FF0000"/>
                      <w:sz w:val="21"/>
                      <w:szCs w:val="21"/>
                      <w:lang w:eastAsia="zh-CN"/>
                    </w:rPr>
                    <w:t>）</w:t>
                  </w:r>
                  <w:r>
                    <w:rPr>
                      <w:rFonts w:hint="default" w:ascii="Times New Roman" w:hAnsi="Times New Roman" w:eastAsia="宋体" w:cs="Times New Roman"/>
                      <w:b w:val="0"/>
                      <w:bCs w:val="0"/>
                      <w:color w:val="FF0000"/>
                      <w:sz w:val="21"/>
                      <w:szCs w:val="21"/>
                    </w:rPr>
                    <w:t>中的相关要求</w:t>
                  </w:r>
                  <w:r>
                    <w:rPr>
                      <w:rFonts w:hint="eastAsia" w:ascii="Times New Roman" w:hAnsi="Times New Roman" w:cs="Times New Roman"/>
                      <w:b w:val="0"/>
                      <w:bCs w:val="0"/>
                      <w:color w:val="FF0000"/>
                      <w:sz w:val="21"/>
                      <w:szCs w:val="21"/>
                      <w:lang w:eastAsia="zh-CN"/>
                    </w:rPr>
                    <w:t>。</w:t>
                  </w:r>
                </w:p>
              </w:tc>
              <w:tc>
                <w:tcPr>
                  <w:tcW w:w="1301" w:type="pct"/>
                  <w:vAlign w:val="center"/>
                </w:tcPr>
                <w:p w14:paraId="243040E7">
                  <w:pPr>
                    <w:pStyle w:val="9"/>
                    <w:keepNext w:val="0"/>
                    <w:keepLines w:val="0"/>
                    <w:pageBreakBefore w:val="0"/>
                    <w:widowControl w:val="0"/>
                    <w:kinsoku/>
                    <w:wordWrap/>
                    <w:overflowPunct/>
                    <w:topLinePunct w:val="0"/>
                    <w:bidi w:val="0"/>
                    <w:adjustRightInd w:val="0"/>
                    <w:spacing w:line="240" w:lineRule="auto"/>
                    <w:ind w:left="0" w:firstLine="0"/>
                    <w:jc w:val="both"/>
                    <w:rPr>
                      <w:rFonts w:hint="eastAsia"/>
                      <w:color w:val="FF0000"/>
                      <w:sz w:val="21"/>
                      <w:szCs w:val="21"/>
                    </w:rPr>
                  </w:pPr>
                  <w:r>
                    <w:rPr>
                      <w:rFonts w:hint="eastAsia"/>
                      <w:color w:val="FF0000"/>
                      <w:sz w:val="21"/>
                      <w:szCs w:val="21"/>
                    </w:rPr>
                    <w:t>本项目用地为工业用地，满足要求</w:t>
                  </w:r>
                </w:p>
              </w:tc>
              <w:tc>
                <w:tcPr>
                  <w:tcW w:w="331" w:type="pct"/>
                  <w:vAlign w:val="center"/>
                </w:tcPr>
                <w:p w14:paraId="22C73829">
                  <w:pPr>
                    <w:pStyle w:val="9"/>
                    <w:keepNext w:val="0"/>
                    <w:keepLines w:val="0"/>
                    <w:pageBreakBefore w:val="0"/>
                    <w:widowControl w:val="0"/>
                    <w:kinsoku/>
                    <w:wordWrap/>
                    <w:overflowPunct/>
                    <w:topLinePunct w:val="0"/>
                    <w:bidi w:val="0"/>
                    <w:adjustRightInd w:val="0"/>
                    <w:spacing w:line="240" w:lineRule="auto"/>
                    <w:ind w:left="0" w:firstLine="0"/>
                    <w:jc w:val="center"/>
                    <w:rPr>
                      <w:rFonts w:hint="eastAsia" w:ascii="Times New Roman" w:hAnsi="Times New Roman" w:eastAsia="宋体" w:cs="Times New Roman"/>
                      <w:b w:val="0"/>
                      <w:bCs w:val="0"/>
                      <w:color w:val="FF0000"/>
                      <w:sz w:val="21"/>
                      <w:szCs w:val="21"/>
                      <w:lang w:val="en-US" w:eastAsia="zh-CN"/>
                    </w:rPr>
                  </w:pPr>
                  <w:r>
                    <w:rPr>
                      <w:rFonts w:hint="eastAsia" w:ascii="Times New Roman" w:hAnsi="Times New Roman" w:cs="Times New Roman"/>
                      <w:b w:val="0"/>
                      <w:bCs w:val="0"/>
                      <w:color w:val="FF0000"/>
                      <w:sz w:val="21"/>
                      <w:szCs w:val="21"/>
                      <w:lang w:val="en-US" w:eastAsia="zh-CN"/>
                    </w:rPr>
                    <w:t>符合</w:t>
                  </w:r>
                </w:p>
              </w:tc>
            </w:tr>
          </w:tbl>
          <w:p w14:paraId="71050921">
            <w:pPr>
              <w:pStyle w:val="74"/>
              <w:keepNext w:val="0"/>
              <w:keepLines w:val="0"/>
              <w:pageBreakBefore w:val="0"/>
              <w:kinsoku/>
              <w:wordWrap/>
              <w:overflowPunct/>
              <w:topLinePunct w:val="0"/>
              <w:bidi w:val="0"/>
              <w:spacing w:line="360" w:lineRule="auto"/>
              <w:textAlignment w:val="auto"/>
              <w:rPr>
                <w:rFonts w:hint="eastAsia" w:eastAsia="宋体"/>
                <w:color w:val="auto"/>
                <w:sz w:val="24"/>
                <w:szCs w:val="24"/>
                <w:lang w:val="en-US" w:eastAsia="zh-CN"/>
              </w:rPr>
            </w:pPr>
            <w:r>
              <w:rPr>
                <w:rFonts w:hint="default" w:ascii="Times New Roman" w:hAnsi="Times New Roman" w:eastAsia="宋体" w:cs="Times New Roman"/>
                <w:b w:val="0"/>
                <w:bCs w:val="0"/>
                <w:color w:val="FF0000"/>
                <w:sz w:val="24"/>
                <w:szCs w:val="24"/>
                <w:lang w:val="en-US" w:eastAsia="zh-CN"/>
              </w:rPr>
              <w:t>综上所述，本项目不属于生态环境准入清单内禁止入园企业，符合江西高安高新技术产业园区发展规划要求。</w:t>
            </w:r>
          </w:p>
        </w:tc>
      </w:tr>
      <w:tr w14:paraId="69FCE2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59" w:hRule="atLeast"/>
          <w:jc w:val="center"/>
        </w:trPr>
        <w:tc>
          <w:tcPr>
            <w:tcW w:w="778" w:type="dxa"/>
            <w:vAlign w:val="center"/>
          </w:tcPr>
          <w:p w14:paraId="69C038D8">
            <w:pPr>
              <w:autoSpaceDE w:val="0"/>
              <w:autoSpaceDN w:val="0"/>
              <w:adjustRightInd w:val="0"/>
              <w:snapToGrid w:val="0"/>
              <w:jc w:val="center"/>
              <w:rPr>
                <w:rFonts w:ascii="宋体" w:hAnsi="宋体" w:cs="宋体"/>
                <w:color w:val="auto"/>
                <w:kern w:val="0"/>
                <w:szCs w:val="21"/>
              </w:rPr>
            </w:pPr>
            <w:r>
              <w:rPr>
                <w:rFonts w:hint="eastAsia" w:ascii="宋体" w:hAnsi="宋体" w:cs="宋体"/>
                <w:color w:val="auto"/>
                <w:kern w:val="0"/>
                <w:szCs w:val="21"/>
              </w:rPr>
              <w:t>其他符合性分析</w:t>
            </w:r>
          </w:p>
        </w:tc>
        <w:tc>
          <w:tcPr>
            <w:tcW w:w="8000" w:type="dxa"/>
            <w:gridSpan w:val="4"/>
            <w:vAlign w:val="center"/>
          </w:tcPr>
          <w:p w14:paraId="411CA3C3">
            <w:pPr>
              <w:pStyle w:val="79"/>
              <w:ind w:firstLine="482" w:firstLineChars="200"/>
              <w:jc w:val="both"/>
              <w:rPr>
                <w:rFonts w:eastAsia="宋体"/>
                <w:b/>
                <w:bCs w:val="0"/>
                <w:color w:val="auto"/>
              </w:rPr>
            </w:pPr>
            <w:r>
              <w:rPr>
                <w:b/>
                <w:bCs w:val="0"/>
                <w:color w:val="auto"/>
              </w:rPr>
              <w:t>1、</w:t>
            </w:r>
            <w:r>
              <w:rPr>
                <w:rFonts w:eastAsia="宋体"/>
                <w:b/>
                <w:bCs w:val="0"/>
                <w:color w:val="auto"/>
              </w:rPr>
              <w:t>产业政策</w:t>
            </w:r>
            <w:r>
              <w:rPr>
                <w:rFonts w:eastAsia="宋体"/>
                <w:b/>
                <w:bCs w:val="0"/>
                <w:color w:val="FF0000"/>
              </w:rPr>
              <w:t>符合</w:t>
            </w:r>
            <w:r>
              <w:rPr>
                <w:rFonts w:eastAsia="宋体"/>
                <w:b/>
                <w:bCs w:val="0"/>
                <w:color w:val="auto"/>
              </w:rPr>
              <w:t>性分析</w:t>
            </w:r>
          </w:p>
          <w:p w14:paraId="2A6EEEDF">
            <w:pPr>
              <w:widowControl/>
              <w:spacing w:line="360" w:lineRule="auto"/>
              <w:ind w:firstLine="480" w:firstLineChars="200"/>
              <w:jc w:val="both"/>
              <w:rPr>
                <w:rFonts w:hint="eastAsia" w:ascii="Times New Roman" w:hAnsi="Times New Roman" w:eastAsia="宋体" w:cs="Times New Roman"/>
                <w:color w:val="FF0000"/>
                <w:sz w:val="24"/>
                <w:lang w:eastAsia="zh-CN"/>
              </w:rPr>
            </w:pPr>
            <w:r>
              <w:rPr>
                <w:rFonts w:hint="default" w:ascii="Times New Roman" w:hAnsi="Times New Roman" w:cs="Times New Roman"/>
                <w:color w:val="FF0000"/>
                <w:sz w:val="24"/>
                <w:lang w:val="en-US" w:eastAsia="zh-CN"/>
              </w:rPr>
              <w:t>本技改项目主要为现有项目供热，</w:t>
            </w:r>
            <w:r>
              <w:rPr>
                <w:rFonts w:hint="default" w:ascii="Times New Roman" w:hAnsi="Times New Roman" w:cs="Times New Roman"/>
                <w:color w:val="FF0000"/>
                <w:sz w:val="24"/>
              </w:rPr>
              <w:t>根据《国民经济行业分类》</w:t>
            </w:r>
            <w:r>
              <w:rPr>
                <w:rFonts w:hint="eastAsia" w:ascii="Times New Roman" w:hAnsi="Times New Roman" w:cs="Times New Roman"/>
                <w:color w:val="FF0000"/>
                <w:sz w:val="24"/>
                <w:lang w:eastAsia="zh-CN"/>
              </w:rPr>
              <w:t>（</w:t>
            </w:r>
            <w:r>
              <w:rPr>
                <w:rFonts w:hint="default" w:ascii="Times New Roman" w:hAnsi="Times New Roman" w:cs="Times New Roman"/>
                <w:color w:val="FF0000"/>
                <w:sz w:val="24"/>
              </w:rPr>
              <w:t>GB/T4754-2017</w:t>
            </w:r>
            <w:r>
              <w:rPr>
                <w:rFonts w:hint="eastAsia" w:ascii="Times New Roman" w:hAnsi="Times New Roman" w:cs="Times New Roman"/>
                <w:color w:val="FF0000"/>
                <w:sz w:val="24"/>
                <w:lang w:eastAsia="zh-CN"/>
              </w:rPr>
              <w:t>）</w:t>
            </w:r>
            <w:r>
              <w:rPr>
                <w:rFonts w:hint="default" w:ascii="Times New Roman" w:hAnsi="Times New Roman" w:cs="Times New Roman"/>
                <w:color w:val="FF0000"/>
                <w:sz w:val="24"/>
              </w:rPr>
              <w:t>，</w:t>
            </w:r>
            <w:r>
              <w:rPr>
                <w:rFonts w:hint="default" w:ascii="Times New Roman" w:hAnsi="Times New Roman" w:cs="Times New Roman"/>
                <w:color w:val="FF0000"/>
                <w:sz w:val="24"/>
                <w:lang w:val="en-US" w:eastAsia="zh-CN"/>
              </w:rPr>
              <w:t>属于</w:t>
            </w:r>
            <w:r>
              <w:rPr>
                <w:rFonts w:hint="default" w:ascii="Times New Roman" w:hAnsi="Times New Roman" w:eastAsia="宋体" w:cs="Times New Roman"/>
                <w:color w:val="FF0000"/>
                <w:sz w:val="24"/>
                <w:szCs w:val="32"/>
              </w:rPr>
              <w:t>D4430热力生产和供应</w:t>
            </w:r>
            <w:r>
              <w:rPr>
                <w:rFonts w:hint="default" w:ascii="Times New Roman" w:hAnsi="Times New Roman" w:cs="Times New Roman"/>
                <w:color w:val="FF0000"/>
                <w:sz w:val="24"/>
                <w:szCs w:val="32"/>
                <w:lang w:val="en-US" w:eastAsia="zh-CN"/>
              </w:rPr>
              <w:t>项目</w:t>
            </w:r>
            <w:r>
              <w:rPr>
                <w:rFonts w:hint="default" w:ascii="Times New Roman" w:hAnsi="Times New Roman" w:cs="Times New Roman"/>
                <w:color w:val="FF0000"/>
                <w:sz w:val="24"/>
              </w:rPr>
              <w:t>，经查阅《产业结构调整指导目录（2024年本）》，限制类锅炉为</w:t>
            </w:r>
            <w:r>
              <w:rPr>
                <w:rFonts w:hint="eastAsia" w:ascii="Times New Roman" w:hAnsi="Times New Roman" w:cs="Times New Roman"/>
                <w:color w:val="FF0000"/>
                <w:sz w:val="24"/>
                <w:lang w:eastAsia="zh-CN"/>
              </w:rPr>
              <w:t>：“</w:t>
            </w:r>
            <w:r>
              <w:rPr>
                <w:rFonts w:hint="default" w:ascii="Times New Roman" w:hAnsi="Times New Roman" w:cs="Times New Roman"/>
                <w:color w:val="FF0000"/>
                <w:sz w:val="24"/>
              </w:rPr>
              <w:t>57</w:t>
            </w:r>
            <w:r>
              <w:rPr>
                <w:rFonts w:hint="eastAsia" w:ascii="Times New Roman" w:hAnsi="Times New Roman" w:cs="Times New Roman"/>
                <w:color w:val="FF0000"/>
                <w:sz w:val="24"/>
                <w:lang w:eastAsia="zh-CN"/>
              </w:rPr>
              <w:t>：</w:t>
            </w:r>
            <w:r>
              <w:rPr>
                <w:rFonts w:hint="default" w:ascii="Times New Roman" w:hAnsi="Times New Roman" w:cs="Times New Roman"/>
                <w:color w:val="FF0000"/>
                <w:sz w:val="24"/>
              </w:rPr>
              <w:t>每小时35蒸吨及以下固定炉排式生物质锅炉</w:t>
            </w:r>
            <w:r>
              <w:rPr>
                <w:rFonts w:hint="eastAsia" w:ascii="Times New Roman" w:hAnsi="Times New Roman" w:cs="Times New Roman"/>
                <w:color w:val="FF0000"/>
                <w:sz w:val="24"/>
                <w:lang w:eastAsia="zh-CN"/>
              </w:rPr>
              <w:t>；</w:t>
            </w:r>
            <w:r>
              <w:rPr>
                <w:rFonts w:hint="default" w:ascii="Times New Roman" w:hAnsi="Times New Roman" w:cs="Times New Roman"/>
                <w:color w:val="FF0000"/>
                <w:sz w:val="24"/>
              </w:rPr>
              <w:t>58</w:t>
            </w:r>
            <w:r>
              <w:rPr>
                <w:rFonts w:hint="eastAsia" w:ascii="Times New Roman" w:hAnsi="Times New Roman" w:cs="Times New Roman"/>
                <w:color w:val="FF0000"/>
                <w:sz w:val="24"/>
                <w:lang w:eastAsia="zh-CN"/>
              </w:rPr>
              <w:t>：</w:t>
            </w:r>
            <w:r>
              <w:rPr>
                <w:rFonts w:hint="default" w:ascii="Times New Roman" w:hAnsi="Times New Roman" w:cs="Times New Roman"/>
                <w:color w:val="FF0000"/>
                <w:sz w:val="24"/>
              </w:rPr>
              <w:t>县级及以上城市建成区每小时35蒸吨以下的燃煤锅炉其他区域每小时10蒸吨以下的燃煤锅炉</w:t>
            </w:r>
            <w:r>
              <w:rPr>
                <w:rFonts w:hint="eastAsia" w:ascii="Times New Roman" w:hAnsi="Times New Roman" w:cs="Times New Roman"/>
                <w:color w:val="FF0000"/>
                <w:sz w:val="24"/>
                <w:lang w:eastAsia="zh-CN"/>
              </w:rPr>
              <w:t>”；</w:t>
            </w:r>
            <w:r>
              <w:rPr>
                <w:rFonts w:hint="default" w:ascii="Times New Roman" w:hAnsi="Times New Roman" w:cs="Times New Roman"/>
                <w:color w:val="FF0000"/>
                <w:sz w:val="24"/>
              </w:rPr>
              <w:t>淘汰类锅炉为</w:t>
            </w:r>
            <w:r>
              <w:rPr>
                <w:rFonts w:hint="eastAsia" w:ascii="Times New Roman" w:hAnsi="Times New Roman" w:cs="Times New Roman"/>
                <w:color w:val="FF0000"/>
                <w:sz w:val="24"/>
                <w:lang w:eastAsia="zh-CN"/>
              </w:rPr>
              <w:t>：“</w:t>
            </w:r>
            <w:r>
              <w:rPr>
                <w:rFonts w:hint="default" w:ascii="Times New Roman" w:hAnsi="Times New Roman" w:cs="Times New Roman"/>
                <w:color w:val="FF0000"/>
                <w:sz w:val="24"/>
              </w:rPr>
              <w:t>50</w:t>
            </w:r>
            <w:r>
              <w:rPr>
                <w:rFonts w:hint="eastAsia" w:ascii="Times New Roman" w:hAnsi="Times New Roman" w:cs="Times New Roman"/>
                <w:color w:val="FF0000"/>
                <w:sz w:val="24"/>
                <w:lang w:eastAsia="zh-CN"/>
              </w:rPr>
              <w:t>：</w:t>
            </w:r>
            <w:r>
              <w:rPr>
                <w:rFonts w:hint="default" w:ascii="Times New Roman" w:hAnsi="Times New Roman" w:cs="Times New Roman"/>
                <w:color w:val="FF0000"/>
                <w:sz w:val="24"/>
              </w:rPr>
              <w:t>固定炉排燃煤锅炉</w:t>
            </w:r>
            <w:r>
              <w:rPr>
                <w:rFonts w:hint="eastAsia" w:ascii="Times New Roman" w:hAnsi="Times New Roman" w:cs="Times New Roman"/>
                <w:color w:val="FF0000"/>
                <w:sz w:val="24"/>
                <w:lang w:eastAsia="zh-CN"/>
              </w:rPr>
              <w:t>；</w:t>
            </w:r>
            <w:r>
              <w:rPr>
                <w:rFonts w:hint="default" w:ascii="Times New Roman" w:hAnsi="Times New Roman" w:cs="Times New Roman"/>
                <w:color w:val="FF0000"/>
                <w:sz w:val="24"/>
              </w:rPr>
              <w:t>64</w:t>
            </w:r>
            <w:r>
              <w:rPr>
                <w:rFonts w:hint="eastAsia" w:ascii="Times New Roman" w:hAnsi="Times New Roman" w:cs="Times New Roman"/>
                <w:color w:val="FF0000"/>
                <w:sz w:val="24"/>
                <w:lang w:eastAsia="zh-CN"/>
              </w:rPr>
              <w:t>：</w:t>
            </w:r>
            <w:r>
              <w:rPr>
                <w:rFonts w:hint="default" w:ascii="Times New Roman" w:hAnsi="Times New Roman" w:cs="Times New Roman"/>
                <w:color w:val="FF0000"/>
                <w:sz w:val="24"/>
              </w:rPr>
              <w:t>每小时10蒸吨及以下燃煤锅炉</w:t>
            </w:r>
            <w:r>
              <w:rPr>
                <w:rFonts w:hint="eastAsia" w:ascii="Times New Roman" w:hAnsi="Times New Roman" w:cs="Times New Roman"/>
                <w:color w:val="FF0000"/>
                <w:sz w:val="24"/>
                <w:lang w:eastAsia="zh-CN"/>
              </w:rPr>
              <w:t>；</w:t>
            </w:r>
            <w:r>
              <w:rPr>
                <w:rFonts w:hint="default" w:ascii="Times New Roman" w:hAnsi="Times New Roman" w:cs="Times New Roman"/>
                <w:color w:val="FF0000"/>
                <w:sz w:val="24"/>
              </w:rPr>
              <w:t>66</w:t>
            </w:r>
            <w:r>
              <w:rPr>
                <w:rFonts w:hint="eastAsia" w:ascii="Times New Roman" w:hAnsi="Times New Roman" w:cs="Times New Roman"/>
                <w:color w:val="FF0000"/>
                <w:sz w:val="24"/>
                <w:lang w:eastAsia="zh-CN"/>
              </w:rPr>
              <w:t>：</w:t>
            </w:r>
            <w:r>
              <w:rPr>
                <w:rFonts w:hint="default" w:ascii="Times New Roman" w:hAnsi="Times New Roman" w:cs="Times New Roman"/>
                <w:color w:val="FF0000"/>
                <w:sz w:val="24"/>
              </w:rPr>
              <w:t>每小时2蒸吨及以下生物质锅炉</w:t>
            </w:r>
            <w:r>
              <w:rPr>
                <w:rFonts w:hint="eastAsia" w:ascii="Times New Roman" w:hAnsi="Times New Roman" w:cs="Times New Roman"/>
                <w:color w:val="FF0000"/>
                <w:sz w:val="24"/>
                <w:lang w:eastAsia="zh-CN"/>
              </w:rPr>
              <w:t>；</w:t>
            </w:r>
            <w:r>
              <w:rPr>
                <w:rFonts w:hint="default" w:ascii="Times New Roman" w:hAnsi="Times New Roman" w:cs="Times New Roman"/>
                <w:color w:val="FF0000"/>
                <w:sz w:val="24"/>
              </w:rPr>
              <w:t>70</w:t>
            </w:r>
            <w:r>
              <w:rPr>
                <w:rFonts w:hint="eastAsia" w:ascii="Times New Roman" w:hAnsi="Times New Roman" w:cs="Times New Roman"/>
                <w:color w:val="FF0000"/>
                <w:sz w:val="24"/>
                <w:lang w:eastAsia="zh-CN"/>
              </w:rPr>
              <w:t>：</w:t>
            </w:r>
            <w:r>
              <w:rPr>
                <w:rFonts w:hint="default" w:ascii="Times New Roman" w:hAnsi="Times New Roman" w:cs="Times New Roman"/>
                <w:color w:val="FF0000"/>
                <w:sz w:val="24"/>
              </w:rPr>
              <w:t>每小时35蒸吨及以下燃煤锅炉</w:t>
            </w:r>
            <w:r>
              <w:rPr>
                <w:rFonts w:hint="eastAsia" w:ascii="Times New Roman" w:hAnsi="Times New Roman" w:cs="Times New Roman"/>
                <w:color w:val="FF0000"/>
                <w:sz w:val="24"/>
                <w:lang w:eastAsia="zh-CN"/>
              </w:rPr>
              <w:t>（</w:t>
            </w:r>
            <w:r>
              <w:rPr>
                <w:rFonts w:hint="default" w:ascii="Times New Roman" w:hAnsi="Times New Roman" w:cs="Times New Roman"/>
                <w:color w:val="FF0000"/>
                <w:sz w:val="24"/>
              </w:rPr>
              <w:t>大气污染重点防治区域</w:t>
            </w:r>
            <w:r>
              <w:rPr>
                <w:rFonts w:hint="eastAsia" w:ascii="Times New Roman" w:hAnsi="Times New Roman" w:cs="Times New Roman"/>
                <w:color w:val="FF0000"/>
                <w:sz w:val="24"/>
                <w:lang w:eastAsia="zh-CN"/>
              </w:rPr>
              <w:t>）</w:t>
            </w:r>
          </w:p>
          <w:p w14:paraId="55B13AAC">
            <w:pPr>
              <w:widowControl/>
              <w:spacing w:line="360" w:lineRule="auto"/>
              <w:ind w:firstLine="480" w:firstLineChars="200"/>
              <w:jc w:val="both"/>
              <w:rPr>
                <w:rFonts w:hint="default" w:ascii="Times New Roman" w:hAnsi="Times New Roman" w:eastAsia="宋体" w:cs="Times New Roman"/>
                <w:color w:val="FF0000"/>
                <w:sz w:val="24"/>
                <w:lang w:val="en-US" w:eastAsia="zh-CN"/>
              </w:rPr>
            </w:pPr>
            <w:r>
              <w:rPr>
                <w:rFonts w:hint="eastAsia" w:ascii="Times New Roman" w:hAnsi="Times New Roman" w:cs="Times New Roman"/>
                <w:color w:val="FF0000"/>
                <w:sz w:val="24"/>
                <w:lang w:val="en-US" w:eastAsia="zh-CN"/>
              </w:rPr>
              <w:t>本锅炉技改项目生物质锅炉属于</w:t>
            </w:r>
            <w:r>
              <w:rPr>
                <w:rFonts w:hint="eastAsia" w:cs="Times New Roman"/>
                <w:color w:val="FF0000"/>
                <w:sz w:val="24"/>
                <w:lang w:val="en-US" w:eastAsia="zh-CN"/>
              </w:rPr>
              <w:t>6t/h</w:t>
            </w:r>
            <w:r>
              <w:rPr>
                <w:rFonts w:hint="default" w:ascii="Times New Roman" w:hAnsi="Times New Roman" w:cs="Times New Roman"/>
                <w:color w:val="FF0000"/>
                <w:sz w:val="24"/>
              </w:rPr>
              <w:t>往复式炉排生物质锅炉</w:t>
            </w:r>
            <w:r>
              <w:rPr>
                <w:rFonts w:hint="eastAsia" w:ascii="Times New Roman" w:hAnsi="Times New Roman" w:cs="Times New Roman"/>
                <w:color w:val="FF0000"/>
                <w:sz w:val="24"/>
                <w:lang w:eastAsia="zh-CN"/>
              </w:rPr>
              <w:t>，</w:t>
            </w:r>
            <w:r>
              <w:rPr>
                <w:rFonts w:hint="default" w:ascii="Times New Roman" w:hAnsi="Times New Roman" w:cs="Times New Roman"/>
                <w:color w:val="FF0000"/>
                <w:sz w:val="24"/>
              </w:rPr>
              <w:t>不属于</w:t>
            </w:r>
            <w:r>
              <w:rPr>
                <w:rFonts w:hint="eastAsia" w:ascii="Times New Roman" w:hAnsi="Times New Roman" w:cs="Times New Roman"/>
                <w:color w:val="FF0000"/>
                <w:sz w:val="24"/>
                <w:lang w:eastAsia="zh-CN"/>
              </w:rPr>
              <w:t>“</w:t>
            </w:r>
            <w:r>
              <w:rPr>
                <w:rFonts w:hint="default" w:ascii="Times New Roman" w:hAnsi="Times New Roman" w:cs="Times New Roman"/>
                <w:color w:val="FF0000"/>
                <w:sz w:val="24"/>
              </w:rPr>
              <w:t>限制类</w:t>
            </w:r>
            <w:r>
              <w:rPr>
                <w:rFonts w:hint="eastAsia" w:ascii="Times New Roman" w:hAnsi="Times New Roman" w:cs="Times New Roman"/>
                <w:color w:val="FF0000"/>
                <w:sz w:val="24"/>
                <w:lang w:eastAsia="zh-CN"/>
              </w:rPr>
              <w:t>”</w:t>
            </w:r>
            <w:r>
              <w:rPr>
                <w:rFonts w:hint="default" w:ascii="Times New Roman" w:hAnsi="Times New Roman" w:cs="Times New Roman"/>
                <w:color w:val="FF0000"/>
                <w:sz w:val="24"/>
              </w:rPr>
              <w:t>、</w:t>
            </w:r>
            <w:r>
              <w:rPr>
                <w:rFonts w:hint="eastAsia" w:ascii="Times New Roman" w:hAnsi="Times New Roman" w:cs="Times New Roman"/>
                <w:color w:val="FF0000"/>
                <w:sz w:val="24"/>
                <w:lang w:eastAsia="zh-CN"/>
              </w:rPr>
              <w:t>“</w:t>
            </w:r>
            <w:r>
              <w:rPr>
                <w:rFonts w:hint="default" w:ascii="Times New Roman" w:hAnsi="Times New Roman" w:cs="Times New Roman"/>
                <w:color w:val="FF0000"/>
                <w:sz w:val="24"/>
              </w:rPr>
              <w:t>淘汰类</w:t>
            </w:r>
            <w:r>
              <w:rPr>
                <w:rFonts w:hint="eastAsia" w:ascii="Times New Roman" w:hAnsi="Times New Roman" w:cs="Times New Roman"/>
                <w:color w:val="FF0000"/>
                <w:sz w:val="24"/>
                <w:lang w:eastAsia="zh-CN"/>
              </w:rPr>
              <w:t>”</w:t>
            </w:r>
            <w:r>
              <w:rPr>
                <w:rFonts w:hint="default" w:ascii="Times New Roman" w:hAnsi="Times New Roman" w:cs="Times New Roman"/>
                <w:color w:val="FF0000"/>
                <w:sz w:val="24"/>
              </w:rPr>
              <w:t>、</w:t>
            </w:r>
            <w:r>
              <w:rPr>
                <w:rFonts w:hint="eastAsia" w:ascii="Times New Roman" w:hAnsi="Times New Roman" w:cs="Times New Roman"/>
                <w:color w:val="FF0000"/>
                <w:sz w:val="24"/>
                <w:lang w:eastAsia="zh-CN"/>
              </w:rPr>
              <w:t>“</w:t>
            </w:r>
            <w:r>
              <w:rPr>
                <w:rFonts w:hint="default" w:ascii="Times New Roman" w:hAnsi="Times New Roman" w:cs="Times New Roman"/>
                <w:color w:val="FF0000"/>
                <w:sz w:val="24"/>
              </w:rPr>
              <w:t>鼓励类</w:t>
            </w:r>
            <w:r>
              <w:rPr>
                <w:rFonts w:hint="eastAsia" w:ascii="Times New Roman" w:hAnsi="Times New Roman" w:cs="Times New Roman"/>
                <w:color w:val="FF0000"/>
                <w:sz w:val="24"/>
                <w:lang w:eastAsia="zh-CN"/>
              </w:rPr>
              <w:t>”</w:t>
            </w:r>
            <w:r>
              <w:rPr>
                <w:rFonts w:hint="default" w:ascii="Times New Roman" w:hAnsi="Times New Roman" w:cs="Times New Roman"/>
                <w:color w:val="FF0000"/>
                <w:sz w:val="24"/>
              </w:rPr>
              <w:t>范围，视为允许类范畴</w:t>
            </w:r>
            <w:r>
              <w:rPr>
                <w:rFonts w:hint="eastAsia" w:ascii="Times New Roman" w:hAnsi="Times New Roman" w:cs="Times New Roman"/>
                <w:color w:val="FF0000"/>
                <w:sz w:val="24"/>
                <w:lang w:eastAsia="zh-CN"/>
              </w:rPr>
              <w:t>，</w:t>
            </w:r>
            <w:r>
              <w:rPr>
                <w:rFonts w:hint="eastAsia" w:ascii="Times New Roman" w:hAnsi="Times New Roman" w:cs="Times New Roman"/>
                <w:color w:val="FF0000"/>
                <w:sz w:val="24"/>
                <w:lang w:val="en-US" w:eastAsia="zh-CN"/>
              </w:rPr>
              <w:t>故本项目属于允许类。</w:t>
            </w:r>
          </w:p>
          <w:p w14:paraId="0510CDF7">
            <w:pPr>
              <w:adjustRightInd w:val="0"/>
              <w:snapToGrid w:val="0"/>
              <w:spacing w:line="360" w:lineRule="auto"/>
              <w:ind w:firstLine="480" w:firstLineChars="200"/>
              <w:jc w:val="both"/>
              <w:rPr>
                <w:color w:val="auto"/>
                <w:kern w:val="0"/>
                <w:sz w:val="24"/>
                <w:lang w:bidi="ar"/>
              </w:rPr>
            </w:pPr>
            <w:r>
              <w:rPr>
                <w:color w:val="auto"/>
                <w:sz w:val="24"/>
              </w:rPr>
              <w:t>综上所述</w:t>
            </w:r>
            <w:r>
              <w:rPr>
                <w:color w:val="auto"/>
                <w:kern w:val="0"/>
                <w:sz w:val="24"/>
                <w:lang w:bidi="ar"/>
              </w:rPr>
              <w:t>，本项目符合国家及地方产业政策。</w:t>
            </w:r>
          </w:p>
          <w:p w14:paraId="404D746B">
            <w:pPr>
              <w:autoSpaceDE w:val="0"/>
              <w:autoSpaceDN w:val="0"/>
              <w:adjustRightInd w:val="0"/>
              <w:snapToGrid w:val="0"/>
              <w:spacing w:line="360" w:lineRule="auto"/>
              <w:ind w:firstLine="482" w:firstLineChars="200"/>
              <w:jc w:val="both"/>
              <w:rPr>
                <w:b/>
                <w:bCs/>
                <w:color w:val="auto"/>
                <w:sz w:val="24"/>
              </w:rPr>
            </w:pPr>
            <w:r>
              <w:rPr>
                <w:b/>
                <w:bCs/>
                <w:color w:val="auto"/>
                <w:sz w:val="24"/>
              </w:rPr>
              <w:t>2、项目选址</w:t>
            </w:r>
            <w:r>
              <w:rPr>
                <w:rFonts w:hint="eastAsia"/>
                <w:b/>
                <w:bCs/>
                <w:color w:val="auto"/>
                <w:sz w:val="24"/>
                <w:lang w:val="en-US" w:eastAsia="zh-CN"/>
              </w:rPr>
              <w:t>可行</w:t>
            </w:r>
            <w:r>
              <w:rPr>
                <w:b/>
                <w:bCs/>
                <w:color w:val="auto"/>
                <w:sz w:val="24"/>
              </w:rPr>
              <w:t>性分析</w:t>
            </w:r>
          </w:p>
          <w:p w14:paraId="34F70285">
            <w:pPr>
              <w:adjustRightInd w:val="0"/>
              <w:snapToGrid w:val="0"/>
              <w:spacing w:line="360" w:lineRule="auto"/>
              <w:ind w:firstLine="480" w:firstLineChars="200"/>
              <w:jc w:val="both"/>
              <w:rPr>
                <w:color w:val="auto"/>
                <w:sz w:val="24"/>
              </w:rPr>
            </w:pPr>
            <w:r>
              <w:rPr>
                <w:color w:val="auto"/>
                <w:sz w:val="24"/>
              </w:rPr>
              <w:t>（1）用地性质相符性分析</w:t>
            </w:r>
          </w:p>
          <w:p w14:paraId="5352DD74">
            <w:pPr>
              <w:spacing w:line="360" w:lineRule="auto"/>
              <w:ind w:firstLine="470" w:firstLineChars="196"/>
              <w:jc w:val="both"/>
              <w:rPr>
                <w:color w:val="auto"/>
                <w:sz w:val="24"/>
              </w:rPr>
            </w:pPr>
            <w:r>
              <w:rPr>
                <w:color w:val="auto"/>
                <w:sz w:val="24"/>
              </w:rPr>
              <w:t>本项目位于</w:t>
            </w:r>
            <w:r>
              <w:rPr>
                <w:rFonts w:hint="default" w:ascii="Times New Roman" w:hAnsi="Times New Roman" w:eastAsia="宋体" w:cs="Times New Roman"/>
                <w:color w:val="auto"/>
                <w:kern w:val="24"/>
                <w:sz w:val="24"/>
                <w:szCs w:val="24"/>
                <w:lang w:bidi="ar"/>
              </w:rPr>
              <w:t>江西省宜春市高安市八景镇江西高安大北农饲料有限公司</w:t>
            </w:r>
            <w:r>
              <w:rPr>
                <w:rFonts w:hint="eastAsia" w:cs="Times New Roman"/>
                <w:color w:val="auto"/>
                <w:kern w:val="24"/>
                <w:sz w:val="24"/>
                <w:szCs w:val="24"/>
                <w:lang w:val="en-US" w:eastAsia="zh-CN" w:bidi="ar"/>
              </w:rPr>
              <w:t>内</w:t>
            </w:r>
            <w:r>
              <w:rPr>
                <w:color w:val="auto"/>
                <w:sz w:val="24"/>
              </w:rPr>
              <w:t>，</w:t>
            </w:r>
            <w:r>
              <w:rPr>
                <w:color w:val="auto"/>
                <w:sz w:val="24"/>
                <w:highlight w:val="none"/>
              </w:rPr>
              <w:t>根据附</w:t>
            </w:r>
            <w:r>
              <w:rPr>
                <w:rFonts w:hint="eastAsia"/>
                <w:color w:val="auto"/>
                <w:sz w:val="24"/>
                <w:highlight w:val="none"/>
              </w:rPr>
              <w:t>件</w:t>
            </w:r>
            <w:r>
              <w:rPr>
                <w:rFonts w:hint="eastAsia"/>
                <w:color w:val="auto"/>
                <w:sz w:val="24"/>
                <w:highlight w:val="none"/>
                <w:lang w:val="en-US" w:eastAsia="zh-CN"/>
              </w:rPr>
              <w:t>4</w:t>
            </w:r>
            <w:r>
              <w:rPr>
                <w:color w:val="auto"/>
                <w:sz w:val="24"/>
                <w:highlight w:val="none"/>
              </w:rPr>
              <w:t>，</w:t>
            </w:r>
            <w:r>
              <w:rPr>
                <w:color w:val="auto"/>
                <w:sz w:val="24"/>
              </w:rPr>
              <w:t>项目用地性质为工业用地</w:t>
            </w:r>
            <w:r>
              <w:rPr>
                <w:rFonts w:hint="eastAsia"/>
                <w:color w:val="auto"/>
                <w:sz w:val="24"/>
                <w:lang w:eastAsia="zh-CN"/>
              </w:rPr>
              <w:t>。</w:t>
            </w:r>
            <w:r>
              <w:rPr>
                <w:rFonts w:hint="eastAsia"/>
                <w:color w:val="auto"/>
                <w:sz w:val="24"/>
                <w:lang w:val="en-US" w:eastAsia="zh-CN"/>
              </w:rPr>
              <w:t>根据高安市</w:t>
            </w:r>
            <w:r>
              <w:rPr>
                <w:color w:val="auto"/>
                <w:sz w:val="24"/>
              </w:rPr>
              <w:t>生态保护红线范围图可知，项目不在当地饮用水源、风景名胜区、自然保护区等生态保护区内，满足生态保护红线要求</w:t>
            </w:r>
            <w:r>
              <w:rPr>
                <w:rFonts w:hint="eastAsia"/>
                <w:color w:val="auto"/>
                <w:sz w:val="24"/>
                <w:lang w:eastAsia="zh-CN"/>
              </w:rPr>
              <w:t>；</w:t>
            </w:r>
            <w:r>
              <w:rPr>
                <w:color w:val="auto"/>
                <w:sz w:val="24"/>
              </w:rPr>
              <w:t>因此项目用地符合城市规划要求和产业结构布局，项目的建设与当地的环境保护规划相协调。</w:t>
            </w:r>
          </w:p>
          <w:p w14:paraId="56ACD8CA">
            <w:pPr>
              <w:pStyle w:val="73"/>
              <w:ind w:firstLine="480"/>
              <w:jc w:val="both"/>
              <w:rPr>
                <w:color w:val="auto"/>
              </w:rPr>
            </w:pPr>
            <w:r>
              <w:rPr>
                <w:color w:val="auto"/>
              </w:rPr>
              <w:t>（2）</w:t>
            </w:r>
            <w:r>
              <w:rPr>
                <w:color w:val="auto"/>
                <w:kern w:val="2"/>
                <w:szCs w:val="24"/>
              </w:rPr>
              <w:t>选址所在地环境敏感程度分析</w:t>
            </w:r>
          </w:p>
          <w:p w14:paraId="40851EEE">
            <w:pPr>
              <w:adjustRightInd w:val="0"/>
              <w:snapToGrid w:val="0"/>
              <w:spacing w:line="360" w:lineRule="auto"/>
              <w:ind w:firstLine="480" w:firstLineChars="200"/>
              <w:jc w:val="both"/>
              <w:rPr>
                <w:color w:val="auto"/>
                <w:sz w:val="24"/>
              </w:rPr>
            </w:pPr>
            <w:r>
              <w:rPr>
                <w:color w:val="auto"/>
                <w:sz w:val="24"/>
              </w:rPr>
              <w:t>本项目位于</w:t>
            </w:r>
            <w:r>
              <w:rPr>
                <w:rFonts w:hint="default" w:ascii="Times New Roman" w:hAnsi="Times New Roman" w:eastAsia="宋体" w:cs="Times New Roman"/>
                <w:color w:val="auto"/>
                <w:kern w:val="24"/>
                <w:sz w:val="24"/>
                <w:szCs w:val="24"/>
                <w:lang w:bidi="ar"/>
              </w:rPr>
              <w:t>江西省宜春市高安市八景镇江西高安大北农饲料有限公司</w:t>
            </w:r>
            <w:r>
              <w:rPr>
                <w:rFonts w:hint="eastAsia" w:cs="Times New Roman"/>
                <w:color w:val="auto"/>
                <w:kern w:val="24"/>
                <w:sz w:val="24"/>
                <w:szCs w:val="24"/>
                <w:lang w:val="en-US" w:eastAsia="zh-CN" w:bidi="ar"/>
              </w:rPr>
              <w:t>内</w:t>
            </w:r>
            <w:r>
              <w:rPr>
                <w:color w:val="auto"/>
                <w:sz w:val="24"/>
              </w:rPr>
              <w:t>，该选址不属于生活饮用水源地和地下水补给区、风景名胜区、温泉疗养区、水产养殖区、基本农田保护区、自然保护区等需要特殊保护区域。</w:t>
            </w:r>
          </w:p>
          <w:p w14:paraId="243E5617">
            <w:pPr>
              <w:pStyle w:val="73"/>
              <w:ind w:firstLine="480"/>
              <w:jc w:val="both"/>
              <w:rPr>
                <w:color w:val="auto"/>
                <w:kern w:val="2"/>
                <w:szCs w:val="24"/>
              </w:rPr>
            </w:pPr>
            <w:r>
              <w:rPr>
                <w:color w:val="auto"/>
                <w:kern w:val="2"/>
                <w:szCs w:val="24"/>
              </w:rPr>
              <w:t>（3）环境容量</w:t>
            </w:r>
          </w:p>
          <w:p w14:paraId="78D75F72">
            <w:pPr>
              <w:pStyle w:val="73"/>
              <w:ind w:firstLine="480"/>
              <w:jc w:val="both"/>
              <w:rPr>
                <w:color w:val="auto"/>
                <w:kern w:val="2"/>
                <w:szCs w:val="24"/>
              </w:rPr>
            </w:pPr>
            <w:r>
              <w:rPr>
                <w:color w:val="auto"/>
                <w:kern w:val="2"/>
                <w:szCs w:val="24"/>
              </w:rPr>
              <w:t>项目所在区域环境质量现状较好，大气、地表水等环境满足相应环境功能区划要求，区域有足够的环境容量。</w:t>
            </w:r>
          </w:p>
          <w:p w14:paraId="7259FEEF">
            <w:pPr>
              <w:pStyle w:val="73"/>
              <w:ind w:firstLine="480"/>
              <w:jc w:val="both"/>
              <w:rPr>
                <w:color w:val="auto"/>
                <w:kern w:val="2"/>
                <w:szCs w:val="24"/>
              </w:rPr>
            </w:pPr>
            <w:r>
              <w:rPr>
                <w:color w:val="auto"/>
                <w:kern w:val="2"/>
                <w:szCs w:val="24"/>
              </w:rPr>
              <w:t>（4）环境影响程度</w:t>
            </w:r>
          </w:p>
          <w:p w14:paraId="673878E8">
            <w:pPr>
              <w:pStyle w:val="73"/>
              <w:ind w:firstLine="480"/>
              <w:jc w:val="both"/>
              <w:rPr>
                <w:rFonts w:hint="eastAsia"/>
                <w:color w:val="auto"/>
                <w:kern w:val="2"/>
                <w:szCs w:val="24"/>
              </w:rPr>
            </w:pPr>
            <w:r>
              <w:rPr>
                <w:color w:val="auto"/>
                <w:kern w:val="2"/>
                <w:szCs w:val="24"/>
              </w:rPr>
              <w:t>根据工程分析确定的污染物源强，通过大气环境、水环境、声环境影响分析，</w:t>
            </w:r>
            <w:r>
              <w:rPr>
                <w:rFonts w:hint="eastAsia"/>
                <w:color w:val="auto"/>
                <w:kern w:val="2"/>
                <w:szCs w:val="24"/>
              </w:rPr>
              <w:t>项目采取相应的治理措施后，污染物</w:t>
            </w:r>
            <w:r>
              <w:rPr>
                <w:rFonts w:hint="eastAsia"/>
                <w:color w:val="auto"/>
                <w:kern w:val="2"/>
                <w:szCs w:val="24"/>
                <w:lang w:val="en-US" w:eastAsia="zh-CN"/>
              </w:rPr>
              <w:t>可</w:t>
            </w:r>
            <w:r>
              <w:rPr>
                <w:rFonts w:hint="eastAsia"/>
                <w:color w:val="auto"/>
                <w:kern w:val="2"/>
                <w:szCs w:val="24"/>
              </w:rPr>
              <w:t>实现达标排放</w:t>
            </w:r>
            <w:r>
              <w:rPr>
                <w:rFonts w:hint="eastAsia"/>
                <w:color w:val="auto"/>
                <w:kern w:val="2"/>
                <w:szCs w:val="24"/>
                <w:lang w:eastAsia="zh-CN"/>
              </w:rPr>
              <w:t>，</w:t>
            </w:r>
            <w:r>
              <w:rPr>
                <w:rFonts w:hint="eastAsia"/>
                <w:color w:val="auto"/>
                <w:kern w:val="2"/>
                <w:szCs w:val="24"/>
              </w:rPr>
              <w:t>对区域环境空气、水环境、声环境影响较小。</w:t>
            </w:r>
          </w:p>
          <w:p w14:paraId="7852045A">
            <w:pPr>
              <w:pStyle w:val="77"/>
              <w:ind w:firstLine="482"/>
              <w:jc w:val="both"/>
              <w:rPr>
                <w:color w:val="FF0000"/>
                <w:kern w:val="2"/>
              </w:rPr>
            </w:pPr>
            <w:r>
              <w:rPr>
                <w:rFonts w:hint="eastAsia"/>
                <w:color w:val="FF0000"/>
                <w:kern w:val="2"/>
                <w:szCs w:val="24"/>
                <w:lang w:val="en-US" w:eastAsia="zh-CN"/>
              </w:rPr>
              <w:t>（5）</w:t>
            </w:r>
            <w:r>
              <w:rPr>
                <w:b w:val="0"/>
                <w:bCs/>
                <w:color w:val="FF0000"/>
                <w:kern w:val="2"/>
              </w:rPr>
              <w:t>与周边企业相容性分析</w:t>
            </w:r>
          </w:p>
          <w:p w14:paraId="1876F849">
            <w:pPr>
              <w:widowControl/>
              <w:spacing w:line="360" w:lineRule="auto"/>
              <w:ind w:firstLine="480" w:firstLineChars="200"/>
              <w:jc w:val="both"/>
              <w:rPr>
                <w:rFonts w:hint="eastAsia"/>
                <w:color w:val="000000" w:themeColor="text1"/>
                <w:kern w:val="0"/>
                <w:sz w:val="24"/>
                <w:lang w:val="en-US" w:eastAsia="zh-CN" w:bidi="ar"/>
                <w14:textFill>
                  <w14:solidFill>
                    <w14:schemeClr w14:val="tx1"/>
                  </w14:solidFill>
                </w14:textFill>
              </w:rPr>
            </w:pPr>
            <w:r>
              <w:rPr>
                <w:color w:val="FF0000"/>
                <w:kern w:val="0"/>
                <w:sz w:val="24"/>
                <w:lang w:bidi="ar"/>
              </w:rPr>
              <w:t>项目</w:t>
            </w:r>
            <w:r>
              <w:rPr>
                <w:rFonts w:hint="eastAsia"/>
                <w:color w:val="FF0000"/>
                <w:kern w:val="0"/>
                <w:sz w:val="24"/>
                <w:lang w:val="en-US" w:eastAsia="zh-CN" w:bidi="ar"/>
              </w:rPr>
              <w:t>周边企业主要为江西省高安市福源饲料有限公司、江西宸兴机械设备有限公司、高安华能管道天然气有限公司。江西省高安市福源饲料有限公司经营项目为猪饲料加工，外排污染物主要为锅炉烟气、生活污水、噪声以及固体废物；江西宸兴机械设备有限公司经营项目为机械设备制造，</w:t>
            </w:r>
            <w:r>
              <w:rPr>
                <w:color w:val="FF0000"/>
                <w:sz w:val="24"/>
              </w:rPr>
              <w:t>外排污染物主要有废气</w:t>
            </w:r>
            <w:r>
              <w:rPr>
                <w:rFonts w:hint="eastAsia"/>
                <w:color w:val="FF0000"/>
                <w:sz w:val="24"/>
                <w:lang w:eastAsia="zh-CN"/>
              </w:rPr>
              <w:t>（</w:t>
            </w:r>
            <w:r>
              <w:rPr>
                <w:rFonts w:hint="eastAsia"/>
                <w:color w:val="FF0000"/>
                <w:sz w:val="24"/>
                <w:lang w:val="en-US" w:eastAsia="zh-CN"/>
              </w:rPr>
              <w:t>颗粒物</w:t>
            </w:r>
            <w:r>
              <w:rPr>
                <w:rFonts w:hint="eastAsia"/>
                <w:color w:val="FF0000"/>
                <w:sz w:val="24"/>
                <w:lang w:eastAsia="zh-CN"/>
              </w:rPr>
              <w:t>）</w:t>
            </w:r>
            <w:r>
              <w:rPr>
                <w:color w:val="FF0000"/>
                <w:sz w:val="24"/>
              </w:rPr>
              <w:t>、</w:t>
            </w:r>
            <w:r>
              <w:rPr>
                <w:rFonts w:hint="eastAsia"/>
                <w:color w:val="FF0000"/>
                <w:sz w:val="24"/>
                <w:lang w:val="en-US" w:eastAsia="zh-CN"/>
              </w:rPr>
              <w:t>废水</w:t>
            </w:r>
            <w:r>
              <w:rPr>
                <w:color w:val="FF0000"/>
                <w:sz w:val="24"/>
              </w:rPr>
              <w:t>、设备噪声</w:t>
            </w:r>
            <w:r>
              <w:rPr>
                <w:rFonts w:hint="eastAsia"/>
                <w:color w:val="FF0000"/>
                <w:sz w:val="24"/>
                <w:lang w:val="en-US" w:eastAsia="zh-CN"/>
              </w:rPr>
              <w:t>以及</w:t>
            </w:r>
            <w:r>
              <w:rPr>
                <w:color w:val="FF0000"/>
                <w:sz w:val="24"/>
              </w:rPr>
              <w:t>固体废</w:t>
            </w:r>
            <w:r>
              <w:rPr>
                <w:rFonts w:hint="eastAsia"/>
                <w:color w:val="FF0000"/>
                <w:sz w:val="24"/>
                <w:lang w:val="en-US" w:eastAsia="zh-CN"/>
              </w:rPr>
              <w:t>物；</w:t>
            </w:r>
            <w:r>
              <w:rPr>
                <w:rFonts w:hint="eastAsia"/>
                <w:color w:val="FF0000"/>
                <w:kern w:val="0"/>
                <w:sz w:val="24"/>
                <w:lang w:val="en-US" w:eastAsia="zh-CN" w:bidi="ar"/>
              </w:rPr>
              <w:t>高安华能管道天然气有限公司经营项目为天然气供给</w:t>
            </w:r>
            <w:r>
              <w:rPr>
                <w:rFonts w:hint="eastAsia"/>
                <w:color w:val="FF0000"/>
                <w:sz w:val="24"/>
                <w:lang w:val="en-US" w:eastAsia="zh-CN"/>
              </w:rPr>
              <w:t>，</w:t>
            </w:r>
            <w:r>
              <w:rPr>
                <w:rFonts w:hint="eastAsia"/>
                <w:color w:val="FF0000"/>
                <w:kern w:val="0"/>
                <w:sz w:val="24"/>
                <w:lang w:val="en-US" w:eastAsia="zh-CN" w:bidi="ar"/>
              </w:rPr>
              <w:t>外排污染物主要为锅炉烟气和生活污水。</w:t>
            </w:r>
            <w:r>
              <w:rPr>
                <w:color w:val="FF0000"/>
                <w:sz w:val="24"/>
              </w:rPr>
              <w:t>本项目污染物在采取各项污染物防治措施后均可达标排放</w:t>
            </w:r>
            <w:r>
              <w:rPr>
                <w:rFonts w:hint="eastAsia"/>
                <w:color w:val="FF0000"/>
                <w:sz w:val="24"/>
                <w:lang w:eastAsia="zh-CN"/>
              </w:rPr>
              <w:t>，</w:t>
            </w:r>
            <w:r>
              <w:rPr>
                <w:rFonts w:hint="eastAsia"/>
                <w:color w:val="FF0000"/>
                <w:sz w:val="24"/>
                <w:lang w:val="en-US" w:eastAsia="zh-CN"/>
              </w:rPr>
              <w:t>与周边企业相容。</w:t>
            </w:r>
            <w:r>
              <w:rPr>
                <w:rFonts w:hint="eastAsia"/>
                <w:color w:val="FF0000"/>
                <w:kern w:val="0"/>
                <w:sz w:val="24"/>
                <w:lang w:val="en-US" w:eastAsia="zh-CN" w:bidi="ar"/>
              </w:rPr>
              <w:t>综上所述，项目选址可行。</w:t>
            </w: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99"/>
              <w:gridCol w:w="3800"/>
            </w:tblGrid>
            <w:tr w14:paraId="58DD2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9" w:type="dxa"/>
                  <w:vAlign w:val="center"/>
                </w:tcPr>
                <w:p w14:paraId="0C81BBBD">
                  <w:pPr>
                    <w:jc w:val="center"/>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2390140" cy="1791970"/>
                        <wp:effectExtent l="0" t="0" r="10160" b="17780"/>
                        <wp:docPr id="12" name="图片 12" descr="9a3ffccf443ab9258c7878d6e9e980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9a3ffccf443ab9258c7878d6e9e98079"/>
                                <pic:cNvPicPr>
                                  <a:picLocks noChangeAspect="1"/>
                                </pic:cNvPicPr>
                              </pic:nvPicPr>
                              <pic:blipFill>
                                <a:blip r:embed="rId9"/>
                                <a:stretch>
                                  <a:fillRect/>
                                </a:stretch>
                              </pic:blipFill>
                              <pic:spPr>
                                <a:xfrm>
                                  <a:off x="0" y="0"/>
                                  <a:ext cx="2390140" cy="1791970"/>
                                </a:xfrm>
                                <a:prstGeom prst="rect">
                                  <a:avLst/>
                                </a:prstGeom>
                              </pic:spPr>
                            </pic:pic>
                          </a:graphicData>
                        </a:graphic>
                      </wp:inline>
                    </w:drawing>
                  </w:r>
                </w:p>
              </w:tc>
              <w:tc>
                <w:tcPr>
                  <w:tcW w:w="3800" w:type="dxa"/>
                  <w:vAlign w:val="center"/>
                </w:tcPr>
                <w:p w14:paraId="53BBCF32">
                  <w:pPr>
                    <w:jc w:val="center"/>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2406650" cy="1804670"/>
                        <wp:effectExtent l="0" t="0" r="12700" b="5080"/>
                        <wp:docPr id="13" name="图片 13" descr="c27d1b1c253b63493f7896f52245f5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c27d1b1c253b63493f7896f52245f5b0"/>
                                <pic:cNvPicPr>
                                  <a:picLocks noChangeAspect="1"/>
                                </pic:cNvPicPr>
                              </pic:nvPicPr>
                              <pic:blipFill>
                                <a:blip r:embed="rId10"/>
                                <a:stretch>
                                  <a:fillRect/>
                                </a:stretch>
                              </pic:blipFill>
                              <pic:spPr>
                                <a:xfrm>
                                  <a:off x="0" y="0"/>
                                  <a:ext cx="2406650" cy="1804670"/>
                                </a:xfrm>
                                <a:prstGeom prst="rect">
                                  <a:avLst/>
                                </a:prstGeom>
                              </pic:spPr>
                            </pic:pic>
                          </a:graphicData>
                        </a:graphic>
                      </wp:inline>
                    </w:drawing>
                  </w:r>
                </w:p>
              </w:tc>
            </w:tr>
            <w:tr w14:paraId="03538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9" w:type="dxa"/>
                  <w:vAlign w:val="center"/>
                </w:tcPr>
                <w:p w14:paraId="348AA684">
                  <w:pPr>
                    <w:jc w:val="center"/>
                    <w:rPr>
                      <w:color w:val="000000" w:themeColor="text1"/>
                      <w14:textFill>
                        <w14:solidFill>
                          <w14:schemeClr w14:val="tx1"/>
                        </w14:solidFill>
                      </w14:textFill>
                    </w:rPr>
                  </w:pPr>
                  <w:r>
                    <w:rPr>
                      <w:b/>
                      <w:bCs/>
                      <w:color w:val="000000" w:themeColor="text1"/>
                      <w:szCs w:val="21"/>
                      <w14:textFill>
                        <w14:solidFill>
                          <w14:schemeClr w14:val="tx1"/>
                        </w14:solidFill>
                      </w14:textFill>
                    </w:rPr>
                    <w:t>项目东面</w:t>
                  </w:r>
                </w:p>
              </w:tc>
              <w:tc>
                <w:tcPr>
                  <w:tcW w:w="3800" w:type="dxa"/>
                  <w:vAlign w:val="center"/>
                </w:tcPr>
                <w:p w14:paraId="77ECB8D5">
                  <w:pPr>
                    <w:jc w:val="center"/>
                    <w:rPr>
                      <w:color w:val="000000" w:themeColor="text1"/>
                      <w14:textFill>
                        <w14:solidFill>
                          <w14:schemeClr w14:val="tx1"/>
                        </w14:solidFill>
                      </w14:textFill>
                    </w:rPr>
                  </w:pPr>
                  <w:r>
                    <w:rPr>
                      <w:b/>
                      <w:bCs/>
                      <w:color w:val="000000" w:themeColor="text1"/>
                      <w:szCs w:val="21"/>
                      <w14:textFill>
                        <w14:solidFill>
                          <w14:schemeClr w14:val="tx1"/>
                        </w14:solidFill>
                      </w14:textFill>
                    </w:rPr>
                    <w:t>项目南面</w:t>
                  </w:r>
                </w:p>
              </w:tc>
            </w:tr>
            <w:tr w14:paraId="2C71A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9" w:type="dxa"/>
                  <w:vAlign w:val="center"/>
                </w:tcPr>
                <w:p w14:paraId="0D38244B">
                  <w:pPr>
                    <w:jc w:val="center"/>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2390140" cy="1791970"/>
                        <wp:effectExtent l="0" t="0" r="10160" b="17780"/>
                        <wp:docPr id="14" name="图片 14" descr="792d654f1072c5cf61a7abf72311135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792d654f1072c5cf61a7abf72311135b"/>
                                <pic:cNvPicPr>
                                  <a:picLocks noChangeAspect="1"/>
                                </pic:cNvPicPr>
                              </pic:nvPicPr>
                              <pic:blipFill>
                                <a:blip r:embed="rId11"/>
                                <a:stretch>
                                  <a:fillRect/>
                                </a:stretch>
                              </pic:blipFill>
                              <pic:spPr>
                                <a:xfrm>
                                  <a:off x="0" y="0"/>
                                  <a:ext cx="2390140" cy="1791970"/>
                                </a:xfrm>
                                <a:prstGeom prst="rect">
                                  <a:avLst/>
                                </a:prstGeom>
                              </pic:spPr>
                            </pic:pic>
                          </a:graphicData>
                        </a:graphic>
                      </wp:inline>
                    </w:drawing>
                  </w:r>
                </w:p>
              </w:tc>
              <w:tc>
                <w:tcPr>
                  <w:tcW w:w="3800" w:type="dxa"/>
                  <w:vAlign w:val="center"/>
                </w:tcPr>
                <w:p w14:paraId="2510B002">
                  <w:pPr>
                    <w:jc w:val="center"/>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2421255" cy="1751330"/>
                        <wp:effectExtent l="0" t="0" r="17145" b="1270"/>
                        <wp:docPr id="16" name="图片 16" descr="c25b389b1867160a24cceab1d4f09d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c25b389b1867160a24cceab1d4f09de1"/>
                                <pic:cNvPicPr>
                                  <a:picLocks noChangeAspect="1"/>
                                </pic:cNvPicPr>
                              </pic:nvPicPr>
                              <pic:blipFill>
                                <a:blip r:embed="rId12"/>
                                <a:stretch>
                                  <a:fillRect/>
                                </a:stretch>
                              </pic:blipFill>
                              <pic:spPr>
                                <a:xfrm>
                                  <a:off x="0" y="0"/>
                                  <a:ext cx="2421255" cy="1751330"/>
                                </a:xfrm>
                                <a:prstGeom prst="rect">
                                  <a:avLst/>
                                </a:prstGeom>
                              </pic:spPr>
                            </pic:pic>
                          </a:graphicData>
                        </a:graphic>
                      </wp:inline>
                    </w:drawing>
                  </w:r>
                </w:p>
              </w:tc>
            </w:tr>
            <w:tr w14:paraId="69533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9" w:type="dxa"/>
                  <w:vAlign w:val="center"/>
                </w:tcPr>
                <w:p w14:paraId="04824841">
                  <w:pPr>
                    <w:jc w:val="center"/>
                    <w:rPr>
                      <w:color w:val="000000" w:themeColor="text1"/>
                      <w14:textFill>
                        <w14:solidFill>
                          <w14:schemeClr w14:val="tx1"/>
                        </w14:solidFill>
                      </w14:textFill>
                    </w:rPr>
                  </w:pPr>
                  <w:r>
                    <w:rPr>
                      <w:b/>
                      <w:bCs/>
                      <w:color w:val="000000" w:themeColor="text1"/>
                      <w:szCs w:val="21"/>
                      <w14:textFill>
                        <w14:solidFill>
                          <w14:schemeClr w14:val="tx1"/>
                        </w14:solidFill>
                      </w14:textFill>
                    </w:rPr>
                    <w:t>项目西面</w:t>
                  </w:r>
                </w:p>
              </w:tc>
              <w:tc>
                <w:tcPr>
                  <w:tcW w:w="3800" w:type="dxa"/>
                  <w:vAlign w:val="center"/>
                </w:tcPr>
                <w:p w14:paraId="247483FF">
                  <w:pPr>
                    <w:jc w:val="center"/>
                    <w:rPr>
                      <w:color w:val="000000" w:themeColor="text1"/>
                      <w14:textFill>
                        <w14:solidFill>
                          <w14:schemeClr w14:val="tx1"/>
                        </w14:solidFill>
                      </w14:textFill>
                    </w:rPr>
                  </w:pPr>
                  <w:r>
                    <w:rPr>
                      <w:b/>
                      <w:bCs/>
                      <w:color w:val="000000" w:themeColor="text1"/>
                      <w:szCs w:val="21"/>
                      <w14:textFill>
                        <w14:solidFill>
                          <w14:schemeClr w14:val="tx1"/>
                        </w14:solidFill>
                      </w14:textFill>
                    </w:rPr>
                    <w:t>项目北面</w:t>
                  </w:r>
                </w:p>
              </w:tc>
            </w:tr>
          </w:tbl>
          <w:p w14:paraId="395B42C4">
            <w:pPr>
              <w:pStyle w:val="76"/>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color w:val="FF0000"/>
                <w:kern w:val="2"/>
                <w:szCs w:val="24"/>
                <w:lang w:val="en-US" w:eastAsia="zh-CN"/>
              </w:rPr>
            </w:pPr>
            <w:r>
              <w:rPr>
                <w:color w:val="000000" w:themeColor="text1"/>
                <w14:textFill>
                  <w14:solidFill>
                    <w14:schemeClr w14:val="tx1"/>
                  </w14:solidFill>
                </w14:textFill>
              </w:rPr>
              <w:t>图1-1  项目四周图</w:t>
            </w:r>
          </w:p>
          <w:p w14:paraId="61606E2B">
            <w:pPr>
              <w:pStyle w:val="73"/>
              <w:ind w:firstLine="480"/>
              <w:jc w:val="both"/>
              <w:rPr>
                <w:rFonts w:hint="eastAsia"/>
                <w:color w:val="auto"/>
                <w:kern w:val="2"/>
                <w:szCs w:val="24"/>
              </w:rPr>
            </w:pPr>
            <w:r>
              <w:rPr>
                <w:rFonts w:hint="eastAsia"/>
                <w:color w:val="FF0000"/>
                <w:kern w:val="2"/>
                <w:szCs w:val="24"/>
                <w:lang w:val="en-US" w:eastAsia="zh-CN"/>
              </w:rPr>
              <w:t>综上所述，</w:t>
            </w:r>
            <w:r>
              <w:rPr>
                <w:b w:val="0"/>
                <w:bCs w:val="0"/>
                <w:color w:val="FF0000"/>
                <w:sz w:val="24"/>
              </w:rPr>
              <w:t>项目选址</w:t>
            </w:r>
            <w:r>
              <w:rPr>
                <w:rFonts w:hint="eastAsia"/>
                <w:b w:val="0"/>
                <w:bCs w:val="0"/>
                <w:color w:val="FF0000"/>
                <w:sz w:val="24"/>
                <w:lang w:val="en-US" w:eastAsia="zh-CN"/>
              </w:rPr>
              <w:t>可行。</w:t>
            </w:r>
          </w:p>
          <w:p w14:paraId="3FA802E4">
            <w:pPr>
              <w:spacing w:line="360" w:lineRule="auto"/>
              <w:ind w:firstLine="482"/>
              <w:jc w:val="both"/>
              <w:rPr>
                <w:b/>
                <w:bCs/>
                <w:color w:val="auto"/>
                <w:sz w:val="24"/>
              </w:rPr>
            </w:pPr>
            <w:r>
              <w:rPr>
                <w:b/>
                <w:bCs/>
                <w:color w:val="auto"/>
                <w:sz w:val="24"/>
              </w:rPr>
              <w:t>3、</w:t>
            </w:r>
            <w:r>
              <w:rPr>
                <w:rFonts w:hint="eastAsia"/>
                <w:b/>
                <w:bCs/>
                <w:color w:val="auto"/>
                <w:sz w:val="24"/>
                <w:lang w:eastAsia="zh-CN"/>
              </w:rPr>
              <w:t>“</w:t>
            </w:r>
            <w:r>
              <w:rPr>
                <w:b/>
                <w:bCs/>
                <w:color w:val="auto"/>
                <w:sz w:val="24"/>
                <w:lang w:val="en-GB"/>
              </w:rPr>
              <w:t>三线一单</w:t>
            </w:r>
            <w:r>
              <w:rPr>
                <w:rFonts w:hint="eastAsia"/>
                <w:b/>
                <w:bCs/>
                <w:color w:val="auto"/>
                <w:sz w:val="24"/>
                <w:lang w:val="en-GB" w:eastAsia="zh-CN"/>
              </w:rPr>
              <w:t>”</w:t>
            </w:r>
            <w:r>
              <w:rPr>
                <w:b/>
                <w:bCs/>
                <w:color w:val="auto"/>
                <w:sz w:val="24"/>
                <w:lang w:val="en-GB"/>
              </w:rPr>
              <w:t>符合性分析</w:t>
            </w:r>
          </w:p>
          <w:p w14:paraId="5713F3D9">
            <w:pPr>
              <w:spacing w:line="360" w:lineRule="auto"/>
              <w:ind w:firstLine="470" w:firstLineChars="196"/>
              <w:jc w:val="both"/>
              <w:rPr>
                <w:color w:val="auto"/>
                <w:sz w:val="24"/>
              </w:rPr>
            </w:pPr>
            <w:r>
              <w:rPr>
                <w:color w:val="auto"/>
                <w:sz w:val="24"/>
              </w:rPr>
              <w:t>（1）生态保护红线</w:t>
            </w:r>
          </w:p>
          <w:p w14:paraId="57D8DC24">
            <w:pPr>
              <w:spacing w:line="360" w:lineRule="auto"/>
              <w:ind w:firstLine="470" w:firstLineChars="196"/>
              <w:jc w:val="both"/>
              <w:rPr>
                <w:color w:val="auto"/>
                <w:sz w:val="24"/>
              </w:rPr>
            </w:pPr>
            <w:r>
              <w:rPr>
                <w:color w:val="auto"/>
                <w:sz w:val="24"/>
              </w:rPr>
              <w:t>项目选址于</w:t>
            </w:r>
            <w:r>
              <w:rPr>
                <w:rFonts w:hint="default" w:ascii="Times New Roman" w:hAnsi="Times New Roman" w:eastAsia="宋体" w:cs="Times New Roman"/>
                <w:color w:val="auto"/>
                <w:kern w:val="24"/>
                <w:sz w:val="24"/>
                <w:szCs w:val="24"/>
                <w:lang w:bidi="ar"/>
              </w:rPr>
              <w:t>江西省宜春市高安市八景镇江西高安大北农饲料有限公司</w:t>
            </w:r>
            <w:r>
              <w:rPr>
                <w:rFonts w:hint="eastAsia" w:cs="Times New Roman"/>
                <w:color w:val="auto"/>
                <w:kern w:val="24"/>
                <w:sz w:val="24"/>
                <w:szCs w:val="24"/>
                <w:lang w:val="en-US" w:eastAsia="zh-CN" w:bidi="ar"/>
              </w:rPr>
              <w:t>内</w:t>
            </w:r>
            <w:r>
              <w:rPr>
                <w:color w:val="auto"/>
                <w:sz w:val="24"/>
              </w:rPr>
              <w:t>，项目用地性质为工业</w:t>
            </w:r>
            <w:r>
              <w:rPr>
                <w:color w:val="auto"/>
                <w:sz w:val="24"/>
                <w:highlight w:val="none"/>
              </w:rPr>
              <w:t>用地</w:t>
            </w:r>
            <w:r>
              <w:rPr>
                <w:rFonts w:hint="eastAsia"/>
                <w:color w:val="auto"/>
                <w:sz w:val="24"/>
                <w:highlight w:val="none"/>
                <w:lang w:eastAsia="zh-CN"/>
              </w:rPr>
              <w:t>（</w:t>
            </w:r>
            <w:r>
              <w:rPr>
                <w:rFonts w:hint="eastAsia"/>
                <w:color w:val="auto"/>
                <w:sz w:val="24"/>
                <w:highlight w:val="none"/>
                <w:lang w:val="en-US" w:eastAsia="zh-CN"/>
              </w:rPr>
              <w:t>详见附件4</w:t>
            </w:r>
            <w:r>
              <w:rPr>
                <w:rFonts w:hint="eastAsia"/>
                <w:color w:val="auto"/>
                <w:sz w:val="24"/>
                <w:highlight w:val="none"/>
                <w:lang w:eastAsia="zh-CN"/>
              </w:rPr>
              <w:t>）</w:t>
            </w:r>
            <w:r>
              <w:rPr>
                <w:color w:val="auto"/>
                <w:sz w:val="24"/>
                <w:highlight w:val="none"/>
              </w:rPr>
              <w:t>，根</w:t>
            </w:r>
            <w:r>
              <w:rPr>
                <w:color w:val="auto"/>
                <w:sz w:val="24"/>
              </w:rPr>
              <w:t>据</w:t>
            </w:r>
            <w:r>
              <w:rPr>
                <w:rFonts w:hint="eastAsia"/>
                <w:color w:val="auto"/>
                <w:sz w:val="24"/>
                <w:lang w:val="en-US" w:eastAsia="zh-CN"/>
              </w:rPr>
              <w:t>高安市</w:t>
            </w:r>
            <w:r>
              <w:rPr>
                <w:color w:val="auto"/>
                <w:sz w:val="24"/>
              </w:rPr>
              <w:t>生态保护红线范围图，项目不在当地饮用水源、风景名胜区、自然保护区等生态保护区内，满足生态保护红线要求。</w:t>
            </w:r>
          </w:p>
          <w:p w14:paraId="331F4478">
            <w:pPr>
              <w:spacing w:line="360" w:lineRule="auto"/>
              <w:ind w:firstLine="470" w:firstLineChars="196"/>
              <w:jc w:val="both"/>
              <w:rPr>
                <w:color w:val="auto"/>
                <w:sz w:val="24"/>
              </w:rPr>
            </w:pPr>
            <w:r>
              <w:rPr>
                <w:color w:val="auto"/>
                <w:sz w:val="24"/>
              </w:rPr>
              <w:t>（2）环境质量底线</w:t>
            </w:r>
          </w:p>
          <w:p w14:paraId="43979A22">
            <w:pPr>
              <w:spacing w:line="360" w:lineRule="auto"/>
              <w:ind w:firstLine="470" w:firstLineChars="196"/>
              <w:jc w:val="both"/>
              <w:rPr>
                <w:color w:val="auto"/>
                <w:sz w:val="24"/>
              </w:rPr>
            </w:pPr>
            <w:r>
              <w:rPr>
                <w:color w:val="auto"/>
                <w:sz w:val="24"/>
              </w:rPr>
              <w:t>项目所在地大气环境满足《环境空气质量标准》(GB3095-2012)二级标准要求；地表水满足《地表水环境质量标准》(GB3838-2002)Ⅲ类标准要求；声环境达到《声环境质量标准》(GB3096-2008)</w:t>
            </w:r>
            <w:r>
              <w:rPr>
                <w:rFonts w:hint="eastAsia"/>
                <w:color w:val="auto"/>
                <w:sz w:val="24"/>
                <w:lang w:val="en-US" w:eastAsia="zh-CN"/>
              </w:rPr>
              <w:t>3</w:t>
            </w:r>
            <w:r>
              <w:rPr>
                <w:color w:val="auto"/>
                <w:sz w:val="24"/>
              </w:rPr>
              <w:t>类标准要求。本项目废气、废水、噪声治理后能做到达标排放，固体废物可做到无害化处置。采取本环评提出的相关防治措施后，排放的污染物不会突破区域环境质量底线。</w:t>
            </w:r>
          </w:p>
          <w:p w14:paraId="60C263EC">
            <w:pPr>
              <w:spacing w:line="360" w:lineRule="auto"/>
              <w:ind w:firstLine="470" w:firstLineChars="196"/>
              <w:jc w:val="both"/>
              <w:rPr>
                <w:color w:val="auto"/>
                <w:sz w:val="24"/>
              </w:rPr>
            </w:pPr>
            <w:r>
              <w:rPr>
                <w:color w:val="auto"/>
                <w:sz w:val="24"/>
              </w:rPr>
              <w:t>因此本项目的建设符合环境质量底线要求。</w:t>
            </w:r>
          </w:p>
          <w:p w14:paraId="72CEACCC">
            <w:pPr>
              <w:spacing w:line="360" w:lineRule="auto"/>
              <w:ind w:firstLine="470" w:firstLineChars="196"/>
              <w:jc w:val="both"/>
              <w:rPr>
                <w:color w:val="auto"/>
                <w:sz w:val="24"/>
              </w:rPr>
            </w:pPr>
            <w:r>
              <w:rPr>
                <w:color w:val="auto"/>
                <w:sz w:val="24"/>
              </w:rPr>
              <w:t>（3）资源利用上线</w:t>
            </w:r>
          </w:p>
          <w:p w14:paraId="74E50E5E">
            <w:pPr>
              <w:widowControl/>
              <w:spacing w:line="360" w:lineRule="auto"/>
              <w:ind w:firstLine="480" w:firstLineChars="200"/>
              <w:jc w:val="both"/>
              <w:rPr>
                <w:color w:val="auto"/>
                <w:sz w:val="24"/>
              </w:rPr>
            </w:pPr>
            <w:r>
              <w:rPr>
                <w:rFonts w:hint="eastAsia"/>
                <w:color w:val="auto"/>
                <w:sz w:val="24"/>
                <w:lang w:val="en-US" w:eastAsia="zh-CN"/>
              </w:rPr>
              <w:t>本技改项目使用生物质成型燃料为现有项目供热，</w:t>
            </w:r>
            <w:r>
              <w:rPr>
                <w:color w:val="auto"/>
                <w:sz w:val="24"/>
              </w:rPr>
              <w:t>不属于高能耗、高污染、资源型企业</w:t>
            </w:r>
            <w:r>
              <w:rPr>
                <w:rFonts w:hint="eastAsia"/>
                <w:color w:val="auto"/>
                <w:sz w:val="24"/>
                <w:lang w:eastAsia="zh-CN"/>
              </w:rPr>
              <w:t>；</w:t>
            </w:r>
            <w:r>
              <w:rPr>
                <w:rFonts w:hint="eastAsia"/>
                <w:color w:val="auto"/>
                <w:sz w:val="24"/>
                <w:lang w:val="en-US" w:eastAsia="zh-CN"/>
              </w:rPr>
              <w:t>项目</w:t>
            </w:r>
            <w:r>
              <w:rPr>
                <w:color w:val="auto"/>
                <w:sz w:val="24"/>
              </w:rPr>
              <w:t>用水来自市政供水管网</w:t>
            </w:r>
            <w:r>
              <w:rPr>
                <w:rFonts w:hint="eastAsia"/>
                <w:color w:val="auto"/>
                <w:sz w:val="24"/>
                <w:lang w:eastAsia="zh-CN"/>
              </w:rPr>
              <w:t>；</w:t>
            </w:r>
            <w:r>
              <w:rPr>
                <w:rFonts w:hint="eastAsia"/>
                <w:color w:val="auto"/>
                <w:sz w:val="24"/>
                <w:lang w:val="en-US" w:eastAsia="zh-CN"/>
              </w:rPr>
              <w:t>项目</w:t>
            </w:r>
            <w:r>
              <w:rPr>
                <w:rFonts w:hint="eastAsia"/>
                <w:color w:val="auto"/>
                <w:sz w:val="24"/>
              </w:rPr>
              <w:t>用电来自</w:t>
            </w:r>
            <w:r>
              <w:rPr>
                <w:rFonts w:hint="eastAsia"/>
                <w:color w:val="auto"/>
                <w:sz w:val="24"/>
                <w:lang w:val="en-US" w:eastAsia="zh-CN"/>
              </w:rPr>
              <w:t>市政</w:t>
            </w:r>
            <w:r>
              <w:rPr>
                <w:rFonts w:hint="eastAsia"/>
                <w:color w:val="auto"/>
                <w:sz w:val="24"/>
              </w:rPr>
              <w:t>供电。</w:t>
            </w:r>
            <w:r>
              <w:rPr>
                <w:rFonts w:hint="eastAsia"/>
                <w:color w:val="auto"/>
                <w:sz w:val="24"/>
                <w:lang w:val="en-US" w:eastAsia="zh-CN"/>
              </w:rPr>
              <w:t>项目</w:t>
            </w:r>
            <w:r>
              <w:rPr>
                <w:rFonts w:hint="eastAsia"/>
                <w:color w:val="auto"/>
                <w:sz w:val="24"/>
              </w:rPr>
              <w:t>建成运行后通过内部管理、设备选择、原辅材料的选用和管理、废物回收利用、污染治理等多方面采取合理可行的防治措施，以节能、降耗、减污为目标，有效性地控制污染。水电等资源利用不会突破区域的资源利用上限。</w:t>
            </w:r>
          </w:p>
          <w:p w14:paraId="681ED128">
            <w:pPr>
              <w:widowControl/>
              <w:numPr>
                <w:ilvl w:val="0"/>
                <w:numId w:val="4"/>
              </w:numPr>
              <w:spacing w:line="360" w:lineRule="auto"/>
              <w:ind w:firstLine="480" w:firstLineChars="200"/>
              <w:jc w:val="both"/>
              <w:rPr>
                <w:color w:val="auto"/>
                <w:kern w:val="0"/>
                <w:sz w:val="24"/>
              </w:rPr>
            </w:pPr>
            <w:r>
              <w:rPr>
                <w:color w:val="auto"/>
                <w:kern w:val="0"/>
                <w:sz w:val="24"/>
              </w:rPr>
              <w:t>环境准入负面清单</w:t>
            </w:r>
          </w:p>
          <w:p w14:paraId="6B49E569">
            <w:pPr>
              <w:widowControl/>
              <w:spacing w:line="360" w:lineRule="auto"/>
              <w:ind w:firstLine="480" w:firstLineChars="200"/>
              <w:jc w:val="both"/>
              <w:rPr>
                <w:color w:val="auto"/>
                <w:kern w:val="0"/>
                <w:sz w:val="24"/>
              </w:rPr>
            </w:pPr>
            <w:r>
              <w:rPr>
                <w:rFonts w:hint="eastAsia"/>
                <w:b w:val="0"/>
                <w:bCs/>
                <w:color w:val="auto"/>
                <w:kern w:val="0"/>
                <w:sz w:val="24"/>
                <w:lang w:val="en-US" w:eastAsia="zh-CN"/>
              </w:rPr>
              <w:t>根据</w:t>
            </w:r>
            <w:r>
              <w:rPr>
                <w:rFonts w:hint="default" w:ascii="Times New Roman" w:hAnsi="Times New Roman" w:eastAsia="宋体" w:cs="Times New Roman"/>
                <w:b w:val="0"/>
                <w:bCs/>
                <w:color w:val="auto"/>
                <w:kern w:val="0"/>
                <w:sz w:val="24"/>
              </w:rPr>
              <w:t>《江西省生态环境厅关于公布江西省生态环境分区管控成果</w:t>
            </w:r>
            <w:r>
              <w:rPr>
                <w:rFonts w:hint="eastAsia" w:ascii="Times New Roman" w:hAnsi="Times New Roman" w:eastAsia="宋体" w:cs="Times New Roman"/>
                <w:b w:val="0"/>
                <w:bCs/>
                <w:color w:val="auto"/>
                <w:kern w:val="0"/>
                <w:sz w:val="24"/>
                <w:lang w:eastAsia="zh-CN"/>
              </w:rPr>
              <w:t>（</w:t>
            </w:r>
            <w:r>
              <w:rPr>
                <w:rFonts w:hint="default" w:ascii="Times New Roman" w:hAnsi="Times New Roman" w:eastAsia="宋体" w:cs="Times New Roman"/>
                <w:b w:val="0"/>
                <w:bCs/>
                <w:color w:val="auto"/>
                <w:kern w:val="0"/>
                <w:sz w:val="24"/>
              </w:rPr>
              <w:t>202</w:t>
            </w:r>
            <w:r>
              <w:rPr>
                <w:rFonts w:hint="eastAsia" w:ascii="Times New Roman" w:hAnsi="Times New Roman" w:eastAsia="宋体" w:cs="Times New Roman"/>
                <w:b w:val="0"/>
                <w:bCs/>
                <w:color w:val="auto"/>
                <w:kern w:val="0"/>
                <w:sz w:val="24"/>
                <w:lang w:val="en-US" w:eastAsia="zh-CN"/>
              </w:rPr>
              <w:t>3</w:t>
            </w:r>
            <w:r>
              <w:rPr>
                <w:rFonts w:hint="default" w:ascii="Times New Roman" w:hAnsi="Times New Roman" w:eastAsia="宋体" w:cs="Times New Roman"/>
                <w:b w:val="0"/>
                <w:bCs/>
                <w:color w:val="auto"/>
                <w:kern w:val="0"/>
                <w:sz w:val="24"/>
              </w:rPr>
              <w:t>版</w:t>
            </w:r>
            <w:r>
              <w:rPr>
                <w:rFonts w:hint="eastAsia" w:ascii="Times New Roman" w:hAnsi="Times New Roman" w:eastAsia="宋体" w:cs="Times New Roman"/>
                <w:b w:val="0"/>
                <w:bCs/>
                <w:color w:val="auto"/>
                <w:kern w:val="0"/>
                <w:sz w:val="24"/>
                <w:lang w:eastAsia="zh-CN"/>
              </w:rPr>
              <w:t>）</w:t>
            </w:r>
            <w:r>
              <w:rPr>
                <w:rFonts w:hint="default" w:ascii="Times New Roman" w:hAnsi="Times New Roman" w:eastAsia="宋体" w:cs="Times New Roman"/>
                <w:b w:val="0"/>
                <w:bCs/>
                <w:color w:val="auto"/>
                <w:kern w:val="0"/>
                <w:sz w:val="24"/>
              </w:rPr>
              <w:t>的函》</w:t>
            </w:r>
            <w:r>
              <w:rPr>
                <w:rFonts w:hint="eastAsia" w:ascii="Times New Roman" w:hAnsi="Times New Roman" w:eastAsia="宋体" w:cs="Times New Roman"/>
                <w:b w:val="0"/>
                <w:bCs/>
                <w:color w:val="auto"/>
                <w:kern w:val="0"/>
                <w:sz w:val="24"/>
                <w:lang w:eastAsia="zh-CN"/>
              </w:rPr>
              <w:t>（</w:t>
            </w:r>
            <w:r>
              <w:rPr>
                <w:rFonts w:hint="default" w:ascii="Times New Roman" w:hAnsi="Times New Roman" w:eastAsia="宋体" w:cs="Times New Roman"/>
                <w:b w:val="0"/>
                <w:bCs/>
                <w:color w:val="auto"/>
                <w:kern w:val="0"/>
                <w:sz w:val="24"/>
              </w:rPr>
              <w:t>赣环环评函</w:t>
            </w:r>
            <w:r>
              <w:rPr>
                <w:rFonts w:hint="eastAsia" w:ascii="Times New Roman" w:hAnsi="Times New Roman" w:eastAsia="宋体" w:cs="Times New Roman"/>
                <w:b w:val="0"/>
                <w:bCs/>
                <w:color w:val="auto"/>
                <w:kern w:val="0"/>
                <w:sz w:val="24"/>
                <w:lang w:eastAsia="zh-CN"/>
              </w:rPr>
              <w:t>（</w:t>
            </w:r>
            <w:r>
              <w:rPr>
                <w:rFonts w:hint="default" w:ascii="Times New Roman" w:hAnsi="Times New Roman" w:eastAsia="宋体" w:cs="Times New Roman"/>
                <w:b w:val="0"/>
                <w:bCs/>
                <w:color w:val="auto"/>
                <w:kern w:val="0"/>
                <w:sz w:val="24"/>
              </w:rPr>
              <w:t>2024</w:t>
            </w:r>
            <w:r>
              <w:rPr>
                <w:rFonts w:hint="eastAsia" w:ascii="Times New Roman" w:hAnsi="Times New Roman" w:eastAsia="宋体" w:cs="Times New Roman"/>
                <w:b w:val="0"/>
                <w:bCs/>
                <w:color w:val="auto"/>
                <w:kern w:val="0"/>
                <w:sz w:val="24"/>
                <w:lang w:eastAsia="zh-CN"/>
              </w:rPr>
              <w:t>）</w:t>
            </w:r>
            <w:r>
              <w:rPr>
                <w:rFonts w:hint="default" w:ascii="Times New Roman" w:hAnsi="Times New Roman" w:eastAsia="宋体" w:cs="Times New Roman"/>
                <w:b w:val="0"/>
                <w:bCs/>
                <w:color w:val="auto"/>
                <w:kern w:val="0"/>
                <w:sz w:val="24"/>
              </w:rPr>
              <w:t>87号</w:t>
            </w:r>
            <w:r>
              <w:rPr>
                <w:rFonts w:hint="eastAsia" w:ascii="Times New Roman" w:hAnsi="Times New Roman" w:eastAsia="宋体" w:cs="Times New Roman"/>
                <w:b w:val="0"/>
                <w:bCs/>
                <w:color w:val="auto"/>
                <w:kern w:val="0"/>
                <w:sz w:val="24"/>
                <w:lang w:eastAsia="zh-CN"/>
              </w:rPr>
              <w:t>）</w:t>
            </w:r>
            <w:r>
              <w:rPr>
                <w:color w:val="auto"/>
                <w:kern w:val="0"/>
                <w:sz w:val="24"/>
              </w:rPr>
              <w:t>全省共划定环境管控单元1093个，分为优先保护单元、重点管控单元、一般管控单元三类。本项目位于</w:t>
            </w:r>
            <w:r>
              <w:rPr>
                <w:rFonts w:hint="default" w:ascii="Times New Roman" w:hAnsi="Times New Roman" w:eastAsia="宋体" w:cs="Times New Roman"/>
                <w:color w:val="auto"/>
                <w:kern w:val="24"/>
                <w:sz w:val="24"/>
                <w:szCs w:val="24"/>
                <w:lang w:bidi="ar"/>
              </w:rPr>
              <w:t>江西省宜春市高安市八景镇江西高安大北农饲料有限公司</w:t>
            </w:r>
            <w:r>
              <w:rPr>
                <w:rFonts w:hint="eastAsia" w:cs="Times New Roman"/>
                <w:color w:val="auto"/>
                <w:kern w:val="24"/>
                <w:sz w:val="24"/>
                <w:szCs w:val="24"/>
                <w:lang w:val="en-US" w:eastAsia="zh-CN" w:bidi="ar"/>
              </w:rPr>
              <w:t>内</w:t>
            </w:r>
            <w:r>
              <w:rPr>
                <w:color w:val="auto"/>
                <w:kern w:val="0"/>
                <w:sz w:val="24"/>
              </w:rPr>
              <w:t>，属</w:t>
            </w:r>
            <w:r>
              <w:rPr>
                <w:color w:val="auto"/>
                <w:kern w:val="0"/>
                <w:sz w:val="24"/>
                <w:highlight w:val="none"/>
              </w:rPr>
              <w:t>于</w:t>
            </w:r>
            <w:r>
              <w:rPr>
                <w:rFonts w:hint="eastAsia"/>
                <w:color w:val="auto"/>
                <w:kern w:val="0"/>
                <w:sz w:val="24"/>
                <w:highlight w:val="none"/>
                <w:lang w:val="en-US" w:eastAsia="zh-CN"/>
              </w:rPr>
              <w:t>重点</w:t>
            </w:r>
            <w:r>
              <w:rPr>
                <w:rFonts w:hint="eastAsia"/>
                <w:color w:val="auto"/>
                <w:kern w:val="0"/>
                <w:sz w:val="24"/>
                <w:highlight w:val="none"/>
              </w:rPr>
              <w:t>管控单元</w:t>
            </w:r>
            <w:r>
              <w:rPr>
                <w:color w:val="auto"/>
                <w:kern w:val="0"/>
                <w:sz w:val="24"/>
              </w:rPr>
              <w:t>。将涉及本项目区域的生态环境准入清单要求及符合性分析列于表1-</w:t>
            </w:r>
            <w:r>
              <w:rPr>
                <w:rFonts w:hint="eastAsia"/>
                <w:color w:val="auto"/>
                <w:kern w:val="0"/>
                <w:sz w:val="24"/>
                <w:lang w:val="en-US" w:eastAsia="zh-CN"/>
              </w:rPr>
              <w:t>3</w:t>
            </w:r>
            <w:r>
              <w:rPr>
                <w:color w:val="auto"/>
                <w:kern w:val="0"/>
                <w:sz w:val="24"/>
              </w:rPr>
              <w:t>。</w:t>
            </w:r>
          </w:p>
          <w:p w14:paraId="526A0E81">
            <w:pPr>
              <w:keepNext w:val="0"/>
              <w:keepLines w:val="0"/>
              <w:pageBreakBefore w:val="0"/>
              <w:widowControl/>
              <w:kinsoku/>
              <w:wordWrap/>
              <w:overflowPunct/>
              <w:topLinePunct w:val="0"/>
              <w:autoSpaceDE/>
              <w:autoSpaceDN/>
              <w:bidi w:val="0"/>
              <w:adjustRightInd/>
              <w:snapToGrid/>
              <w:spacing w:line="240" w:lineRule="auto"/>
              <w:jc w:val="center"/>
              <w:textAlignment w:val="auto"/>
              <w:rPr>
                <w:b/>
                <w:bCs/>
                <w:color w:val="auto"/>
                <w:kern w:val="0"/>
                <w:sz w:val="24"/>
              </w:rPr>
            </w:pPr>
            <w:r>
              <w:rPr>
                <w:b/>
                <w:bCs/>
                <w:color w:val="auto"/>
                <w:kern w:val="0"/>
                <w:sz w:val="24"/>
              </w:rPr>
              <w:t>表1</w:t>
            </w:r>
            <w:r>
              <w:rPr>
                <w:b/>
                <w:bCs/>
                <w:color w:val="FF0000"/>
                <w:kern w:val="0"/>
                <w:sz w:val="24"/>
              </w:rPr>
              <w:t>-</w:t>
            </w:r>
            <w:r>
              <w:rPr>
                <w:rFonts w:hint="eastAsia"/>
                <w:b/>
                <w:bCs/>
                <w:color w:val="FF0000"/>
                <w:kern w:val="0"/>
                <w:sz w:val="24"/>
                <w:lang w:val="en-US" w:eastAsia="zh-CN"/>
              </w:rPr>
              <w:t>3</w:t>
            </w:r>
            <w:r>
              <w:rPr>
                <w:b/>
                <w:bCs/>
                <w:color w:val="auto"/>
                <w:kern w:val="0"/>
                <w:sz w:val="24"/>
              </w:rPr>
              <w:t xml:space="preserve"> 项目与江西省生态环境总体准入清单(2023 版)要求相符分析</w:t>
            </w:r>
          </w:p>
          <w:tbl>
            <w:tblPr>
              <w:tblStyle w:val="28"/>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3"/>
              <w:gridCol w:w="493"/>
              <w:gridCol w:w="3848"/>
              <w:gridCol w:w="2413"/>
              <w:gridCol w:w="503"/>
            </w:tblGrid>
            <w:tr w14:paraId="75A56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 w:type="pct"/>
                  <w:vAlign w:val="center"/>
                </w:tcPr>
                <w:p w14:paraId="1AB471F9">
                  <w:pPr>
                    <w:jc w:val="center"/>
                    <w:rPr>
                      <w:b/>
                      <w:bCs/>
                      <w:color w:val="auto"/>
                      <w:kern w:val="0"/>
                      <w:sz w:val="21"/>
                      <w:szCs w:val="21"/>
                    </w:rPr>
                  </w:pPr>
                  <w:r>
                    <w:rPr>
                      <w:color w:val="auto"/>
                      <w:kern w:val="0"/>
                      <w:sz w:val="21"/>
                      <w:szCs w:val="21"/>
                    </w:rPr>
                    <w:t>单元类别</w:t>
                  </w:r>
                </w:p>
              </w:tc>
              <w:tc>
                <w:tcPr>
                  <w:tcW w:w="317" w:type="pct"/>
                  <w:vAlign w:val="center"/>
                </w:tcPr>
                <w:p w14:paraId="51705AAA">
                  <w:pPr>
                    <w:jc w:val="center"/>
                    <w:rPr>
                      <w:b/>
                      <w:bCs/>
                      <w:color w:val="auto"/>
                      <w:kern w:val="0"/>
                      <w:sz w:val="21"/>
                      <w:szCs w:val="21"/>
                    </w:rPr>
                  </w:pPr>
                  <w:r>
                    <w:rPr>
                      <w:color w:val="auto"/>
                      <w:sz w:val="21"/>
                      <w:szCs w:val="21"/>
                    </w:rPr>
                    <w:t>维度</w:t>
                  </w:r>
                </w:p>
              </w:tc>
              <w:tc>
                <w:tcPr>
                  <w:tcW w:w="2478" w:type="pct"/>
                  <w:vAlign w:val="center"/>
                </w:tcPr>
                <w:p w14:paraId="56E3A5BE">
                  <w:pPr>
                    <w:jc w:val="center"/>
                    <w:rPr>
                      <w:b/>
                      <w:bCs/>
                      <w:color w:val="auto"/>
                      <w:kern w:val="0"/>
                      <w:sz w:val="21"/>
                      <w:szCs w:val="21"/>
                    </w:rPr>
                  </w:pPr>
                  <w:r>
                    <w:rPr>
                      <w:color w:val="auto"/>
                      <w:sz w:val="21"/>
                      <w:szCs w:val="21"/>
                    </w:rPr>
                    <w:t>生态环境准入要求</w:t>
                  </w:r>
                </w:p>
              </w:tc>
              <w:tc>
                <w:tcPr>
                  <w:tcW w:w="1554" w:type="pct"/>
                  <w:vAlign w:val="center"/>
                </w:tcPr>
                <w:p w14:paraId="2BFE5674">
                  <w:pPr>
                    <w:jc w:val="center"/>
                    <w:rPr>
                      <w:b/>
                      <w:bCs/>
                      <w:color w:val="auto"/>
                      <w:kern w:val="0"/>
                      <w:sz w:val="21"/>
                      <w:szCs w:val="21"/>
                    </w:rPr>
                  </w:pPr>
                  <w:r>
                    <w:rPr>
                      <w:color w:val="auto"/>
                      <w:sz w:val="21"/>
                      <w:szCs w:val="21"/>
                    </w:rPr>
                    <w:t>本项目情况</w:t>
                  </w:r>
                </w:p>
              </w:tc>
              <w:tc>
                <w:tcPr>
                  <w:tcW w:w="324" w:type="pct"/>
                  <w:vAlign w:val="center"/>
                </w:tcPr>
                <w:p w14:paraId="28E23347">
                  <w:pPr>
                    <w:jc w:val="center"/>
                    <w:rPr>
                      <w:rFonts w:hint="default" w:eastAsia="宋体"/>
                      <w:color w:val="auto"/>
                      <w:sz w:val="21"/>
                      <w:szCs w:val="21"/>
                      <w:lang w:val="en-US" w:eastAsia="zh-CN"/>
                    </w:rPr>
                  </w:pPr>
                  <w:r>
                    <w:rPr>
                      <w:rFonts w:hint="eastAsia"/>
                      <w:color w:val="auto"/>
                      <w:sz w:val="21"/>
                      <w:szCs w:val="21"/>
                      <w:lang w:val="en-US" w:eastAsia="zh-CN"/>
                    </w:rPr>
                    <w:t>相符性</w:t>
                  </w:r>
                </w:p>
              </w:tc>
            </w:tr>
            <w:tr w14:paraId="5EB47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 w:type="pct"/>
                  <w:vMerge w:val="restart"/>
                  <w:vAlign w:val="center"/>
                </w:tcPr>
                <w:p w14:paraId="65EC8347">
                  <w:pPr>
                    <w:jc w:val="center"/>
                    <w:rPr>
                      <w:b/>
                      <w:bCs/>
                      <w:color w:val="auto"/>
                      <w:kern w:val="0"/>
                      <w:sz w:val="21"/>
                      <w:szCs w:val="21"/>
                    </w:rPr>
                  </w:pPr>
                  <w:r>
                    <w:rPr>
                      <w:rFonts w:hint="eastAsia"/>
                      <w:color w:val="auto"/>
                      <w:kern w:val="0"/>
                      <w:sz w:val="21"/>
                      <w:szCs w:val="21"/>
                    </w:rPr>
                    <w:t>一般</w:t>
                  </w:r>
                  <w:r>
                    <w:rPr>
                      <w:color w:val="auto"/>
                      <w:kern w:val="0"/>
                      <w:sz w:val="21"/>
                      <w:szCs w:val="21"/>
                    </w:rPr>
                    <w:t>管控单元</w:t>
                  </w:r>
                </w:p>
              </w:tc>
              <w:tc>
                <w:tcPr>
                  <w:tcW w:w="317" w:type="pct"/>
                  <w:vMerge w:val="restart"/>
                  <w:vAlign w:val="center"/>
                </w:tcPr>
                <w:p w14:paraId="563114BC">
                  <w:pPr>
                    <w:jc w:val="center"/>
                    <w:rPr>
                      <w:b/>
                      <w:bCs/>
                      <w:color w:val="auto"/>
                      <w:kern w:val="0"/>
                      <w:sz w:val="21"/>
                      <w:szCs w:val="21"/>
                    </w:rPr>
                  </w:pPr>
                  <w:r>
                    <w:rPr>
                      <w:color w:val="auto"/>
                      <w:sz w:val="21"/>
                      <w:szCs w:val="21"/>
                    </w:rPr>
                    <w:t>空间布局约束</w:t>
                  </w:r>
                </w:p>
              </w:tc>
              <w:tc>
                <w:tcPr>
                  <w:tcW w:w="2478" w:type="pct"/>
                  <w:vAlign w:val="center"/>
                </w:tcPr>
                <w:p w14:paraId="6503159B">
                  <w:pPr>
                    <w:jc w:val="both"/>
                    <w:rPr>
                      <w:rFonts w:hint="eastAsia" w:eastAsia="宋体"/>
                      <w:b/>
                      <w:bCs/>
                      <w:color w:val="auto"/>
                      <w:kern w:val="0"/>
                      <w:sz w:val="21"/>
                      <w:szCs w:val="21"/>
                      <w:lang w:eastAsia="zh-CN"/>
                    </w:rPr>
                  </w:pPr>
                  <w:r>
                    <w:rPr>
                      <w:color w:val="auto"/>
                      <w:sz w:val="21"/>
                      <w:szCs w:val="21"/>
                    </w:rPr>
                    <w:t>禁止新、扩建不符合国家石化、现代煤化工等产业布局规划的项目。禁止新建、扩建法律法规和相关政策明令禁止的落后产能项目。禁止开展投资建设属于淘汰类的项目及其相关活动，禁止开展投资新建、扩建属于限制类的项目及其相关活动。禁止新建、扩建不符合国家产能置换要求的钢铁、电解铝、水泥熟料、平板玻璃、船舶等严重过剩产能行业的项目。对确有必要建设的，必须严格执行产能置换实施办法，实施减量或等量置换，依法依规办理有关手续。禁止新建、扩建不符合要求的高耗能高排放项目</w:t>
                  </w:r>
                  <w:r>
                    <w:rPr>
                      <w:rFonts w:hint="eastAsia"/>
                      <w:color w:val="auto"/>
                      <w:sz w:val="21"/>
                      <w:szCs w:val="21"/>
                      <w:lang w:eastAsia="zh-CN"/>
                    </w:rPr>
                    <w:t>。</w:t>
                  </w:r>
                </w:p>
              </w:tc>
              <w:tc>
                <w:tcPr>
                  <w:tcW w:w="1554" w:type="pct"/>
                  <w:vAlign w:val="center"/>
                </w:tcPr>
                <w:p w14:paraId="52A72C46">
                  <w:pPr>
                    <w:jc w:val="both"/>
                    <w:rPr>
                      <w:rFonts w:hint="default"/>
                      <w:lang w:val="en-US" w:eastAsia="zh-CN"/>
                    </w:rPr>
                  </w:pPr>
                  <w:r>
                    <w:rPr>
                      <w:rFonts w:hint="eastAsia"/>
                      <w:b w:val="0"/>
                      <w:bCs w:val="0"/>
                      <w:color w:val="auto"/>
                      <w:kern w:val="0"/>
                      <w:sz w:val="21"/>
                      <w:szCs w:val="21"/>
                      <w:lang w:val="en-US" w:eastAsia="zh-CN"/>
                    </w:rPr>
                    <w:t>本技改项目主要使用生物质成型燃料为现有项目供热，不属于石化、现代煤化工、禁止新建、扩建、属于淘汰类、限制类、产能过剩、高耗能高排放项目。</w:t>
                  </w:r>
                </w:p>
              </w:tc>
              <w:tc>
                <w:tcPr>
                  <w:tcW w:w="324" w:type="pct"/>
                  <w:vAlign w:val="center"/>
                </w:tcPr>
                <w:p w14:paraId="4807DE7B">
                  <w:pPr>
                    <w:jc w:val="center"/>
                    <w:rPr>
                      <w:rFonts w:hint="default"/>
                      <w:b w:val="0"/>
                      <w:bCs w:val="0"/>
                      <w:color w:val="auto"/>
                      <w:kern w:val="0"/>
                      <w:sz w:val="21"/>
                      <w:szCs w:val="21"/>
                      <w:lang w:val="en-US" w:eastAsia="zh-CN"/>
                    </w:rPr>
                  </w:pPr>
                  <w:r>
                    <w:rPr>
                      <w:rFonts w:hint="eastAsia"/>
                      <w:b w:val="0"/>
                      <w:bCs w:val="0"/>
                      <w:color w:val="auto"/>
                      <w:kern w:val="0"/>
                      <w:sz w:val="21"/>
                      <w:szCs w:val="21"/>
                      <w:lang w:val="en-US" w:eastAsia="zh-CN"/>
                    </w:rPr>
                    <w:t>不涉及</w:t>
                  </w:r>
                </w:p>
              </w:tc>
            </w:tr>
            <w:tr w14:paraId="45C59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 w:type="pct"/>
                  <w:vMerge w:val="continue"/>
                  <w:vAlign w:val="center"/>
                </w:tcPr>
                <w:p w14:paraId="454DB587">
                  <w:pPr>
                    <w:jc w:val="center"/>
                    <w:rPr>
                      <w:color w:val="auto"/>
                      <w:kern w:val="0"/>
                      <w:sz w:val="21"/>
                      <w:szCs w:val="21"/>
                    </w:rPr>
                  </w:pPr>
                </w:p>
              </w:tc>
              <w:tc>
                <w:tcPr>
                  <w:tcW w:w="317" w:type="pct"/>
                  <w:vMerge w:val="continue"/>
                  <w:vAlign w:val="center"/>
                </w:tcPr>
                <w:p w14:paraId="00FBE665">
                  <w:pPr>
                    <w:jc w:val="center"/>
                    <w:rPr>
                      <w:color w:val="auto"/>
                      <w:sz w:val="21"/>
                      <w:szCs w:val="21"/>
                    </w:rPr>
                  </w:pPr>
                </w:p>
              </w:tc>
              <w:tc>
                <w:tcPr>
                  <w:tcW w:w="2478" w:type="pct"/>
                  <w:vAlign w:val="center"/>
                </w:tcPr>
                <w:p w14:paraId="5F0B0B3E">
                  <w:pPr>
                    <w:jc w:val="both"/>
                    <w:rPr>
                      <w:color w:val="auto"/>
                      <w:sz w:val="21"/>
                      <w:szCs w:val="21"/>
                    </w:rPr>
                  </w:pPr>
                  <w:r>
                    <w:rPr>
                      <w:color w:val="auto"/>
                      <w:sz w:val="21"/>
                      <w:szCs w:val="21"/>
                    </w:rPr>
                    <w:t>县级及以上城市建成区原则上不再新建 35 蒸吨/小时及以下燃煤锅炉。</w:t>
                  </w:r>
                </w:p>
              </w:tc>
              <w:tc>
                <w:tcPr>
                  <w:tcW w:w="1554" w:type="pct"/>
                  <w:vAlign w:val="center"/>
                </w:tcPr>
                <w:p w14:paraId="6A042D73">
                  <w:pPr>
                    <w:jc w:val="center"/>
                    <w:rPr>
                      <w:rFonts w:hint="eastAsia" w:eastAsia="宋体"/>
                      <w:color w:val="auto"/>
                      <w:sz w:val="21"/>
                      <w:szCs w:val="21"/>
                      <w:lang w:eastAsia="zh-CN"/>
                    </w:rPr>
                  </w:pPr>
                  <w:r>
                    <w:rPr>
                      <w:color w:val="auto"/>
                      <w:sz w:val="21"/>
                      <w:szCs w:val="21"/>
                    </w:rPr>
                    <w:t>本项目不新建燃煤锅炉</w:t>
                  </w:r>
                </w:p>
              </w:tc>
              <w:tc>
                <w:tcPr>
                  <w:tcW w:w="324" w:type="pct"/>
                  <w:vAlign w:val="center"/>
                </w:tcPr>
                <w:p w14:paraId="46CD62F0">
                  <w:pPr>
                    <w:jc w:val="center"/>
                    <w:rPr>
                      <w:rFonts w:hint="default"/>
                      <w:color w:val="auto"/>
                      <w:sz w:val="21"/>
                      <w:szCs w:val="21"/>
                      <w:lang w:val="en-US"/>
                    </w:rPr>
                  </w:pPr>
                  <w:r>
                    <w:rPr>
                      <w:rFonts w:hint="eastAsia"/>
                      <w:b w:val="0"/>
                      <w:bCs w:val="0"/>
                      <w:color w:val="auto"/>
                      <w:kern w:val="0"/>
                      <w:sz w:val="21"/>
                      <w:szCs w:val="21"/>
                      <w:lang w:val="en-US" w:eastAsia="zh-CN"/>
                    </w:rPr>
                    <w:t>不涉及</w:t>
                  </w:r>
                </w:p>
              </w:tc>
            </w:tr>
            <w:tr w14:paraId="60879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24" w:type="pct"/>
                  <w:vMerge w:val="continue"/>
                  <w:vAlign w:val="center"/>
                </w:tcPr>
                <w:p w14:paraId="050FE1BD">
                  <w:pPr>
                    <w:jc w:val="center"/>
                    <w:rPr>
                      <w:color w:val="auto"/>
                      <w:kern w:val="0"/>
                      <w:sz w:val="21"/>
                      <w:szCs w:val="21"/>
                    </w:rPr>
                  </w:pPr>
                </w:p>
              </w:tc>
              <w:tc>
                <w:tcPr>
                  <w:tcW w:w="317" w:type="pct"/>
                  <w:vMerge w:val="continue"/>
                  <w:vAlign w:val="center"/>
                </w:tcPr>
                <w:p w14:paraId="24A3C0EE">
                  <w:pPr>
                    <w:jc w:val="center"/>
                    <w:rPr>
                      <w:color w:val="auto"/>
                      <w:sz w:val="21"/>
                      <w:szCs w:val="21"/>
                    </w:rPr>
                  </w:pPr>
                </w:p>
              </w:tc>
              <w:tc>
                <w:tcPr>
                  <w:tcW w:w="2478" w:type="pct"/>
                  <w:vAlign w:val="center"/>
                </w:tcPr>
                <w:p w14:paraId="736C5FAC">
                  <w:pPr>
                    <w:jc w:val="both"/>
                    <w:rPr>
                      <w:color w:val="auto"/>
                      <w:sz w:val="21"/>
                      <w:szCs w:val="21"/>
                    </w:rPr>
                  </w:pPr>
                  <w:r>
                    <w:rPr>
                      <w:color w:val="auto"/>
                      <w:sz w:val="21"/>
                      <w:szCs w:val="21"/>
                    </w:rPr>
                    <w:t>禁止在长江干支流、重要湖泊岸线1公里范围内新建、扩建化工园区和化工项目。禁止在合规园区外新建、扩建钢铁、石化、化工、焦化、建材、有色、制浆造纸等高污染项目。</w:t>
                  </w:r>
                </w:p>
              </w:tc>
              <w:tc>
                <w:tcPr>
                  <w:tcW w:w="1554" w:type="pct"/>
                  <w:vAlign w:val="center"/>
                </w:tcPr>
                <w:p w14:paraId="10209358">
                  <w:pPr>
                    <w:jc w:val="both"/>
                    <w:rPr>
                      <w:rFonts w:hint="default"/>
                      <w:lang w:val="en-US" w:eastAsia="zh-CN"/>
                    </w:rPr>
                  </w:pPr>
                  <w:r>
                    <w:rPr>
                      <w:rFonts w:hint="eastAsia"/>
                      <w:color w:val="auto"/>
                      <w:sz w:val="21"/>
                      <w:szCs w:val="21"/>
                      <w:lang w:val="en-US" w:eastAsia="zh-CN"/>
                    </w:rPr>
                    <w:t>本项目不属于化工、钢铁、石化、焦化、建材、有色、制浆造纸项目。</w:t>
                  </w:r>
                </w:p>
              </w:tc>
              <w:tc>
                <w:tcPr>
                  <w:tcW w:w="324" w:type="pct"/>
                  <w:vAlign w:val="center"/>
                </w:tcPr>
                <w:p w14:paraId="5F3E086A">
                  <w:pPr>
                    <w:jc w:val="center"/>
                    <w:rPr>
                      <w:rFonts w:hint="eastAsia"/>
                      <w:color w:val="auto"/>
                      <w:sz w:val="21"/>
                      <w:szCs w:val="21"/>
                      <w:lang w:val="en-US" w:eastAsia="zh-CN"/>
                    </w:rPr>
                  </w:pPr>
                  <w:r>
                    <w:rPr>
                      <w:rFonts w:hint="eastAsia"/>
                      <w:b w:val="0"/>
                      <w:bCs w:val="0"/>
                      <w:color w:val="auto"/>
                      <w:kern w:val="0"/>
                      <w:sz w:val="21"/>
                      <w:szCs w:val="21"/>
                      <w:lang w:val="en-US" w:eastAsia="zh-CN"/>
                    </w:rPr>
                    <w:t>不涉及</w:t>
                  </w:r>
                </w:p>
              </w:tc>
            </w:tr>
            <w:tr w14:paraId="7DDB8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 w:type="pct"/>
                  <w:vMerge w:val="continue"/>
                  <w:vAlign w:val="center"/>
                </w:tcPr>
                <w:p w14:paraId="301A0FA0">
                  <w:pPr>
                    <w:jc w:val="center"/>
                    <w:rPr>
                      <w:color w:val="auto"/>
                      <w:kern w:val="0"/>
                      <w:sz w:val="21"/>
                      <w:szCs w:val="21"/>
                    </w:rPr>
                  </w:pPr>
                </w:p>
              </w:tc>
              <w:tc>
                <w:tcPr>
                  <w:tcW w:w="317" w:type="pct"/>
                  <w:vMerge w:val="continue"/>
                  <w:vAlign w:val="center"/>
                </w:tcPr>
                <w:p w14:paraId="342477F1">
                  <w:pPr>
                    <w:jc w:val="center"/>
                    <w:rPr>
                      <w:color w:val="auto"/>
                      <w:sz w:val="21"/>
                      <w:szCs w:val="21"/>
                    </w:rPr>
                  </w:pPr>
                </w:p>
              </w:tc>
              <w:tc>
                <w:tcPr>
                  <w:tcW w:w="2478" w:type="pct"/>
                  <w:vAlign w:val="center"/>
                </w:tcPr>
                <w:p w14:paraId="76AE22D8">
                  <w:pPr>
                    <w:jc w:val="both"/>
                    <w:rPr>
                      <w:color w:val="auto"/>
                      <w:sz w:val="21"/>
                      <w:szCs w:val="21"/>
                    </w:rPr>
                  </w:pPr>
                  <w:r>
                    <w:rPr>
                      <w:color w:val="auto"/>
                      <w:sz w:val="21"/>
                      <w:szCs w:val="21"/>
                    </w:rPr>
                    <w:t>禁止建设不符合国家和省级港口布局规划以及港口总体规划的码头项目。</w:t>
                  </w:r>
                </w:p>
              </w:tc>
              <w:tc>
                <w:tcPr>
                  <w:tcW w:w="1554" w:type="pct"/>
                  <w:vAlign w:val="center"/>
                </w:tcPr>
                <w:p w14:paraId="365AE929">
                  <w:pPr>
                    <w:jc w:val="center"/>
                    <w:rPr>
                      <w:rFonts w:hint="default" w:eastAsia="宋体"/>
                      <w:color w:val="auto"/>
                      <w:sz w:val="21"/>
                      <w:szCs w:val="21"/>
                      <w:lang w:val="en-US" w:eastAsia="zh-CN"/>
                    </w:rPr>
                  </w:pPr>
                  <w:r>
                    <w:rPr>
                      <w:color w:val="auto"/>
                      <w:sz w:val="21"/>
                      <w:szCs w:val="21"/>
                    </w:rPr>
                    <w:t>本项目不涉及</w:t>
                  </w:r>
                  <w:r>
                    <w:rPr>
                      <w:rFonts w:hint="eastAsia"/>
                      <w:color w:val="auto"/>
                      <w:sz w:val="21"/>
                      <w:szCs w:val="21"/>
                      <w:lang w:val="en-US" w:eastAsia="zh-CN"/>
                    </w:rPr>
                    <w:t>码头项目</w:t>
                  </w:r>
                </w:p>
              </w:tc>
              <w:tc>
                <w:tcPr>
                  <w:tcW w:w="324" w:type="pct"/>
                  <w:shd w:val="clear" w:color="auto" w:fill="auto"/>
                  <w:vAlign w:val="center"/>
                </w:tcPr>
                <w:p w14:paraId="549C599E">
                  <w:pPr>
                    <w:jc w:val="center"/>
                    <w:rPr>
                      <w:rFonts w:hint="default" w:ascii="Times New Roman" w:hAnsi="Times New Roman" w:eastAsia="宋体" w:cs="Times New Roman"/>
                      <w:color w:val="auto"/>
                      <w:kern w:val="2"/>
                      <w:sz w:val="21"/>
                      <w:szCs w:val="21"/>
                      <w:lang w:val="en-US" w:eastAsia="zh-CN" w:bidi="ar-SA"/>
                    </w:rPr>
                  </w:pPr>
                  <w:r>
                    <w:rPr>
                      <w:rFonts w:hint="eastAsia"/>
                      <w:b w:val="0"/>
                      <w:bCs w:val="0"/>
                      <w:color w:val="auto"/>
                      <w:kern w:val="0"/>
                      <w:sz w:val="21"/>
                      <w:szCs w:val="21"/>
                      <w:lang w:val="en-US" w:eastAsia="zh-CN"/>
                    </w:rPr>
                    <w:t>不涉及</w:t>
                  </w:r>
                </w:p>
              </w:tc>
            </w:tr>
            <w:tr w14:paraId="30AD9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 w:type="pct"/>
                  <w:vMerge w:val="continue"/>
                  <w:vAlign w:val="center"/>
                </w:tcPr>
                <w:p w14:paraId="3BBD368E">
                  <w:pPr>
                    <w:jc w:val="center"/>
                    <w:rPr>
                      <w:color w:val="auto"/>
                      <w:kern w:val="0"/>
                      <w:sz w:val="21"/>
                      <w:szCs w:val="21"/>
                    </w:rPr>
                  </w:pPr>
                </w:p>
              </w:tc>
              <w:tc>
                <w:tcPr>
                  <w:tcW w:w="317" w:type="pct"/>
                  <w:vMerge w:val="continue"/>
                  <w:vAlign w:val="center"/>
                </w:tcPr>
                <w:p w14:paraId="7FC69A87">
                  <w:pPr>
                    <w:jc w:val="center"/>
                    <w:rPr>
                      <w:color w:val="auto"/>
                      <w:sz w:val="21"/>
                      <w:szCs w:val="21"/>
                    </w:rPr>
                  </w:pPr>
                </w:p>
              </w:tc>
              <w:tc>
                <w:tcPr>
                  <w:tcW w:w="2478" w:type="pct"/>
                  <w:vAlign w:val="center"/>
                </w:tcPr>
                <w:p w14:paraId="59F98172">
                  <w:pPr>
                    <w:jc w:val="both"/>
                    <w:rPr>
                      <w:color w:val="auto"/>
                      <w:sz w:val="21"/>
                      <w:szCs w:val="21"/>
                    </w:rPr>
                  </w:pPr>
                  <w:r>
                    <w:rPr>
                      <w:color w:val="auto"/>
                      <w:sz w:val="21"/>
                      <w:szCs w:val="21"/>
                    </w:rPr>
                    <w:t>禁止在江河、湖泊、运河、渠道、水库最高水位线以下的滩地和岸坡堆放、存贮固体废弃物和其他污染物。</w:t>
                  </w:r>
                </w:p>
              </w:tc>
              <w:tc>
                <w:tcPr>
                  <w:tcW w:w="1554" w:type="pct"/>
                  <w:vAlign w:val="center"/>
                </w:tcPr>
                <w:p w14:paraId="1BC16FBE">
                  <w:pPr>
                    <w:jc w:val="both"/>
                    <w:rPr>
                      <w:rFonts w:hint="default" w:eastAsia="宋体"/>
                      <w:color w:val="auto"/>
                      <w:sz w:val="21"/>
                      <w:szCs w:val="21"/>
                      <w:lang w:val="en-US" w:eastAsia="zh-CN"/>
                    </w:rPr>
                  </w:pPr>
                  <w:r>
                    <w:rPr>
                      <w:rFonts w:hint="eastAsia"/>
                      <w:color w:val="auto"/>
                      <w:sz w:val="21"/>
                      <w:szCs w:val="21"/>
                      <w:lang w:val="en-US" w:eastAsia="zh-CN"/>
                    </w:rPr>
                    <w:t>项目固体废物按要求堆放在储存库内</w:t>
                  </w:r>
                </w:p>
              </w:tc>
              <w:tc>
                <w:tcPr>
                  <w:tcW w:w="324" w:type="pct"/>
                  <w:vAlign w:val="center"/>
                </w:tcPr>
                <w:p w14:paraId="464AB3AB">
                  <w:pPr>
                    <w:jc w:val="center"/>
                    <w:rPr>
                      <w:rFonts w:hint="eastAsia"/>
                      <w:color w:val="auto"/>
                      <w:sz w:val="21"/>
                      <w:szCs w:val="21"/>
                      <w:lang w:val="en-US" w:eastAsia="zh-CN"/>
                    </w:rPr>
                  </w:pPr>
                  <w:r>
                    <w:rPr>
                      <w:rFonts w:hint="eastAsia"/>
                      <w:b w:val="0"/>
                      <w:bCs w:val="0"/>
                      <w:color w:val="auto"/>
                      <w:kern w:val="0"/>
                      <w:sz w:val="21"/>
                      <w:szCs w:val="21"/>
                      <w:lang w:val="en-US" w:eastAsia="zh-CN"/>
                    </w:rPr>
                    <w:t>符合</w:t>
                  </w:r>
                </w:p>
              </w:tc>
            </w:tr>
            <w:tr w14:paraId="40515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 w:type="pct"/>
                  <w:vMerge w:val="continue"/>
                  <w:vAlign w:val="center"/>
                </w:tcPr>
                <w:p w14:paraId="52E22F42">
                  <w:pPr>
                    <w:jc w:val="center"/>
                    <w:rPr>
                      <w:color w:val="auto"/>
                      <w:kern w:val="0"/>
                      <w:sz w:val="21"/>
                      <w:szCs w:val="21"/>
                    </w:rPr>
                  </w:pPr>
                </w:p>
              </w:tc>
              <w:tc>
                <w:tcPr>
                  <w:tcW w:w="317" w:type="pct"/>
                  <w:vMerge w:val="continue"/>
                  <w:vAlign w:val="center"/>
                </w:tcPr>
                <w:p w14:paraId="459659BA">
                  <w:pPr>
                    <w:jc w:val="center"/>
                    <w:rPr>
                      <w:color w:val="auto"/>
                      <w:sz w:val="21"/>
                      <w:szCs w:val="21"/>
                    </w:rPr>
                  </w:pPr>
                </w:p>
              </w:tc>
              <w:tc>
                <w:tcPr>
                  <w:tcW w:w="2478" w:type="pct"/>
                  <w:vAlign w:val="center"/>
                </w:tcPr>
                <w:p w14:paraId="50412C2D">
                  <w:pPr>
                    <w:jc w:val="both"/>
                    <w:rPr>
                      <w:color w:val="auto"/>
                      <w:sz w:val="21"/>
                      <w:szCs w:val="21"/>
                    </w:rPr>
                  </w:pPr>
                  <w:r>
                    <w:rPr>
                      <w:color w:val="auto"/>
                      <w:sz w:val="21"/>
                      <w:szCs w:val="21"/>
                    </w:rPr>
                    <w:t>城市建成区内人口密集区、环境脆弱敏感区周边的钢铁、石油、化工、有色金属、水泥、平板玻璃、建筑陶瓷等行业中的高排放、高污染项目，应当逐步进行搬迁、改造或者转型、退出。</w:t>
                  </w:r>
                </w:p>
              </w:tc>
              <w:tc>
                <w:tcPr>
                  <w:tcW w:w="1554" w:type="pct"/>
                  <w:vAlign w:val="center"/>
                </w:tcPr>
                <w:p w14:paraId="66E7BA21">
                  <w:pPr>
                    <w:jc w:val="both"/>
                    <w:rPr>
                      <w:rFonts w:hint="eastAsia" w:eastAsia="宋体"/>
                      <w:color w:val="auto"/>
                      <w:sz w:val="21"/>
                      <w:szCs w:val="21"/>
                      <w:lang w:val="en-US" w:eastAsia="zh-CN"/>
                    </w:rPr>
                  </w:pPr>
                  <w:r>
                    <w:rPr>
                      <w:color w:val="auto"/>
                      <w:sz w:val="21"/>
                      <w:szCs w:val="21"/>
                    </w:rPr>
                    <w:t>本项目不</w:t>
                  </w:r>
                  <w:r>
                    <w:rPr>
                      <w:rFonts w:hint="eastAsia"/>
                      <w:color w:val="auto"/>
                      <w:sz w:val="21"/>
                      <w:szCs w:val="21"/>
                      <w:lang w:val="en-US" w:eastAsia="zh-CN"/>
                    </w:rPr>
                    <w:t>属于</w:t>
                  </w:r>
                  <w:r>
                    <w:rPr>
                      <w:color w:val="auto"/>
                      <w:sz w:val="21"/>
                      <w:szCs w:val="21"/>
                    </w:rPr>
                    <w:t>钢铁、石油、化工、有色金属、水泥、平板玻璃、建筑陶瓷等</w:t>
                  </w:r>
                  <w:r>
                    <w:rPr>
                      <w:rFonts w:hint="eastAsia"/>
                      <w:color w:val="auto"/>
                      <w:sz w:val="21"/>
                      <w:szCs w:val="21"/>
                      <w:lang w:val="en-US" w:eastAsia="zh-CN"/>
                    </w:rPr>
                    <w:t>行业。</w:t>
                  </w:r>
                </w:p>
              </w:tc>
              <w:tc>
                <w:tcPr>
                  <w:tcW w:w="508" w:type="dxa"/>
                  <w:vAlign w:val="center"/>
                </w:tcPr>
                <w:p w14:paraId="2ACDD5BF">
                  <w:pPr>
                    <w:jc w:val="center"/>
                    <w:rPr>
                      <w:color w:val="auto"/>
                      <w:sz w:val="21"/>
                      <w:szCs w:val="21"/>
                    </w:rPr>
                  </w:pPr>
                  <w:r>
                    <w:rPr>
                      <w:rFonts w:hint="eastAsia"/>
                      <w:b w:val="0"/>
                      <w:bCs w:val="0"/>
                      <w:color w:val="auto"/>
                      <w:kern w:val="0"/>
                      <w:sz w:val="21"/>
                      <w:szCs w:val="21"/>
                      <w:lang w:val="en-US" w:eastAsia="zh-CN"/>
                    </w:rPr>
                    <w:t>不涉及</w:t>
                  </w:r>
                </w:p>
              </w:tc>
            </w:tr>
            <w:tr w14:paraId="0E0E6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24" w:type="pct"/>
                  <w:vMerge w:val="continue"/>
                  <w:vAlign w:val="center"/>
                </w:tcPr>
                <w:p w14:paraId="2FAFFB22">
                  <w:pPr>
                    <w:jc w:val="center"/>
                    <w:rPr>
                      <w:color w:val="auto"/>
                      <w:kern w:val="0"/>
                      <w:sz w:val="21"/>
                      <w:szCs w:val="21"/>
                    </w:rPr>
                  </w:pPr>
                </w:p>
              </w:tc>
              <w:tc>
                <w:tcPr>
                  <w:tcW w:w="317" w:type="pct"/>
                  <w:vMerge w:val="continue"/>
                  <w:vAlign w:val="center"/>
                </w:tcPr>
                <w:p w14:paraId="7AC7FA6A">
                  <w:pPr>
                    <w:jc w:val="center"/>
                    <w:rPr>
                      <w:color w:val="auto"/>
                      <w:sz w:val="21"/>
                      <w:szCs w:val="21"/>
                    </w:rPr>
                  </w:pPr>
                </w:p>
              </w:tc>
              <w:tc>
                <w:tcPr>
                  <w:tcW w:w="2478" w:type="pct"/>
                  <w:vAlign w:val="center"/>
                </w:tcPr>
                <w:p w14:paraId="38913485">
                  <w:pPr>
                    <w:jc w:val="both"/>
                    <w:rPr>
                      <w:color w:val="auto"/>
                      <w:sz w:val="21"/>
                      <w:szCs w:val="21"/>
                    </w:rPr>
                  </w:pPr>
                  <w:r>
                    <w:rPr>
                      <w:color w:val="auto"/>
                      <w:sz w:val="21"/>
                      <w:szCs w:val="21"/>
                    </w:rPr>
                    <w:t>禁止在居民区和学校、医院、疗养院、养老院等单位周边新建、改扩建可能造成土壤污染的建设项目</w:t>
                  </w:r>
                  <w:r>
                    <w:rPr>
                      <w:rFonts w:hint="eastAsia"/>
                      <w:color w:val="auto"/>
                      <w:sz w:val="21"/>
                      <w:szCs w:val="21"/>
                      <w:lang w:eastAsia="zh-CN"/>
                    </w:rPr>
                    <w:t>：</w:t>
                  </w:r>
                  <w:r>
                    <w:rPr>
                      <w:color w:val="auto"/>
                      <w:sz w:val="21"/>
                      <w:szCs w:val="21"/>
                    </w:rPr>
                    <w:t>在永久基本旱地集中区域，不得新建可能造成土壤污染的项目，已经建成的，限期关闭拆除。</w:t>
                  </w:r>
                </w:p>
              </w:tc>
              <w:tc>
                <w:tcPr>
                  <w:tcW w:w="1554" w:type="pct"/>
                  <w:vAlign w:val="center"/>
                </w:tcPr>
                <w:p w14:paraId="2FC8A1CB">
                  <w:pPr>
                    <w:jc w:val="both"/>
                    <w:rPr>
                      <w:rFonts w:hint="default" w:eastAsia="宋体"/>
                      <w:color w:val="auto"/>
                      <w:sz w:val="21"/>
                      <w:szCs w:val="21"/>
                      <w:lang w:val="en-US" w:eastAsia="zh-CN"/>
                    </w:rPr>
                  </w:pPr>
                  <w:r>
                    <w:rPr>
                      <w:color w:val="FF0000"/>
                      <w:sz w:val="21"/>
                      <w:szCs w:val="21"/>
                    </w:rPr>
                    <w:t>本项目</w:t>
                  </w:r>
                  <w:r>
                    <w:rPr>
                      <w:rFonts w:hint="eastAsia"/>
                      <w:color w:val="FF0000"/>
                      <w:sz w:val="21"/>
                      <w:szCs w:val="21"/>
                      <w:lang w:val="en-US" w:eastAsia="zh-CN"/>
                    </w:rPr>
                    <w:t>位于</w:t>
                  </w:r>
                  <w:r>
                    <w:rPr>
                      <w:rFonts w:hint="default" w:ascii="Times New Roman" w:hAnsi="Times New Roman" w:eastAsia="宋体" w:cs="Times New Roman"/>
                      <w:color w:val="FF0000"/>
                      <w:sz w:val="21"/>
                      <w:szCs w:val="21"/>
                    </w:rPr>
                    <w:t>江西高安高新技术产业园区</w:t>
                  </w:r>
                  <w:r>
                    <w:rPr>
                      <w:rFonts w:ascii="Arial" w:hAnsi="Arial" w:eastAsia="Arial" w:cs="Arial"/>
                      <w:i w:val="0"/>
                      <w:iCs w:val="0"/>
                      <w:caps w:val="0"/>
                      <w:color w:val="FF0000"/>
                      <w:spacing w:val="0"/>
                      <w:sz w:val="21"/>
                      <w:szCs w:val="21"/>
                      <w:shd w:val="clear" w:fill="FFFFFF"/>
                    </w:rPr>
                    <w:t>建筑陶瓷产业基地</w:t>
                  </w:r>
                  <w:r>
                    <w:rPr>
                      <w:rFonts w:hint="eastAsia" w:cs="Times New Roman"/>
                      <w:color w:val="FF0000"/>
                      <w:kern w:val="24"/>
                      <w:sz w:val="21"/>
                      <w:szCs w:val="21"/>
                      <w:lang w:val="en-US" w:eastAsia="zh-CN" w:bidi="ar"/>
                    </w:rPr>
                    <w:t>内，周边无</w:t>
                  </w:r>
                  <w:r>
                    <w:rPr>
                      <w:color w:val="FF0000"/>
                      <w:sz w:val="21"/>
                      <w:szCs w:val="21"/>
                    </w:rPr>
                    <w:t>居民区和学校、医院、疗养院、养老院等单位</w:t>
                  </w:r>
                  <w:r>
                    <w:rPr>
                      <w:rFonts w:hint="eastAsia"/>
                      <w:color w:val="FF0000"/>
                      <w:sz w:val="21"/>
                      <w:szCs w:val="21"/>
                      <w:lang w:eastAsia="zh-CN"/>
                    </w:rPr>
                    <w:t>，</w:t>
                  </w:r>
                  <w:r>
                    <w:rPr>
                      <w:rFonts w:hint="eastAsia"/>
                      <w:color w:val="FF0000"/>
                      <w:sz w:val="21"/>
                      <w:szCs w:val="21"/>
                      <w:lang w:val="en-US" w:eastAsia="zh-CN"/>
                    </w:rPr>
                    <w:t>本项目为锅炉技改项目，为现有项目供热，不会对土壤造成污染。</w:t>
                  </w:r>
                </w:p>
              </w:tc>
              <w:tc>
                <w:tcPr>
                  <w:tcW w:w="324" w:type="pct"/>
                  <w:vAlign w:val="center"/>
                </w:tcPr>
                <w:p w14:paraId="42DCBBDE">
                  <w:pPr>
                    <w:jc w:val="center"/>
                    <w:rPr>
                      <w:color w:val="auto"/>
                      <w:sz w:val="21"/>
                      <w:szCs w:val="21"/>
                    </w:rPr>
                  </w:pPr>
                  <w:r>
                    <w:rPr>
                      <w:rFonts w:hint="eastAsia"/>
                      <w:b w:val="0"/>
                      <w:bCs w:val="0"/>
                      <w:color w:val="auto"/>
                      <w:kern w:val="0"/>
                      <w:sz w:val="21"/>
                      <w:szCs w:val="21"/>
                      <w:lang w:val="en-US" w:eastAsia="zh-CN"/>
                    </w:rPr>
                    <w:t>不涉及</w:t>
                  </w:r>
                </w:p>
              </w:tc>
            </w:tr>
            <w:tr w14:paraId="460E4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 w:type="pct"/>
                  <w:vMerge w:val="continue"/>
                  <w:vAlign w:val="center"/>
                </w:tcPr>
                <w:p w14:paraId="4DFB0472">
                  <w:pPr>
                    <w:jc w:val="center"/>
                    <w:rPr>
                      <w:color w:val="auto"/>
                      <w:kern w:val="0"/>
                      <w:sz w:val="21"/>
                      <w:szCs w:val="21"/>
                    </w:rPr>
                  </w:pPr>
                </w:p>
              </w:tc>
              <w:tc>
                <w:tcPr>
                  <w:tcW w:w="317" w:type="pct"/>
                  <w:vMerge w:val="restart"/>
                  <w:vAlign w:val="center"/>
                </w:tcPr>
                <w:p w14:paraId="231FF3DF">
                  <w:pPr>
                    <w:jc w:val="center"/>
                    <w:rPr>
                      <w:color w:val="auto"/>
                      <w:sz w:val="21"/>
                      <w:szCs w:val="21"/>
                    </w:rPr>
                  </w:pPr>
                  <w:r>
                    <w:rPr>
                      <w:color w:val="auto"/>
                      <w:sz w:val="21"/>
                      <w:szCs w:val="21"/>
                    </w:rPr>
                    <w:t>污染物排放管控</w:t>
                  </w:r>
                </w:p>
              </w:tc>
              <w:tc>
                <w:tcPr>
                  <w:tcW w:w="2478" w:type="pct"/>
                  <w:vAlign w:val="center"/>
                </w:tcPr>
                <w:p w14:paraId="2D4E189F">
                  <w:pPr>
                    <w:jc w:val="both"/>
                    <w:rPr>
                      <w:color w:val="auto"/>
                      <w:sz w:val="21"/>
                      <w:szCs w:val="21"/>
                    </w:rPr>
                  </w:pPr>
                  <w:r>
                    <w:rPr>
                      <w:color w:val="auto"/>
                      <w:sz w:val="21"/>
                      <w:szCs w:val="21"/>
                    </w:rPr>
                    <w:t>城镇开发边界内划定的特别用途区原则上禁止任何新增城镇集中建设行为，实施建设用地总量控制，原则上不得新增除市政基础设施、交通物流基础设施、生态修复工程、必要的配套及游憩设施外的其他城镇建设用地。</w:t>
                  </w:r>
                </w:p>
              </w:tc>
              <w:tc>
                <w:tcPr>
                  <w:tcW w:w="1554" w:type="pct"/>
                  <w:vAlign w:val="center"/>
                </w:tcPr>
                <w:p w14:paraId="15546116">
                  <w:pPr>
                    <w:jc w:val="both"/>
                    <w:rPr>
                      <w:rFonts w:hint="eastAsia" w:eastAsia="宋体"/>
                      <w:color w:val="auto"/>
                      <w:sz w:val="21"/>
                      <w:szCs w:val="21"/>
                      <w:lang w:eastAsia="zh-CN"/>
                    </w:rPr>
                  </w:pPr>
                  <w:r>
                    <w:rPr>
                      <w:color w:val="FF0000"/>
                      <w:sz w:val="21"/>
                      <w:szCs w:val="21"/>
                    </w:rPr>
                    <w:t>本项目</w:t>
                  </w:r>
                  <w:r>
                    <w:rPr>
                      <w:rFonts w:hint="eastAsia"/>
                      <w:color w:val="FF0000"/>
                      <w:sz w:val="21"/>
                      <w:szCs w:val="21"/>
                      <w:lang w:val="en-US" w:eastAsia="zh-CN"/>
                    </w:rPr>
                    <w:t>位于</w:t>
                  </w:r>
                  <w:r>
                    <w:rPr>
                      <w:rFonts w:hint="default" w:ascii="Times New Roman" w:hAnsi="Times New Roman" w:eastAsia="宋体" w:cs="Times New Roman"/>
                      <w:color w:val="FF0000"/>
                      <w:sz w:val="21"/>
                      <w:szCs w:val="21"/>
                    </w:rPr>
                    <w:t>江西高安高新技术产业园区</w:t>
                  </w:r>
                  <w:r>
                    <w:rPr>
                      <w:rFonts w:ascii="Arial" w:hAnsi="Arial" w:eastAsia="Arial" w:cs="Arial"/>
                      <w:i w:val="0"/>
                      <w:iCs w:val="0"/>
                      <w:caps w:val="0"/>
                      <w:color w:val="FF0000"/>
                      <w:spacing w:val="0"/>
                      <w:sz w:val="21"/>
                      <w:szCs w:val="21"/>
                      <w:shd w:val="clear" w:fill="FFFFFF"/>
                    </w:rPr>
                    <w:t>建筑陶瓷产业基地</w:t>
                  </w:r>
                  <w:r>
                    <w:rPr>
                      <w:rFonts w:hint="eastAsia" w:cs="Times New Roman"/>
                      <w:color w:val="FF0000"/>
                      <w:kern w:val="24"/>
                      <w:sz w:val="21"/>
                      <w:szCs w:val="21"/>
                      <w:lang w:val="en-US" w:eastAsia="zh-CN" w:bidi="ar"/>
                    </w:rPr>
                    <w:t>内，</w:t>
                  </w:r>
                  <w:r>
                    <w:rPr>
                      <w:color w:val="FF0000"/>
                      <w:sz w:val="21"/>
                      <w:szCs w:val="21"/>
                    </w:rPr>
                    <w:t>不</w:t>
                  </w:r>
                  <w:r>
                    <w:rPr>
                      <w:rFonts w:hint="eastAsia"/>
                      <w:color w:val="FF0000"/>
                      <w:sz w:val="21"/>
                      <w:szCs w:val="21"/>
                      <w:lang w:val="en-US" w:eastAsia="zh-CN"/>
                    </w:rPr>
                    <w:t>属于</w:t>
                  </w:r>
                  <w:r>
                    <w:rPr>
                      <w:color w:val="FF0000"/>
                      <w:sz w:val="21"/>
                      <w:szCs w:val="21"/>
                    </w:rPr>
                    <w:t>城镇开发边界</w:t>
                  </w:r>
                  <w:r>
                    <w:rPr>
                      <w:rFonts w:hint="eastAsia"/>
                      <w:color w:val="FF0000"/>
                      <w:sz w:val="21"/>
                      <w:szCs w:val="21"/>
                      <w:lang w:eastAsia="zh-CN"/>
                    </w:rPr>
                    <w:t>。</w:t>
                  </w:r>
                </w:p>
              </w:tc>
              <w:tc>
                <w:tcPr>
                  <w:tcW w:w="324" w:type="pct"/>
                  <w:shd w:val="clear" w:color="auto" w:fill="auto"/>
                  <w:vAlign w:val="center"/>
                </w:tcPr>
                <w:p w14:paraId="20A54A33">
                  <w:pPr>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不涉及</w:t>
                  </w:r>
                </w:p>
              </w:tc>
            </w:tr>
            <w:tr w14:paraId="07720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6" w:hRule="atLeast"/>
              </w:trPr>
              <w:tc>
                <w:tcPr>
                  <w:tcW w:w="324" w:type="pct"/>
                  <w:vMerge w:val="continue"/>
                  <w:vAlign w:val="center"/>
                </w:tcPr>
                <w:p w14:paraId="4823D785">
                  <w:pPr>
                    <w:jc w:val="center"/>
                    <w:rPr>
                      <w:color w:val="auto"/>
                      <w:kern w:val="0"/>
                      <w:sz w:val="21"/>
                      <w:szCs w:val="21"/>
                    </w:rPr>
                  </w:pPr>
                </w:p>
              </w:tc>
              <w:tc>
                <w:tcPr>
                  <w:tcW w:w="317" w:type="pct"/>
                  <w:vMerge w:val="continue"/>
                  <w:vAlign w:val="center"/>
                </w:tcPr>
                <w:p w14:paraId="15FF8D29">
                  <w:pPr>
                    <w:jc w:val="center"/>
                    <w:rPr>
                      <w:color w:val="auto"/>
                      <w:sz w:val="21"/>
                      <w:szCs w:val="21"/>
                    </w:rPr>
                  </w:pPr>
                </w:p>
              </w:tc>
              <w:tc>
                <w:tcPr>
                  <w:tcW w:w="2478" w:type="pct"/>
                  <w:vAlign w:val="center"/>
                </w:tcPr>
                <w:p w14:paraId="0F4D5748">
                  <w:pPr>
                    <w:jc w:val="both"/>
                    <w:rPr>
                      <w:rFonts w:hint="eastAsia" w:eastAsia="宋体"/>
                      <w:color w:val="auto"/>
                      <w:sz w:val="21"/>
                      <w:szCs w:val="21"/>
                      <w:lang w:eastAsia="zh-CN"/>
                    </w:rPr>
                  </w:pPr>
                  <w:r>
                    <w:rPr>
                      <w:color w:val="auto"/>
                      <w:sz w:val="21"/>
                      <w:szCs w:val="21"/>
                    </w:rPr>
                    <w:t>到2025年</w:t>
                  </w:r>
                  <w:r>
                    <w:rPr>
                      <w:rFonts w:hint="eastAsia"/>
                      <w:color w:val="auto"/>
                      <w:sz w:val="21"/>
                      <w:szCs w:val="21"/>
                      <w:lang w:eastAsia="zh-CN"/>
                    </w:rPr>
                    <w:t>，</w:t>
                  </w:r>
                  <w:r>
                    <w:rPr>
                      <w:color w:val="auto"/>
                      <w:sz w:val="21"/>
                      <w:szCs w:val="21"/>
                    </w:rPr>
                    <w:t>全省单位生产总值能源消耗比2020年下降 14%，力争达到 14.5%，能源消费总量得到合理控制，氨氧化物、挥发性有机物、化学需氧量、氨氮重点工程减排量分别达到 2.73万吨、1.41 万吨、8.41 万吨、0.55 万吨</w:t>
                  </w:r>
                  <w:r>
                    <w:rPr>
                      <w:rFonts w:hint="eastAsia"/>
                      <w:color w:val="auto"/>
                      <w:sz w:val="21"/>
                      <w:szCs w:val="21"/>
                      <w:lang w:eastAsia="zh-CN"/>
                    </w:rPr>
                    <w:t>。</w:t>
                  </w:r>
                </w:p>
              </w:tc>
              <w:tc>
                <w:tcPr>
                  <w:tcW w:w="1554" w:type="pct"/>
                  <w:vAlign w:val="center"/>
                </w:tcPr>
                <w:p w14:paraId="5495FA7B">
                  <w:pPr>
                    <w:jc w:val="both"/>
                    <w:rPr>
                      <w:rFonts w:hint="default" w:eastAsia="宋体"/>
                      <w:color w:val="auto"/>
                      <w:sz w:val="21"/>
                      <w:szCs w:val="21"/>
                      <w:lang w:val="en-US" w:eastAsia="zh-CN"/>
                    </w:rPr>
                  </w:pPr>
                  <w:r>
                    <w:rPr>
                      <w:color w:val="FF0000"/>
                      <w:sz w:val="21"/>
                      <w:szCs w:val="21"/>
                    </w:rPr>
                    <w:t>本项目执行总量控制</w:t>
                  </w:r>
                  <w:r>
                    <w:rPr>
                      <w:rFonts w:hint="eastAsia"/>
                      <w:color w:val="FF0000"/>
                      <w:sz w:val="21"/>
                      <w:szCs w:val="21"/>
                      <w:lang w:eastAsia="zh-CN"/>
                    </w:rPr>
                    <w:t>，</w:t>
                  </w:r>
                  <w:r>
                    <w:rPr>
                      <w:rFonts w:hint="eastAsia"/>
                      <w:color w:val="FF0000"/>
                      <w:sz w:val="21"/>
                      <w:szCs w:val="21"/>
                      <w:lang w:val="en-US" w:eastAsia="zh-CN"/>
                    </w:rPr>
                    <w:t>项目无不涉及废水、</w:t>
                  </w:r>
                  <w:r>
                    <w:rPr>
                      <w:color w:val="FF0000"/>
                      <w:sz w:val="21"/>
                      <w:szCs w:val="21"/>
                    </w:rPr>
                    <w:t>挥发性有机物</w:t>
                  </w:r>
                  <w:r>
                    <w:rPr>
                      <w:rFonts w:hint="eastAsia"/>
                      <w:color w:val="FF0000"/>
                      <w:sz w:val="21"/>
                      <w:szCs w:val="21"/>
                      <w:lang w:val="en-US" w:eastAsia="zh-CN"/>
                    </w:rPr>
                    <w:t>排放，氮氧化物总量控制指标为0.92t/a。</w:t>
                  </w:r>
                </w:p>
              </w:tc>
              <w:tc>
                <w:tcPr>
                  <w:tcW w:w="324" w:type="pct"/>
                  <w:vAlign w:val="center"/>
                </w:tcPr>
                <w:p w14:paraId="7F644290">
                  <w:pPr>
                    <w:jc w:val="center"/>
                    <w:rPr>
                      <w:color w:val="auto"/>
                      <w:sz w:val="21"/>
                      <w:szCs w:val="21"/>
                    </w:rPr>
                  </w:pPr>
                  <w:r>
                    <w:rPr>
                      <w:rFonts w:hint="eastAsia"/>
                      <w:b w:val="0"/>
                      <w:bCs w:val="0"/>
                      <w:color w:val="auto"/>
                      <w:kern w:val="0"/>
                      <w:sz w:val="21"/>
                      <w:szCs w:val="21"/>
                      <w:lang w:val="en-US" w:eastAsia="zh-CN"/>
                    </w:rPr>
                    <w:t>符合</w:t>
                  </w:r>
                </w:p>
              </w:tc>
            </w:tr>
            <w:tr w14:paraId="2A923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9" w:hRule="atLeast"/>
              </w:trPr>
              <w:tc>
                <w:tcPr>
                  <w:tcW w:w="324" w:type="pct"/>
                  <w:vMerge w:val="continue"/>
                  <w:vAlign w:val="center"/>
                </w:tcPr>
                <w:p w14:paraId="6943A601">
                  <w:pPr>
                    <w:jc w:val="center"/>
                    <w:rPr>
                      <w:color w:val="auto"/>
                      <w:kern w:val="0"/>
                      <w:sz w:val="21"/>
                      <w:szCs w:val="21"/>
                    </w:rPr>
                  </w:pPr>
                </w:p>
              </w:tc>
              <w:tc>
                <w:tcPr>
                  <w:tcW w:w="317" w:type="pct"/>
                  <w:vMerge w:val="continue"/>
                  <w:vAlign w:val="center"/>
                </w:tcPr>
                <w:p w14:paraId="763982EA">
                  <w:pPr>
                    <w:jc w:val="center"/>
                    <w:rPr>
                      <w:color w:val="auto"/>
                      <w:sz w:val="21"/>
                      <w:szCs w:val="21"/>
                    </w:rPr>
                  </w:pPr>
                </w:p>
              </w:tc>
              <w:tc>
                <w:tcPr>
                  <w:tcW w:w="2478" w:type="pct"/>
                  <w:vAlign w:val="center"/>
                </w:tcPr>
                <w:p w14:paraId="19A6E83F">
                  <w:pPr>
                    <w:jc w:val="both"/>
                    <w:rPr>
                      <w:color w:val="auto"/>
                      <w:sz w:val="21"/>
                      <w:szCs w:val="21"/>
                    </w:rPr>
                  </w:pPr>
                  <w:r>
                    <w:rPr>
                      <w:color w:val="auto"/>
                      <w:sz w:val="21"/>
                      <w:szCs w:val="21"/>
                    </w:rPr>
                    <w:t>禁止新建不符合国家产业政策的小型造纸、制革、印染、染料、炼焦、炼硫、炼砷、炼汞、炼油、电镀、农药、石棉、水泥、玻璃、钢铁、火电以及其他严重污染水环境的生产项目。</w:t>
                  </w:r>
                </w:p>
              </w:tc>
              <w:tc>
                <w:tcPr>
                  <w:tcW w:w="1554" w:type="pct"/>
                  <w:vAlign w:val="center"/>
                </w:tcPr>
                <w:p w14:paraId="2D548CB3">
                  <w:pPr>
                    <w:jc w:val="both"/>
                    <w:rPr>
                      <w:rFonts w:hint="default" w:eastAsia="宋体"/>
                      <w:color w:val="auto"/>
                      <w:sz w:val="21"/>
                      <w:szCs w:val="21"/>
                      <w:lang w:val="en-US" w:eastAsia="zh-CN"/>
                    </w:rPr>
                  </w:pPr>
                  <w:r>
                    <w:rPr>
                      <w:rFonts w:hint="eastAsia"/>
                      <w:color w:val="auto"/>
                      <w:sz w:val="21"/>
                      <w:szCs w:val="21"/>
                      <w:lang w:val="en-US" w:eastAsia="zh-CN"/>
                    </w:rPr>
                    <w:t>本</w:t>
                  </w:r>
                  <w:r>
                    <w:rPr>
                      <w:rFonts w:hint="eastAsia"/>
                      <w:b w:val="0"/>
                      <w:bCs w:val="0"/>
                      <w:color w:val="auto"/>
                      <w:kern w:val="0"/>
                      <w:sz w:val="21"/>
                      <w:szCs w:val="21"/>
                      <w:lang w:val="en-US" w:eastAsia="zh-CN"/>
                    </w:rPr>
                    <w:t>技改</w:t>
                  </w:r>
                  <w:r>
                    <w:rPr>
                      <w:rFonts w:hint="eastAsia"/>
                      <w:color w:val="auto"/>
                      <w:sz w:val="21"/>
                      <w:szCs w:val="21"/>
                      <w:lang w:val="en-US" w:eastAsia="zh-CN"/>
                    </w:rPr>
                    <w:t>项目主要为现有项目供热，不属于</w:t>
                  </w:r>
                  <w:r>
                    <w:rPr>
                      <w:color w:val="auto"/>
                      <w:sz w:val="21"/>
                      <w:szCs w:val="21"/>
                    </w:rPr>
                    <w:t>造纸、制革、印染、染料、炼焦、炼硫、炼砷、炼汞、炼油、电镀、农药、石棉、水泥、玻璃、钢铁、火电</w:t>
                  </w:r>
                  <w:r>
                    <w:rPr>
                      <w:rFonts w:hint="eastAsia"/>
                      <w:color w:val="auto"/>
                      <w:sz w:val="21"/>
                      <w:szCs w:val="21"/>
                      <w:lang w:val="en-US" w:eastAsia="zh-CN"/>
                    </w:rPr>
                    <w:t>等项目。</w:t>
                  </w:r>
                </w:p>
              </w:tc>
              <w:tc>
                <w:tcPr>
                  <w:tcW w:w="324" w:type="pct"/>
                  <w:vAlign w:val="center"/>
                </w:tcPr>
                <w:p w14:paraId="381B2F85">
                  <w:pPr>
                    <w:jc w:val="center"/>
                    <w:rPr>
                      <w:color w:val="auto"/>
                      <w:sz w:val="21"/>
                      <w:szCs w:val="21"/>
                    </w:rPr>
                  </w:pPr>
                  <w:r>
                    <w:rPr>
                      <w:rFonts w:hint="eastAsia"/>
                      <w:b w:val="0"/>
                      <w:bCs w:val="0"/>
                      <w:color w:val="auto"/>
                      <w:kern w:val="0"/>
                      <w:sz w:val="21"/>
                      <w:szCs w:val="21"/>
                      <w:lang w:val="en-US" w:eastAsia="zh-CN"/>
                    </w:rPr>
                    <w:t>不涉及</w:t>
                  </w:r>
                </w:p>
              </w:tc>
            </w:tr>
            <w:tr w14:paraId="50ACA2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 w:type="pct"/>
                  <w:vMerge w:val="continue"/>
                  <w:vAlign w:val="center"/>
                </w:tcPr>
                <w:p w14:paraId="59C878D0">
                  <w:pPr>
                    <w:jc w:val="center"/>
                    <w:rPr>
                      <w:color w:val="auto"/>
                      <w:kern w:val="0"/>
                      <w:sz w:val="21"/>
                      <w:szCs w:val="21"/>
                    </w:rPr>
                  </w:pPr>
                </w:p>
              </w:tc>
              <w:tc>
                <w:tcPr>
                  <w:tcW w:w="317" w:type="pct"/>
                  <w:vMerge w:val="continue"/>
                  <w:vAlign w:val="center"/>
                </w:tcPr>
                <w:p w14:paraId="17C99E0F">
                  <w:pPr>
                    <w:jc w:val="center"/>
                    <w:rPr>
                      <w:color w:val="auto"/>
                      <w:sz w:val="21"/>
                      <w:szCs w:val="21"/>
                    </w:rPr>
                  </w:pPr>
                </w:p>
              </w:tc>
              <w:tc>
                <w:tcPr>
                  <w:tcW w:w="2478" w:type="pct"/>
                  <w:vAlign w:val="center"/>
                </w:tcPr>
                <w:p w14:paraId="5880E9C7">
                  <w:pPr>
                    <w:jc w:val="both"/>
                    <w:rPr>
                      <w:color w:val="auto"/>
                      <w:sz w:val="21"/>
                      <w:szCs w:val="21"/>
                    </w:rPr>
                  </w:pPr>
                  <w:r>
                    <w:rPr>
                      <w:color w:val="auto"/>
                      <w:sz w:val="21"/>
                      <w:szCs w:val="21"/>
                    </w:rPr>
                    <w:t>新建、改建、扩建造纸、焦化、氮肥、有色金属、印染、农副食品加工、原料药制造、制革、农药、电镀等重点行业建设项目，实行主要污染物排放等量或减量置换。</w:t>
                  </w:r>
                </w:p>
              </w:tc>
              <w:tc>
                <w:tcPr>
                  <w:tcW w:w="1554" w:type="pct"/>
                  <w:vAlign w:val="center"/>
                </w:tcPr>
                <w:p w14:paraId="692191E2">
                  <w:pPr>
                    <w:jc w:val="both"/>
                    <w:rPr>
                      <w:rFonts w:hint="default"/>
                      <w:color w:val="auto"/>
                      <w:sz w:val="21"/>
                      <w:szCs w:val="21"/>
                      <w:lang w:val="en-US"/>
                    </w:rPr>
                  </w:pPr>
                  <w:r>
                    <w:rPr>
                      <w:rFonts w:hint="eastAsia"/>
                      <w:color w:val="auto"/>
                      <w:sz w:val="21"/>
                      <w:szCs w:val="21"/>
                      <w:lang w:val="en-US" w:eastAsia="zh-CN"/>
                    </w:rPr>
                    <w:t>本</w:t>
                  </w:r>
                  <w:r>
                    <w:rPr>
                      <w:rFonts w:hint="eastAsia"/>
                      <w:b w:val="0"/>
                      <w:bCs w:val="0"/>
                      <w:color w:val="auto"/>
                      <w:kern w:val="0"/>
                      <w:sz w:val="21"/>
                      <w:szCs w:val="21"/>
                      <w:lang w:val="en-US" w:eastAsia="zh-CN"/>
                    </w:rPr>
                    <w:t>技改</w:t>
                  </w:r>
                  <w:r>
                    <w:rPr>
                      <w:rFonts w:hint="eastAsia"/>
                      <w:color w:val="auto"/>
                      <w:sz w:val="21"/>
                      <w:szCs w:val="21"/>
                      <w:lang w:val="en-US" w:eastAsia="zh-CN"/>
                    </w:rPr>
                    <w:t>项目主要为现有项目供热，不属于重点行业。</w:t>
                  </w:r>
                </w:p>
              </w:tc>
              <w:tc>
                <w:tcPr>
                  <w:tcW w:w="324" w:type="pct"/>
                  <w:vAlign w:val="center"/>
                </w:tcPr>
                <w:p w14:paraId="380C6F90">
                  <w:pPr>
                    <w:jc w:val="center"/>
                    <w:rPr>
                      <w:color w:val="auto"/>
                      <w:sz w:val="21"/>
                      <w:szCs w:val="21"/>
                    </w:rPr>
                  </w:pPr>
                  <w:r>
                    <w:rPr>
                      <w:rFonts w:hint="eastAsia"/>
                      <w:b w:val="0"/>
                      <w:bCs w:val="0"/>
                      <w:color w:val="auto"/>
                      <w:kern w:val="0"/>
                      <w:sz w:val="21"/>
                      <w:szCs w:val="21"/>
                      <w:lang w:val="en-US" w:eastAsia="zh-CN"/>
                    </w:rPr>
                    <w:t>不涉及</w:t>
                  </w:r>
                </w:p>
              </w:tc>
            </w:tr>
            <w:tr w14:paraId="51584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 w:type="pct"/>
                  <w:vMerge w:val="continue"/>
                  <w:vAlign w:val="center"/>
                </w:tcPr>
                <w:p w14:paraId="4AFAE677">
                  <w:pPr>
                    <w:jc w:val="center"/>
                    <w:rPr>
                      <w:color w:val="auto"/>
                      <w:kern w:val="0"/>
                      <w:sz w:val="21"/>
                      <w:szCs w:val="21"/>
                    </w:rPr>
                  </w:pPr>
                </w:p>
              </w:tc>
              <w:tc>
                <w:tcPr>
                  <w:tcW w:w="317" w:type="pct"/>
                  <w:vMerge w:val="continue"/>
                  <w:vAlign w:val="center"/>
                </w:tcPr>
                <w:p w14:paraId="6A42ED59">
                  <w:pPr>
                    <w:jc w:val="center"/>
                    <w:rPr>
                      <w:color w:val="auto"/>
                      <w:sz w:val="21"/>
                      <w:szCs w:val="21"/>
                    </w:rPr>
                  </w:pPr>
                </w:p>
              </w:tc>
              <w:tc>
                <w:tcPr>
                  <w:tcW w:w="2478" w:type="pct"/>
                  <w:vAlign w:val="center"/>
                </w:tcPr>
                <w:p w14:paraId="623EE6DF">
                  <w:pPr>
                    <w:jc w:val="both"/>
                    <w:rPr>
                      <w:color w:val="auto"/>
                      <w:sz w:val="21"/>
                      <w:szCs w:val="21"/>
                    </w:rPr>
                  </w:pPr>
                  <w:r>
                    <w:rPr>
                      <w:color w:val="auto"/>
                      <w:sz w:val="21"/>
                      <w:szCs w:val="21"/>
                    </w:rPr>
                    <w:t>严格落实钢铁、水泥、平板玻璃产能减量置换政策。推进钢铁、水泥、焦化行业及燃煤锅炉超低排放改造。</w:t>
                  </w:r>
                </w:p>
              </w:tc>
              <w:tc>
                <w:tcPr>
                  <w:tcW w:w="1554" w:type="pct"/>
                  <w:vAlign w:val="center"/>
                </w:tcPr>
                <w:p w14:paraId="60EDB019">
                  <w:pPr>
                    <w:jc w:val="both"/>
                    <w:rPr>
                      <w:rFonts w:hint="default" w:eastAsia="宋体"/>
                      <w:color w:val="auto"/>
                      <w:sz w:val="21"/>
                      <w:szCs w:val="21"/>
                      <w:lang w:val="en-US" w:eastAsia="zh-CN"/>
                    </w:rPr>
                  </w:pPr>
                  <w:r>
                    <w:rPr>
                      <w:rFonts w:hint="eastAsia"/>
                      <w:color w:val="auto"/>
                      <w:sz w:val="21"/>
                      <w:szCs w:val="21"/>
                      <w:lang w:val="en-US" w:eastAsia="zh-CN"/>
                    </w:rPr>
                    <w:t>本</w:t>
                  </w:r>
                  <w:r>
                    <w:rPr>
                      <w:rFonts w:hint="eastAsia"/>
                      <w:b w:val="0"/>
                      <w:bCs w:val="0"/>
                      <w:color w:val="auto"/>
                      <w:kern w:val="0"/>
                      <w:sz w:val="21"/>
                      <w:szCs w:val="21"/>
                      <w:lang w:val="en-US" w:eastAsia="zh-CN"/>
                    </w:rPr>
                    <w:t>技改</w:t>
                  </w:r>
                  <w:r>
                    <w:rPr>
                      <w:rFonts w:hint="eastAsia"/>
                      <w:color w:val="auto"/>
                      <w:sz w:val="21"/>
                      <w:szCs w:val="21"/>
                      <w:lang w:val="en-US" w:eastAsia="zh-CN"/>
                    </w:rPr>
                    <w:t>项目主要为现有项目供热，不属于</w:t>
                  </w:r>
                  <w:r>
                    <w:rPr>
                      <w:color w:val="auto"/>
                      <w:sz w:val="21"/>
                      <w:szCs w:val="21"/>
                    </w:rPr>
                    <w:t>钢铁、水泥、平板玻璃</w:t>
                  </w:r>
                  <w:r>
                    <w:rPr>
                      <w:rFonts w:hint="eastAsia"/>
                      <w:color w:val="auto"/>
                      <w:sz w:val="21"/>
                      <w:szCs w:val="21"/>
                      <w:lang w:val="en-US" w:eastAsia="zh-CN"/>
                    </w:rPr>
                    <w:t>等行业。</w:t>
                  </w:r>
                </w:p>
              </w:tc>
              <w:tc>
                <w:tcPr>
                  <w:tcW w:w="324" w:type="pct"/>
                  <w:vAlign w:val="center"/>
                </w:tcPr>
                <w:p w14:paraId="45609113">
                  <w:pPr>
                    <w:jc w:val="center"/>
                    <w:rPr>
                      <w:color w:val="auto"/>
                      <w:sz w:val="21"/>
                      <w:szCs w:val="21"/>
                    </w:rPr>
                  </w:pPr>
                  <w:r>
                    <w:rPr>
                      <w:rFonts w:hint="eastAsia"/>
                      <w:b w:val="0"/>
                      <w:bCs w:val="0"/>
                      <w:color w:val="auto"/>
                      <w:kern w:val="0"/>
                      <w:sz w:val="21"/>
                      <w:szCs w:val="21"/>
                      <w:lang w:val="en-US" w:eastAsia="zh-CN"/>
                    </w:rPr>
                    <w:t>不涉及</w:t>
                  </w:r>
                </w:p>
              </w:tc>
            </w:tr>
            <w:tr w14:paraId="4EDD4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 w:type="pct"/>
                  <w:vMerge w:val="continue"/>
                  <w:vAlign w:val="center"/>
                </w:tcPr>
                <w:p w14:paraId="5915E370">
                  <w:pPr>
                    <w:jc w:val="center"/>
                    <w:rPr>
                      <w:color w:val="auto"/>
                      <w:kern w:val="0"/>
                      <w:sz w:val="21"/>
                      <w:szCs w:val="21"/>
                    </w:rPr>
                  </w:pPr>
                </w:p>
              </w:tc>
              <w:tc>
                <w:tcPr>
                  <w:tcW w:w="317" w:type="pct"/>
                  <w:vMerge w:val="continue"/>
                  <w:vAlign w:val="center"/>
                </w:tcPr>
                <w:p w14:paraId="1EE40033">
                  <w:pPr>
                    <w:jc w:val="center"/>
                    <w:rPr>
                      <w:color w:val="auto"/>
                      <w:sz w:val="21"/>
                      <w:szCs w:val="21"/>
                    </w:rPr>
                  </w:pPr>
                </w:p>
              </w:tc>
              <w:tc>
                <w:tcPr>
                  <w:tcW w:w="2478" w:type="pct"/>
                  <w:vAlign w:val="center"/>
                </w:tcPr>
                <w:p w14:paraId="6FC25519">
                  <w:pPr>
                    <w:jc w:val="both"/>
                    <w:rPr>
                      <w:color w:val="auto"/>
                      <w:sz w:val="21"/>
                      <w:szCs w:val="21"/>
                    </w:rPr>
                  </w:pPr>
                  <w:r>
                    <w:rPr>
                      <w:color w:val="auto"/>
                      <w:sz w:val="21"/>
                      <w:szCs w:val="21"/>
                    </w:rPr>
                    <w:t>推动全省 34个涉气重点行业企业绩效分级积极引导污染物排放总量大、污染物排放浓度高的行业企业开展超低排放改造。</w:t>
                  </w:r>
                </w:p>
              </w:tc>
              <w:tc>
                <w:tcPr>
                  <w:tcW w:w="1554" w:type="pct"/>
                  <w:vAlign w:val="center"/>
                </w:tcPr>
                <w:p w14:paraId="0A41F0E0">
                  <w:pPr>
                    <w:jc w:val="both"/>
                    <w:rPr>
                      <w:rFonts w:hint="default"/>
                      <w:color w:val="auto"/>
                      <w:sz w:val="21"/>
                      <w:szCs w:val="21"/>
                      <w:lang w:val="en-US"/>
                    </w:rPr>
                  </w:pPr>
                  <w:r>
                    <w:rPr>
                      <w:rFonts w:hint="eastAsia"/>
                      <w:color w:val="auto"/>
                      <w:sz w:val="21"/>
                      <w:szCs w:val="21"/>
                      <w:lang w:val="en-US" w:eastAsia="zh-CN"/>
                    </w:rPr>
                    <w:t>本</w:t>
                  </w:r>
                  <w:r>
                    <w:rPr>
                      <w:rFonts w:hint="eastAsia"/>
                      <w:b w:val="0"/>
                      <w:bCs w:val="0"/>
                      <w:color w:val="auto"/>
                      <w:kern w:val="0"/>
                      <w:sz w:val="21"/>
                      <w:szCs w:val="21"/>
                      <w:lang w:val="en-US" w:eastAsia="zh-CN"/>
                    </w:rPr>
                    <w:t>技改</w:t>
                  </w:r>
                  <w:r>
                    <w:rPr>
                      <w:rFonts w:hint="eastAsia"/>
                      <w:color w:val="auto"/>
                      <w:sz w:val="21"/>
                      <w:szCs w:val="21"/>
                      <w:lang w:val="en-US" w:eastAsia="zh-CN"/>
                    </w:rPr>
                    <w:t>项目主要使用生物质成型燃料为现有项目供热，不属于重点行业。</w:t>
                  </w:r>
                </w:p>
              </w:tc>
              <w:tc>
                <w:tcPr>
                  <w:tcW w:w="324" w:type="pct"/>
                  <w:vAlign w:val="center"/>
                </w:tcPr>
                <w:p w14:paraId="62C3A1E4">
                  <w:pPr>
                    <w:jc w:val="center"/>
                    <w:rPr>
                      <w:color w:val="auto"/>
                      <w:sz w:val="21"/>
                      <w:szCs w:val="21"/>
                    </w:rPr>
                  </w:pPr>
                  <w:r>
                    <w:rPr>
                      <w:rFonts w:hint="eastAsia"/>
                      <w:b w:val="0"/>
                      <w:bCs w:val="0"/>
                      <w:color w:val="auto"/>
                      <w:kern w:val="0"/>
                      <w:sz w:val="21"/>
                      <w:szCs w:val="21"/>
                      <w:lang w:val="en-US" w:eastAsia="zh-CN"/>
                    </w:rPr>
                    <w:t>不涉及</w:t>
                  </w:r>
                </w:p>
              </w:tc>
            </w:tr>
            <w:tr w14:paraId="20CB9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 w:type="pct"/>
                  <w:vMerge w:val="continue"/>
                  <w:vAlign w:val="center"/>
                </w:tcPr>
                <w:p w14:paraId="2790C6DB">
                  <w:pPr>
                    <w:jc w:val="center"/>
                    <w:rPr>
                      <w:color w:val="auto"/>
                      <w:kern w:val="0"/>
                      <w:sz w:val="21"/>
                      <w:szCs w:val="21"/>
                    </w:rPr>
                  </w:pPr>
                </w:p>
              </w:tc>
              <w:tc>
                <w:tcPr>
                  <w:tcW w:w="317" w:type="pct"/>
                  <w:vMerge w:val="continue"/>
                  <w:vAlign w:val="center"/>
                </w:tcPr>
                <w:p w14:paraId="6CACDD18">
                  <w:pPr>
                    <w:jc w:val="center"/>
                    <w:rPr>
                      <w:color w:val="auto"/>
                      <w:sz w:val="21"/>
                      <w:szCs w:val="21"/>
                    </w:rPr>
                  </w:pPr>
                </w:p>
              </w:tc>
              <w:tc>
                <w:tcPr>
                  <w:tcW w:w="2478" w:type="pct"/>
                  <w:vAlign w:val="center"/>
                </w:tcPr>
                <w:p w14:paraId="4F329791">
                  <w:pPr>
                    <w:jc w:val="both"/>
                    <w:rPr>
                      <w:color w:val="auto"/>
                      <w:sz w:val="21"/>
                      <w:szCs w:val="21"/>
                    </w:rPr>
                  </w:pPr>
                  <w:r>
                    <w:rPr>
                      <w:color w:val="auto"/>
                      <w:sz w:val="21"/>
                      <w:szCs w:val="21"/>
                    </w:rPr>
                    <w:t>禁止新建、扩建不符合要求的高耗能高排放项</w:t>
                  </w:r>
                  <w:r>
                    <w:rPr>
                      <w:rFonts w:hint="eastAsia"/>
                      <w:color w:val="auto"/>
                      <w:sz w:val="21"/>
                      <w:szCs w:val="21"/>
                      <w:lang w:val="en-US" w:eastAsia="zh-CN"/>
                    </w:rPr>
                    <w:t>目</w:t>
                  </w:r>
                  <w:r>
                    <w:rPr>
                      <w:color w:val="auto"/>
                      <w:sz w:val="21"/>
                      <w:szCs w:val="21"/>
                    </w:rPr>
                    <w:t>。</w:t>
                  </w:r>
                </w:p>
              </w:tc>
              <w:tc>
                <w:tcPr>
                  <w:tcW w:w="1554" w:type="pct"/>
                  <w:vAlign w:val="center"/>
                </w:tcPr>
                <w:p w14:paraId="23FA1A47">
                  <w:pPr>
                    <w:jc w:val="both"/>
                    <w:rPr>
                      <w:rFonts w:hint="default"/>
                      <w:color w:val="auto"/>
                      <w:sz w:val="21"/>
                      <w:szCs w:val="21"/>
                      <w:lang w:val="en-US"/>
                    </w:rPr>
                  </w:pPr>
                  <w:r>
                    <w:rPr>
                      <w:rFonts w:hint="eastAsia"/>
                      <w:color w:val="auto"/>
                      <w:sz w:val="21"/>
                      <w:szCs w:val="21"/>
                      <w:lang w:val="en-US" w:eastAsia="zh-CN"/>
                    </w:rPr>
                    <w:t>本</w:t>
                  </w:r>
                  <w:r>
                    <w:rPr>
                      <w:rFonts w:hint="eastAsia"/>
                      <w:b w:val="0"/>
                      <w:bCs w:val="0"/>
                      <w:color w:val="auto"/>
                      <w:kern w:val="0"/>
                      <w:sz w:val="21"/>
                      <w:szCs w:val="21"/>
                      <w:lang w:val="en-US" w:eastAsia="zh-CN"/>
                    </w:rPr>
                    <w:t>技改</w:t>
                  </w:r>
                  <w:r>
                    <w:rPr>
                      <w:rFonts w:hint="eastAsia"/>
                      <w:color w:val="auto"/>
                      <w:sz w:val="21"/>
                      <w:szCs w:val="21"/>
                      <w:lang w:val="en-US" w:eastAsia="zh-CN"/>
                    </w:rPr>
                    <w:t>项目主要使用生物质成型燃料为现有项目供热，不属于</w:t>
                  </w:r>
                  <w:r>
                    <w:rPr>
                      <w:color w:val="auto"/>
                      <w:sz w:val="21"/>
                      <w:szCs w:val="21"/>
                    </w:rPr>
                    <w:t>高耗能高排放项</w:t>
                  </w:r>
                  <w:r>
                    <w:rPr>
                      <w:rFonts w:hint="eastAsia"/>
                      <w:color w:val="auto"/>
                      <w:sz w:val="21"/>
                      <w:szCs w:val="21"/>
                      <w:lang w:val="en-US" w:eastAsia="zh-CN"/>
                    </w:rPr>
                    <w:t>目。</w:t>
                  </w:r>
                </w:p>
              </w:tc>
              <w:tc>
                <w:tcPr>
                  <w:tcW w:w="324" w:type="pct"/>
                  <w:vAlign w:val="center"/>
                </w:tcPr>
                <w:p w14:paraId="15B9A61A">
                  <w:pPr>
                    <w:jc w:val="center"/>
                    <w:rPr>
                      <w:color w:val="auto"/>
                      <w:sz w:val="21"/>
                      <w:szCs w:val="21"/>
                    </w:rPr>
                  </w:pPr>
                  <w:r>
                    <w:rPr>
                      <w:rFonts w:hint="eastAsia"/>
                      <w:b w:val="0"/>
                      <w:bCs w:val="0"/>
                      <w:color w:val="auto"/>
                      <w:kern w:val="0"/>
                      <w:sz w:val="21"/>
                      <w:szCs w:val="21"/>
                      <w:lang w:val="en-US" w:eastAsia="zh-CN"/>
                    </w:rPr>
                    <w:t>不涉及</w:t>
                  </w:r>
                </w:p>
              </w:tc>
            </w:tr>
            <w:tr w14:paraId="4DCA9A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 w:type="pct"/>
                  <w:vMerge w:val="continue"/>
                  <w:vAlign w:val="center"/>
                </w:tcPr>
                <w:p w14:paraId="1A0103A8">
                  <w:pPr>
                    <w:jc w:val="center"/>
                    <w:rPr>
                      <w:color w:val="auto"/>
                      <w:kern w:val="0"/>
                      <w:sz w:val="21"/>
                      <w:szCs w:val="21"/>
                    </w:rPr>
                  </w:pPr>
                </w:p>
              </w:tc>
              <w:tc>
                <w:tcPr>
                  <w:tcW w:w="317" w:type="pct"/>
                  <w:vMerge w:val="restart"/>
                  <w:vAlign w:val="center"/>
                </w:tcPr>
                <w:p w14:paraId="16576139">
                  <w:pPr>
                    <w:jc w:val="center"/>
                    <w:rPr>
                      <w:color w:val="auto"/>
                      <w:sz w:val="21"/>
                      <w:szCs w:val="21"/>
                    </w:rPr>
                  </w:pPr>
                  <w:r>
                    <w:rPr>
                      <w:color w:val="auto"/>
                      <w:sz w:val="21"/>
                      <w:szCs w:val="21"/>
                    </w:rPr>
                    <w:t>环境风险防控</w:t>
                  </w:r>
                </w:p>
              </w:tc>
              <w:tc>
                <w:tcPr>
                  <w:tcW w:w="2478" w:type="pct"/>
                  <w:vAlign w:val="center"/>
                </w:tcPr>
                <w:p w14:paraId="1F0ED9DD">
                  <w:pPr>
                    <w:jc w:val="both"/>
                    <w:rPr>
                      <w:color w:val="auto"/>
                      <w:sz w:val="21"/>
                      <w:szCs w:val="21"/>
                    </w:rPr>
                  </w:pPr>
                  <w:r>
                    <w:rPr>
                      <w:color w:val="auto"/>
                      <w:sz w:val="21"/>
                      <w:szCs w:val="21"/>
                    </w:rPr>
                    <w:t>在居民集中区、医院和学校附近、重要水源涵养生态功能区等环境风险防控重点区域，禁止新建或扩建化工石化、有色冶炼、制浆造纸等可能引发环境风险的项目。</w:t>
                  </w:r>
                </w:p>
              </w:tc>
              <w:tc>
                <w:tcPr>
                  <w:tcW w:w="1554" w:type="pct"/>
                  <w:vAlign w:val="center"/>
                </w:tcPr>
                <w:p w14:paraId="24353D59">
                  <w:pPr>
                    <w:jc w:val="both"/>
                    <w:rPr>
                      <w:rFonts w:hint="eastAsia" w:eastAsia="宋体"/>
                      <w:color w:val="auto"/>
                      <w:sz w:val="21"/>
                      <w:szCs w:val="21"/>
                      <w:lang w:val="en-US" w:eastAsia="zh-CN"/>
                    </w:rPr>
                  </w:pPr>
                  <w:r>
                    <w:rPr>
                      <w:rFonts w:hint="eastAsia"/>
                      <w:color w:val="auto"/>
                      <w:sz w:val="21"/>
                      <w:szCs w:val="21"/>
                      <w:lang w:val="en-US" w:eastAsia="zh-CN"/>
                    </w:rPr>
                    <w:t>本</w:t>
                  </w:r>
                  <w:r>
                    <w:rPr>
                      <w:rFonts w:hint="eastAsia"/>
                      <w:b w:val="0"/>
                      <w:bCs w:val="0"/>
                      <w:color w:val="auto"/>
                      <w:kern w:val="0"/>
                      <w:sz w:val="21"/>
                      <w:szCs w:val="21"/>
                      <w:lang w:val="en-US" w:eastAsia="zh-CN"/>
                    </w:rPr>
                    <w:t>技改</w:t>
                  </w:r>
                  <w:r>
                    <w:rPr>
                      <w:rFonts w:hint="eastAsia"/>
                      <w:color w:val="auto"/>
                      <w:sz w:val="21"/>
                      <w:szCs w:val="21"/>
                      <w:lang w:val="en-US" w:eastAsia="zh-CN"/>
                    </w:rPr>
                    <w:t>项目主要为现有项目供热，不属于化工石化、有色</w:t>
                  </w:r>
                  <w:r>
                    <w:rPr>
                      <w:color w:val="auto"/>
                      <w:sz w:val="21"/>
                      <w:szCs w:val="21"/>
                    </w:rPr>
                    <w:t>冶炼、制浆造纸等可能引发环境风险的项目</w:t>
                  </w:r>
                  <w:r>
                    <w:rPr>
                      <w:rFonts w:hint="eastAsia"/>
                      <w:color w:val="auto"/>
                      <w:sz w:val="21"/>
                      <w:szCs w:val="21"/>
                      <w:lang w:eastAsia="zh-CN"/>
                    </w:rPr>
                    <w:t>。</w:t>
                  </w:r>
                </w:p>
              </w:tc>
              <w:tc>
                <w:tcPr>
                  <w:tcW w:w="324" w:type="pct"/>
                  <w:vAlign w:val="center"/>
                </w:tcPr>
                <w:p w14:paraId="1CA7352C">
                  <w:pPr>
                    <w:jc w:val="center"/>
                    <w:rPr>
                      <w:color w:val="auto"/>
                      <w:sz w:val="21"/>
                      <w:szCs w:val="21"/>
                    </w:rPr>
                  </w:pPr>
                  <w:r>
                    <w:rPr>
                      <w:rFonts w:hint="eastAsia"/>
                      <w:b w:val="0"/>
                      <w:bCs w:val="0"/>
                      <w:color w:val="auto"/>
                      <w:kern w:val="0"/>
                      <w:sz w:val="21"/>
                      <w:szCs w:val="21"/>
                      <w:lang w:val="en-US" w:eastAsia="zh-CN"/>
                    </w:rPr>
                    <w:t>不涉及</w:t>
                  </w:r>
                </w:p>
              </w:tc>
            </w:tr>
            <w:tr w14:paraId="2136C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 w:type="pct"/>
                  <w:vMerge w:val="continue"/>
                  <w:vAlign w:val="center"/>
                </w:tcPr>
                <w:p w14:paraId="3FD20A63">
                  <w:pPr>
                    <w:jc w:val="center"/>
                    <w:rPr>
                      <w:color w:val="auto"/>
                      <w:kern w:val="0"/>
                      <w:sz w:val="21"/>
                      <w:szCs w:val="21"/>
                    </w:rPr>
                  </w:pPr>
                </w:p>
              </w:tc>
              <w:tc>
                <w:tcPr>
                  <w:tcW w:w="317" w:type="pct"/>
                  <w:vMerge w:val="continue"/>
                  <w:vAlign w:val="center"/>
                </w:tcPr>
                <w:p w14:paraId="70D47626">
                  <w:pPr>
                    <w:jc w:val="center"/>
                    <w:rPr>
                      <w:color w:val="auto"/>
                      <w:sz w:val="21"/>
                      <w:szCs w:val="21"/>
                    </w:rPr>
                  </w:pPr>
                </w:p>
              </w:tc>
              <w:tc>
                <w:tcPr>
                  <w:tcW w:w="2478" w:type="pct"/>
                  <w:vAlign w:val="center"/>
                </w:tcPr>
                <w:p w14:paraId="3078F8A3">
                  <w:pPr>
                    <w:jc w:val="both"/>
                    <w:rPr>
                      <w:color w:val="auto"/>
                      <w:sz w:val="21"/>
                      <w:szCs w:val="21"/>
                    </w:rPr>
                  </w:pPr>
                  <w:r>
                    <w:rPr>
                      <w:color w:val="auto"/>
                      <w:sz w:val="21"/>
                      <w:szCs w:val="21"/>
                    </w:rPr>
                    <w:t>含有毒有害氰化物电镀工艺</w:t>
                  </w:r>
                  <w:r>
                    <w:rPr>
                      <w:rFonts w:hint="eastAsia"/>
                      <w:color w:val="auto"/>
                      <w:sz w:val="21"/>
                      <w:szCs w:val="21"/>
                      <w:lang w:eastAsia="zh-CN"/>
                    </w:rPr>
                    <w:t>（</w:t>
                  </w:r>
                  <w:r>
                    <w:rPr>
                      <w:color w:val="auto"/>
                      <w:sz w:val="21"/>
                      <w:szCs w:val="21"/>
                    </w:rPr>
                    <w:t>电镀金、银、铜基合金及予镀铜打底工艺除外</w:t>
                  </w:r>
                  <w:r>
                    <w:rPr>
                      <w:rFonts w:hint="eastAsia"/>
                      <w:color w:val="auto"/>
                      <w:sz w:val="21"/>
                      <w:szCs w:val="21"/>
                      <w:lang w:eastAsia="zh-CN"/>
                    </w:rPr>
                    <w:t>）</w:t>
                  </w:r>
                  <w:r>
                    <w:rPr>
                      <w:color w:val="auto"/>
                      <w:sz w:val="21"/>
                      <w:szCs w:val="21"/>
                    </w:rPr>
                    <w:t>。</w:t>
                  </w:r>
                </w:p>
              </w:tc>
              <w:tc>
                <w:tcPr>
                  <w:tcW w:w="1554" w:type="pct"/>
                  <w:vAlign w:val="center"/>
                </w:tcPr>
                <w:p w14:paraId="3DE52093">
                  <w:pPr>
                    <w:jc w:val="both"/>
                    <w:rPr>
                      <w:rFonts w:hint="eastAsia" w:eastAsia="宋体"/>
                      <w:color w:val="auto"/>
                      <w:sz w:val="21"/>
                      <w:szCs w:val="21"/>
                      <w:lang w:val="en-US" w:eastAsia="zh-CN"/>
                    </w:rPr>
                  </w:pPr>
                  <w:r>
                    <w:rPr>
                      <w:rFonts w:hint="eastAsia"/>
                      <w:color w:val="auto"/>
                      <w:sz w:val="21"/>
                      <w:szCs w:val="21"/>
                      <w:lang w:val="en-US" w:eastAsia="zh-CN"/>
                    </w:rPr>
                    <w:t>本</w:t>
                  </w:r>
                  <w:r>
                    <w:rPr>
                      <w:rFonts w:hint="eastAsia"/>
                      <w:b w:val="0"/>
                      <w:bCs w:val="0"/>
                      <w:color w:val="auto"/>
                      <w:kern w:val="0"/>
                      <w:sz w:val="21"/>
                      <w:szCs w:val="21"/>
                      <w:lang w:val="en-US" w:eastAsia="zh-CN"/>
                    </w:rPr>
                    <w:t>技改</w:t>
                  </w:r>
                  <w:r>
                    <w:rPr>
                      <w:rFonts w:hint="eastAsia"/>
                      <w:color w:val="auto"/>
                      <w:sz w:val="21"/>
                      <w:szCs w:val="21"/>
                      <w:lang w:val="en-US" w:eastAsia="zh-CN"/>
                    </w:rPr>
                    <w:t>项目主要为现有项目供热，不涉及</w:t>
                  </w:r>
                  <w:r>
                    <w:rPr>
                      <w:color w:val="auto"/>
                      <w:sz w:val="21"/>
                      <w:szCs w:val="21"/>
                    </w:rPr>
                    <w:t>电镀工艺</w:t>
                  </w:r>
                  <w:r>
                    <w:rPr>
                      <w:rFonts w:hint="eastAsia"/>
                      <w:color w:val="auto"/>
                      <w:sz w:val="21"/>
                      <w:szCs w:val="21"/>
                      <w:lang w:eastAsia="zh-CN"/>
                    </w:rPr>
                    <w:t>。</w:t>
                  </w:r>
                </w:p>
              </w:tc>
              <w:tc>
                <w:tcPr>
                  <w:tcW w:w="324" w:type="pct"/>
                  <w:vAlign w:val="center"/>
                </w:tcPr>
                <w:p w14:paraId="36DC4557">
                  <w:pPr>
                    <w:jc w:val="center"/>
                    <w:rPr>
                      <w:color w:val="auto"/>
                      <w:sz w:val="21"/>
                      <w:szCs w:val="21"/>
                    </w:rPr>
                  </w:pPr>
                  <w:r>
                    <w:rPr>
                      <w:rFonts w:hint="eastAsia"/>
                      <w:b w:val="0"/>
                      <w:bCs w:val="0"/>
                      <w:color w:val="auto"/>
                      <w:kern w:val="0"/>
                      <w:sz w:val="21"/>
                      <w:szCs w:val="21"/>
                      <w:lang w:val="en-US" w:eastAsia="zh-CN"/>
                    </w:rPr>
                    <w:t>不涉及</w:t>
                  </w:r>
                </w:p>
              </w:tc>
            </w:tr>
            <w:tr w14:paraId="55486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 w:type="pct"/>
                  <w:vMerge w:val="continue"/>
                  <w:vAlign w:val="center"/>
                </w:tcPr>
                <w:p w14:paraId="78306255">
                  <w:pPr>
                    <w:jc w:val="center"/>
                    <w:rPr>
                      <w:color w:val="auto"/>
                      <w:kern w:val="0"/>
                      <w:sz w:val="21"/>
                      <w:szCs w:val="21"/>
                    </w:rPr>
                  </w:pPr>
                </w:p>
              </w:tc>
              <w:tc>
                <w:tcPr>
                  <w:tcW w:w="317" w:type="pct"/>
                  <w:vMerge w:val="continue"/>
                  <w:vAlign w:val="center"/>
                </w:tcPr>
                <w:p w14:paraId="02627B13">
                  <w:pPr>
                    <w:jc w:val="center"/>
                    <w:rPr>
                      <w:color w:val="auto"/>
                      <w:sz w:val="21"/>
                      <w:szCs w:val="21"/>
                    </w:rPr>
                  </w:pPr>
                </w:p>
              </w:tc>
              <w:tc>
                <w:tcPr>
                  <w:tcW w:w="2478" w:type="pct"/>
                  <w:vAlign w:val="center"/>
                </w:tcPr>
                <w:p w14:paraId="0882A33B">
                  <w:pPr>
                    <w:jc w:val="both"/>
                    <w:rPr>
                      <w:color w:val="auto"/>
                      <w:sz w:val="21"/>
                      <w:szCs w:val="21"/>
                    </w:rPr>
                  </w:pPr>
                  <w:r>
                    <w:rPr>
                      <w:color w:val="auto"/>
                      <w:sz w:val="21"/>
                      <w:szCs w:val="21"/>
                    </w:rPr>
                    <w:t>港口、码头、装卸站和船舶修造厂应当备有足够的船舶污染物、废弃物的接收设施</w:t>
                  </w:r>
                  <w:r>
                    <w:rPr>
                      <w:rFonts w:hint="eastAsia"/>
                      <w:color w:val="auto"/>
                      <w:sz w:val="21"/>
                      <w:szCs w:val="21"/>
                      <w:lang w:eastAsia="zh-CN"/>
                    </w:rPr>
                    <w:t>：</w:t>
                  </w:r>
                  <w:r>
                    <w:rPr>
                      <w:color w:val="auto"/>
                      <w:sz w:val="21"/>
                      <w:szCs w:val="21"/>
                    </w:rPr>
                    <w:t>从事船舶污染物、废弃物接收作业，或者从事装载油类、污染危害性货物船舱清洗作业的单位，应当具备与其运营规模相适应的接收处理能力。</w:t>
                  </w:r>
                </w:p>
              </w:tc>
              <w:tc>
                <w:tcPr>
                  <w:tcW w:w="1554" w:type="pct"/>
                  <w:vAlign w:val="center"/>
                </w:tcPr>
                <w:p w14:paraId="66A24063">
                  <w:pPr>
                    <w:jc w:val="both"/>
                    <w:rPr>
                      <w:rFonts w:hint="eastAsia" w:eastAsia="宋体"/>
                      <w:color w:val="auto"/>
                      <w:sz w:val="21"/>
                      <w:szCs w:val="21"/>
                      <w:lang w:val="en-US" w:eastAsia="zh-CN"/>
                    </w:rPr>
                  </w:pPr>
                  <w:r>
                    <w:rPr>
                      <w:color w:val="auto"/>
                      <w:sz w:val="21"/>
                      <w:szCs w:val="21"/>
                    </w:rPr>
                    <w:t>本项目不</w:t>
                  </w:r>
                  <w:r>
                    <w:rPr>
                      <w:rFonts w:hint="eastAsia"/>
                      <w:color w:val="auto"/>
                      <w:sz w:val="21"/>
                      <w:szCs w:val="21"/>
                      <w:lang w:val="en-US" w:eastAsia="zh-CN"/>
                    </w:rPr>
                    <w:t>属于</w:t>
                  </w:r>
                  <w:r>
                    <w:rPr>
                      <w:color w:val="auto"/>
                      <w:sz w:val="21"/>
                      <w:szCs w:val="21"/>
                    </w:rPr>
                    <w:t>港口、码头</w:t>
                  </w:r>
                  <w:r>
                    <w:rPr>
                      <w:rFonts w:hint="eastAsia"/>
                      <w:color w:val="auto"/>
                      <w:sz w:val="21"/>
                      <w:szCs w:val="21"/>
                      <w:lang w:val="en-US" w:eastAsia="zh-CN"/>
                    </w:rPr>
                    <w:t>项目。</w:t>
                  </w:r>
                </w:p>
              </w:tc>
              <w:tc>
                <w:tcPr>
                  <w:tcW w:w="324" w:type="pct"/>
                  <w:vAlign w:val="center"/>
                </w:tcPr>
                <w:p w14:paraId="2475FC93">
                  <w:pPr>
                    <w:jc w:val="center"/>
                    <w:rPr>
                      <w:color w:val="auto"/>
                      <w:sz w:val="21"/>
                      <w:szCs w:val="21"/>
                    </w:rPr>
                  </w:pPr>
                  <w:r>
                    <w:rPr>
                      <w:rFonts w:hint="eastAsia"/>
                      <w:b w:val="0"/>
                      <w:bCs w:val="0"/>
                      <w:color w:val="auto"/>
                      <w:kern w:val="0"/>
                      <w:sz w:val="21"/>
                      <w:szCs w:val="21"/>
                      <w:lang w:val="en-US" w:eastAsia="zh-CN"/>
                    </w:rPr>
                    <w:t>不涉及</w:t>
                  </w:r>
                </w:p>
              </w:tc>
            </w:tr>
            <w:tr w14:paraId="72F42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 w:type="pct"/>
                  <w:vMerge w:val="continue"/>
                  <w:vAlign w:val="center"/>
                </w:tcPr>
                <w:p w14:paraId="6597D068">
                  <w:pPr>
                    <w:jc w:val="center"/>
                    <w:rPr>
                      <w:color w:val="auto"/>
                      <w:kern w:val="0"/>
                      <w:sz w:val="21"/>
                      <w:szCs w:val="21"/>
                    </w:rPr>
                  </w:pPr>
                </w:p>
              </w:tc>
              <w:tc>
                <w:tcPr>
                  <w:tcW w:w="317" w:type="pct"/>
                  <w:vMerge w:val="continue"/>
                  <w:vAlign w:val="center"/>
                </w:tcPr>
                <w:p w14:paraId="2B2D3F6F">
                  <w:pPr>
                    <w:jc w:val="center"/>
                    <w:rPr>
                      <w:color w:val="auto"/>
                      <w:sz w:val="21"/>
                      <w:szCs w:val="21"/>
                    </w:rPr>
                  </w:pPr>
                </w:p>
              </w:tc>
              <w:tc>
                <w:tcPr>
                  <w:tcW w:w="2478" w:type="pct"/>
                  <w:vAlign w:val="center"/>
                </w:tcPr>
                <w:p w14:paraId="31EF7649">
                  <w:pPr>
                    <w:jc w:val="both"/>
                    <w:rPr>
                      <w:color w:val="auto"/>
                      <w:sz w:val="21"/>
                      <w:szCs w:val="21"/>
                    </w:rPr>
                  </w:pPr>
                  <w:r>
                    <w:rPr>
                      <w:color w:val="auto"/>
                      <w:sz w:val="21"/>
                      <w:szCs w:val="21"/>
                    </w:rPr>
                    <w:t>位于城镇人口密集区内，安全、卫生防护距离不能满足相关要求和不符合规划的现有危险化学品生产企业限期退出或依法关停。</w:t>
                  </w:r>
                </w:p>
              </w:tc>
              <w:tc>
                <w:tcPr>
                  <w:tcW w:w="1554" w:type="pct"/>
                  <w:vAlign w:val="center"/>
                </w:tcPr>
                <w:p w14:paraId="0BA21956">
                  <w:pPr>
                    <w:jc w:val="both"/>
                    <w:rPr>
                      <w:rFonts w:hint="eastAsia" w:eastAsia="宋体"/>
                      <w:color w:val="auto"/>
                      <w:sz w:val="21"/>
                      <w:szCs w:val="21"/>
                      <w:lang w:val="en-US" w:eastAsia="zh-CN"/>
                    </w:rPr>
                  </w:pPr>
                  <w:r>
                    <w:rPr>
                      <w:color w:val="auto"/>
                      <w:sz w:val="21"/>
                      <w:szCs w:val="21"/>
                    </w:rPr>
                    <w:t>本项目</w:t>
                  </w:r>
                  <w:r>
                    <w:rPr>
                      <w:rFonts w:hint="eastAsia"/>
                      <w:color w:val="auto"/>
                      <w:sz w:val="21"/>
                      <w:szCs w:val="21"/>
                      <w:lang w:val="en-US" w:eastAsia="zh-CN"/>
                    </w:rPr>
                    <w:t>位于</w:t>
                  </w:r>
                  <w:r>
                    <w:rPr>
                      <w:rFonts w:ascii="Arial" w:hAnsi="Arial" w:eastAsia="Arial" w:cs="Arial"/>
                      <w:i w:val="0"/>
                      <w:iCs w:val="0"/>
                      <w:caps w:val="0"/>
                      <w:color w:val="FF0000"/>
                      <w:spacing w:val="0"/>
                      <w:sz w:val="21"/>
                      <w:szCs w:val="21"/>
                      <w:shd w:val="clear" w:fill="FFFFFF"/>
                    </w:rPr>
                    <w:t>江西省建筑陶瓷产业基地</w:t>
                  </w:r>
                  <w:r>
                    <w:rPr>
                      <w:rFonts w:hint="eastAsia" w:cs="Times New Roman"/>
                      <w:color w:val="FF0000"/>
                      <w:kern w:val="24"/>
                      <w:sz w:val="21"/>
                      <w:szCs w:val="21"/>
                      <w:lang w:val="en-US" w:eastAsia="zh-CN" w:bidi="ar"/>
                    </w:rPr>
                    <w:t>内</w:t>
                  </w:r>
                  <w:r>
                    <w:rPr>
                      <w:rFonts w:hint="eastAsia" w:cs="Times New Roman"/>
                      <w:color w:val="auto"/>
                      <w:kern w:val="24"/>
                      <w:sz w:val="21"/>
                      <w:szCs w:val="21"/>
                      <w:lang w:val="en-US" w:eastAsia="zh-CN" w:bidi="ar"/>
                    </w:rPr>
                    <w:t>，不属于</w:t>
                  </w:r>
                  <w:r>
                    <w:rPr>
                      <w:color w:val="auto"/>
                      <w:sz w:val="21"/>
                      <w:szCs w:val="21"/>
                    </w:rPr>
                    <w:t>城镇人口密集区内</w:t>
                  </w:r>
                  <w:r>
                    <w:rPr>
                      <w:rFonts w:hint="eastAsia"/>
                      <w:color w:val="auto"/>
                      <w:sz w:val="21"/>
                      <w:szCs w:val="21"/>
                      <w:lang w:eastAsia="zh-CN"/>
                    </w:rPr>
                    <w:t>。</w:t>
                  </w:r>
                </w:p>
              </w:tc>
              <w:tc>
                <w:tcPr>
                  <w:tcW w:w="324" w:type="pct"/>
                  <w:vAlign w:val="center"/>
                </w:tcPr>
                <w:p w14:paraId="26BEAFDC">
                  <w:pPr>
                    <w:jc w:val="center"/>
                    <w:rPr>
                      <w:rFonts w:hint="eastAsia" w:eastAsia="宋体"/>
                      <w:color w:val="auto"/>
                      <w:sz w:val="21"/>
                      <w:szCs w:val="21"/>
                      <w:lang w:val="en-US" w:eastAsia="zh-CN"/>
                    </w:rPr>
                  </w:pPr>
                  <w:r>
                    <w:rPr>
                      <w:rFonts w:hint="eastAsia"/>
                      <w:color w:val="auto"/>
                      <w:sz w:val="21"/>
                      <w:szCs w:val="21"/>
                      <w:lang w:val="en-US" w:eastAsia="zh-CN"/>
                    </w:rPr>
                    <w:t>不涉及</w:t>
                  </w:r>
                </w:p>
              </w:tc>
            </w:tr>
            <w:tr w14:paraId="7B3CA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 w:type="pct"/>
                  <w:vMerge w:val="continue"/>
                  <w:vAlign w:val="center"/>
                </w:tcPr>
                <w:p w14:paraId="38D5041B">
                  <w:pPr>
                    <w:jc w:val="center"/>
                    <w:rPr>
                      <w:color w:val="auto"/>
                      <w:kern w:val="0"/>
                      <w:sz w:val="21"/>
                      <w:szCs w:val="21"/>
                    </w:rPr>
                  </w:pPr>
                </w:p>
              </w:tc>
              <w:tc>
                <w:tcPr>
                  <w:tcW w:w="317" w:type="pct"/>
                  <w:vMerge w:val="continue"/>
                  <w:vAlign w:val="center"/>
                </w:tcPr>
                <w:p w14:paraId="7CC6DA0D">
                  <w:pPr>
                    <w:jc w:val="center"/>
                    <w:rPr>
                      <w:color w:val="auto"/>
                      <w:sz w:val="21"/>
                      <w:szCs w:val="21"/>
                    </w:rPr>
                  </w:pPr>
                </w:p>
              </w:tc>
              <w:tc>
                <w:tcPr>
                  <w:tcW w:w="2478" w:type="pct"/>
                  <w:vAlign w:val="center"/>
                </w:tcPr>
                <w:p w14:paraId="3E235728">
                  <w:pPr>
                    <w:jc w:val="both"/>
                    <w:rPr>
                      <w:color w:val="auto"/>
                      <w:sz w:val="21"/>
                      <w:szCs w:val="21"/>
                    </w:rPr>
                  </w:pPr>
                  <w:r>
                    <w:rPr>
                      <w:color w:val="auto"/>
                      <w:sz w:val="21"/>
                      <w:szCs w:val="21"/>
                    </w:rPr>
                    <w:t>禁止在长江干流岸线三公里范围内和重要支流岸线一公里范围内新建、改建、扩建尾矿库、冶炼渣库和磷石</w:t>
                  </w:r>
                  <w:r>
                    <w:rPr>
                      <w:rFonts w:hint="eastAsia"/>
                      <w:color w:val="auto"/>
                      <w:sz w:val="21"/>
                      <w:szCs w:val="21"/>
                      <w:lang w:val="en-US" w:eastAsia="zh-CN"/>
                    </w:rPr>
                    <w:t>尾矿</w:t>
                  </w:r>
                  <w:r>
                    <w:rPr>
                      <w:color w:val="auto"/>
                      <w:sz w:val="21"/>
                      <w:szCs w:val="21"/>
                    </w:rPr>
                    <w:t>库，以提升安全、生态环境保护水平为目的的改建除外。</w:t>
                  </w:r>
                </w:p>
              </w:tc>
              <w:tc>
                <w:tcPr>
                  <w:tcW w:w="1554" w:type="pct"/>
                  <w:vAlign w:val="center"/>
                </w:tcPr>
                <w:p w14:paraId="4323C709">
                  <w:pPr>
                    <w:jc w:val="both"/>
                    <w:rPr>
                      <w:rFonts w:hint="eastAsia" w:eastAsia="宋体"/>
                      <w:color w:val="auto"/>
                      <w:sz w:val="21"/>
                      <w:szCs w:val="21"/>
                      <w:lang w:val="en-US" w:eastAsia="zh-CN"/>
                    </w:rPr>
                  </w:pPr>
                  <w:r>
                    <w:rPr>
                      <w:rFonts w:hint="eastAsia"/>
                      <w:color w:val="auto"/>
                      <w:sz w:val="21"/>
                      <w:szCs w:val="21"/>
                      <w:lang w:val="en-US" w:eastAsia="zh-CN"/>
                    </w:rPr>
                    <w:t>本项目不属于</w:t>
                  </w:r>
                  <w:r>
                    <w:rPr>
                      <w:color w:val="auto"/>
                      <w:sz w:val="21"/>
                      <w:szCs w:val="21"/>
                    </w:rPr>
                    <w:t>尾矿库、冶炼渣库和磷石</w:t>
                  </w:r>
                  <w:r>
                    <w:rPr>
                      <w:rFonts w:hint="eastAsia"/>
                      <w:color w:val="auto"/>
                      <w:sz w:val="21"/>
                      <w:szCs w:val="21"/>
                      <w:lang w:val="en-US" w:eastAsia="zh-CN"/>
                    </w:rPr>
                    <w:t>尾矿</w:t>
                  </w:r>
                  <w:r>
                    <w:rPr>
                      <w:color w:val="auto"/>
                      <w:sz w:val="21"/>
                      <w:szCs w:val="21"/>
                    </w:rPr>
                    <w:t>库</w:t>
                  </w:r>
                  <w:r>
                    <w:rPr>
                      <w:rFonts w:hint="eastAsia"/>
                      <w:color w:val="auto"/>
                      <w:sz w:val="21"/>
                      <w:szCs w:val="21"/>
                      <w:lang w:val="en-US" w:eastAsia="zh-CN"/>
                    </w:rPr>
                    <w:t>项目。</w:t>
                  </w:r>
                </w:p>
              </w:tc>
              <w:tc>
                <w:tcPr>
                  <w:tcW w:w="324" w:type="pct"/>
                  <w:vAlign w:val="center"/>
                </w:tcPr>
                <w:p w14:paraId="5FD01AE9">
                  <w:pPr>
                    <w:jc w:val="center"/>
                    <w:rPr>
                      <w:color w:val="auto"/>
                      <w:sz w:val="21"/>
                      <w:szCs w:val="21"/>
                    </w:rPr>
                  </w:pPr>
                  <w:r>
                    <w:rPr>
                      <w:rFonts w:hint="eastAsia"/>
                      <w:b w:val="0"/>
                      <w:bCs w:val="0"/>
                      <w:color w:val="auto"/>
                      <w:kern w:val="0"/>
                      <w:sz w:val="21"/>
                      <w:szCs w:val="21"/>
                      <w:lang w:val="en-US" w:eastAsia="zh-CN"/>
                    </w:rPr>
                    <w:t>相符</w:t>
                  </w:r>
                </w:p>
              </w:tc>
            </w:tr>
            <w:tr w14:paraId="22611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 w:type="pct"/>
                  <w:vMerge w:val="continue"/>
                  <w:vAlign w:val="center"/>
                </w:tcPr>
                <w:p w14:paraId="7B236D76">
                  <w:pPr>
                    <w:jc w:val="center"/>
                    <w:rPr>
                      <w:color w:val="auto"/>
                      <w:kern w:val="0"/>
                      <w:sz w:val="21"/>
                      <w:szCs w:val="21"/>
                    </w:rPr>
                  </w:pPr>
                </w:p>
              </w:tc>
              <w:tc>
                <w:tcPr>
                  <w:tcW w:w="317" w:type="pct"/>
                  <w:vMerge w:val="restart"/>
                  <w:vAlign w:val="center"/>
                </w:tcPr>
                <w:p w14:paraId="4569449E">
                  <w:pPr>
                    <w:jc w:val="center"/>
                    <w:rPr>
                      <w:color w:val="auto"/>
                      <w:sz w:val="21"/>
                      <w:szCs w:val="21"/>
                    </w:rPr>
                  </w:pPr>
                  <w:r>
                    <w:rPr>
                      <w:color w:val="auto"/>
                      <w:sz w:val="21"/>
                      <w:szCs w:val="21"/>
                    </w:rPr>
                    <w:t>资源利用效率</w:t>
                  </w:r>
                </w:p>
              </w:tc>
              <w:tc>
                <w:tcPr>
                  <w:tcW w:w="2478" w:type="pct"/>
                  <w:vAlign w:val="center"/>
                </w:tcPr>
                <w:p w14:paraId="4617FE9C">
                  <w:pPr>
                    <w:jc w:val="both"/>
                    <w:rPr>
                      <w:color w:val="auto"/>
                      <w:sz w:val="21"/>
                      <w:szCs w:val="21"/>
                    </w:rPr>
                  </w:pPr>
                  <w:r>
                    <w:rPr>
                      <w:color w:val="auto"/>
                      <w:sz w:val="21"/>
                      <w:szCs w:val="21"/>
                    </w:rPr>
                    <w:t>对取用水总量已达到或超过控制指标的地区，暂停审批建设项目新增取水。对取用水总量接近控制指标的地区，限制审批建设项目新增取水。</w:t>
                  </w:r>
                </w:p>
              </w:tc>
              <w:tc>
                <w:tcPr>
                  <w:tcW w:w="1554" w:type="pct"/>
                  <w:vAlign w:val="center"/>
                </w:tcPr>
                <w:p w14:paraId="2AA75592">
                  <w:pPr>
                    <w:jc w:val="center"/>
                    <w:rPr>
                      <w:rFonts w:hint="eastAsia" w:eastAsia="宋体"/>
                      <w:color w:val="auto"/>
                      <w:sz w:val="21"/>
                      <w:szCs w:val="21"/>
                      <w:lang w:val="en-US" w:eastAsia="zh-CN"/>
                    </w:rPr>
                  </w:pPr>
                  <w:r>
                    <w:rPr>
                      <w:color w:val="auto"/>
                      <w:sz w:val="21"/>
                      <w:szCs w:val="21"/>
                    </w:rPr>
                    <w:t>项目</w:t>
                  </w:r>
                  <w:r>
                    <w:rPr>
                      <w:rFonts w:hint="eastAsia"/>
                      <w:color w:val="auto"/>
                      <w:sz w:val="21"/>
                      <w:szCs w:val="21"/>
                      <w:lang w:val="en-US" w:eastAsia="zh-CN"/>
                    </w:rPr>
                    <w:t>所在地</w:t>
                  </w:r>
                  <w:r>
                    <w:rPr>
                      <w:color w:val="auto"/>
                      <w:sz w:val="21"/>
                      <w:szCs w:val="21"/>
                    </w:rPr>
                    <w:t>取用水总量</w:t>
                  </w:r>
                  <w:r>
                    <w:rPr>
                      <w:rFonts w:hint="eastAsia"/>
                      <w:color w:val="auto"/>
                      <w:sz w:val="21"/>
                      <w:szCs w:val="21"/>
                      <w:lang w:val="en-US" w:eastAsia="zh-CN"/>
                    </w:rPr>
                    <w:t>未超过</w:t>
                  </w:r>
                  <w:r>
                    <w:rPr>
                      <w:color w:val="auto"/>
                      <w:sz w:val="21"/>
                      <w:szCs w:val="21"/>
                    </w:rPr>
                    <w:t>控制指标</w:t>
                  </w:r>
                </w:p>
              </w:tc>
              <w:tc>
                <w:tcPr>
                  <w:tcW w:w="324" w:type="pct"/>
                  <w:vAlign w:val="center"/>
                </w:tcPr>
                <w:p w14:paraId="6A7DEB87">
                  <w:pPr>
                    <w:jc w:val="center"/>
                    <w:rPr>
                      <w:color w:val="auto"/>
                      <w:sz w:val="21"/>
                      <w:szCs w:val="21"/>
                    </w:rPr>
                  </w:pPr>
                  <w:r>
                    <w:rPr>
                      <w:rFonts w:hint="eastAsia"/>
                      <w:b w:val="0"/>
                      <w:bCs w:val="0"/>
                      <w:color w:val="auto"/>
                      <w:kern w:val="0"/>
                      <w:sz w:val="21"/>
                      <w:szCs w:val="21"/>
                      <w:lang w:val="en-US" w:eastAsia="zh-CN"/>
                    </w:rPr>
                    <w:t>符合</w:t>
                  </w:r>
                </w:p>
              </w:tc>
            </w:tr>
            <w:tr w14:paraId="76B3E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 w:type="pct"/>
                  <w:vMerge w:val="continue"/>
                  <w:vAlign w:val="center"/>
                </w:tcPr>
                <w:p w14:paraId="7E97F7B6">
                  <w:pPr>
                    <w:jc w:val="center"/>
                    <w:rPr>
                      <w:color w:val="auto"/>
                      <w:kern w:val="0"/>
                      <w:sz w:val="21"/>
                      <w:szCs w:val="21"/>
                    </w:rPr>
                  </w:pPr>
                </w:p>
              </w:tc>
              <w:tc>
                <w:tcPr>
                  <w:tcW w:w="317" w:type="pct"/>
                  <w:vMerge w:val="continue"/>
                  <w:vAlign w:val="center"/>
                </w:tcPr>
                <w:p w14:paraId="124F6AB3">
                  <w:pPr>
                    <w:jc w:val="center"/>
                    <w:rPr>
                      <w:color w:val="auto"/>
                      <w:sz w:val="21"/>
                      <w:szCs w:val="21"/>
                    </w:rPr>
                  </w:pPr>
                </w:p>
              </w:tc>
              <w:tc>
                <w:tcPr>
                  <w:tcW w:w="2478" w:type="pct"/>
                  <w:vAlign w:val="center"/>
                </w:tcPr>
                <w:p w14:paraId="6B22F005">
                  <w:pPr>
                    <w:jc w:val="both"/>
                    <w:rPr>
                      <w:color w:val="auto"/>
                      <w:sz w:val="21"/>
                      <w:szCs w:val="21"/>
                    </w:rPr>
                  </w:pPr>
                  <w:r>
                    <w:rPr>
                      <w:color w:val="auto"/>
                      <w:sz w:val="21"/>
                      <w:szCs w:val="21"/>
                    </w:rPr>
                    <w:t>在禁燃区内，禁止新建、扩建燃用高污染燃料的项目和设施，已建成的应逐步改用天然气、电或者其他清洁能源</w:t>
                  </w:r>
                </w:p>
              </w:tc>
              <w:tc>
                <w:tcPr>
                  <w:tcW w:w="1554" w:type="pct"/>
                  <w:vAlign w:val="center"/>
                </w:tcPr>
                <w:p w14:paraId="69A0B440">
                  <w:pPr>
                    <w:jc w:val="center"/>
                    <w:rPr>
                      <w:rFonts w:hint="eastAsia" w:eastAsia="宋体"/>
                      <w:color w:val="auto"/>
                      <w:sz w:val="21"/>
                      <w:szCs w:val="21"/>
                      <w:lang w:eastAsia="zh-CN"/>
                    </w:rPr>
                  </w:pPr>
                  <w:r>
                    <w:rPr>
                      <w:color w:val="auto"/>
                      <w:sz w:val="21"/>
                      <w:szCs w:val="21"/>
                    </w:rPr>
                    <w:t>本项目不在禁燃区</w:t>
                  </w:r>
                </w:p>
              </w:tc>
              <w:tc>
                <w:tcPr>
                  <w:tcW w:w="324" w:type="pct"/>
                  <w:vAlign w:val="center"/>
                </w:tcPr>
                <w:p w14:paraId="056BB65D">
                  <w:pPr>
                    <w:jc w:val="center"/>
                    <w:rPr>
                      <w:color w:val="auto"/>
                      <w:sz w:val="21"/>
                      <w:szCs w:val="21"/>
                    </w:rPr>
                  </w:pPr>
                  <w:r>
                    <w:rPr>
                      <w:rFonts w:hint="eastAsia"/>
                      <w:b w:val="0"/>
                      <w:bCs w:val="0"/>
                      <w:color w:val="auto"/>
                      <w:kern w:val="0"/>
                      <w:sz w:val="21"/>
                      <w:szCs w:val="21"/>
                      <w:lang w:val="en-US" w:eastAsia="zh-CN"/>
                    </w:rPr>
                    <w:t>不涉及</w:t>
                  </w:r>
                </w:p>
              </w:tc>
            </w:tr>
          </w:tbl>
          <w:p w14:paraId="698C1BD8">
            <w:pPr>
              <w:widowControl/>
              <w:spacing w:line="360" w:lineRule="auto"/>
              <w:ind w:firstLine="480" w:firstLineChars="200"/>
              <w:jc w:val="both"/>
              <w:rPr>
                <w:color w:val="auto"/>
                <w:kern w:val="0"/>
                <w:sz w:val="24"/>
              </w:rPr>
            </w:pPr>
            <w:r>
              <w:rPr>
                <w:color w:val="auto"/>
                <w:kern w:val="0"/>
                <w:sz w:val="24"/>
              </w:rPr>
              <w:t>综上，本项目建设与《江西省生态环境厅关于公布江西省生态环境分区管控成果</w:t>
            </w:r>
            <w:r>
              <w:rPr>
                <w:rFonts w:hint="eastAsia"/>
                <w:color w:val="auto"/>
                <w:kern w:val="0"/>
                <w:sz w:val="24"/>
                <w:lang w:eastAsia="zh-CN"/>
              </w:rPr>
              <w:t>（</w:t>
            </w:r>
            <w:r>
              <w:rPr>
                <w:color w:val="auto"/>
                <w:kern w:val="0"/>
                <w:sz w:val="24"/>
              </w:rPr>
              <w:t>2023版</w:t>
            </w:r>
            <w:r>
              <w:rPr>
                <w:rFonts w:hint="eastAsia"/>
                <w:color w:val="auto"/>
                <w:kern w:val="0"/>
                <w:sz w:val="24"/>
                <w:lang w:eastAsia="zh-CN"/>
              </w:rPr>
              <w:t>）</w:t>
            </w:r>
            <w:r>
              <w:rPr>
                <w:color w:val="auto"/>
                <w:kern w:val="0"/>
                <w:sz w:val="24"/>
              </w:rPr>
              <w:t>的函》</w:t>
            </w:r>
            <w:r>
              <w:rPr>
                <w:rFonts w:hint="eastAsia"/>
                <w:color w:val="auto"/>
                <w:kern w:val="0"/>
                <w:sz w:val="24"/>
                <w:lang w:eastAsia="zh-CN"/>
              </w:rPr>
              <w:t>（</w:t>
            </w:r>
            <w:r>
              <w:rPr>
                <w:color w:val="auto"/>
                <w:kern w:val="0"/>
                <w:sz w:val="24"/>
              </w:rPr>
              <w:t>赣环环评函</w:t>
            </w:r>
            <w:r>
              <w:rPr>
                <w:rFonts w:hint="eastAsia"/>
                <w:color w:val="auto"/>
                <w:kern w:val="0"/>
                <w:sz w:val="24"/>
                <w:lang w:eastAsia="zh-CN"/>
              </w:rPr>
              <w:t>（</w:t>
            </w:r>
            <w:r>
              <w:rPr>
                <w:color w:val="auto"/>
                <w:kern w:val="0"/>
                <w:sz w:val="24"/>
              </w:rPr>
              <w:t>2024</w:t>
            </w:r>
            <w:r>
              <w:rPr>
                <w:rFonts w:hint="eastAsia"/>
                <w:color w:val="auto"/>
                <w:kern w:val="0"/>
                <w:sz w:val="24"/>
                <w:lang w:eastAsia="zh-CN"/>
              </w:rPr>
              <w:t>）</w:t>
            </w:r>
            <w:r>
              <w:rPr>
                <w:color w:val="auto"/>
                <w:kern w:val="0"/>
                <w:sz w:val="24"/>
              </w:rPr>
              <w:t>87号</w:t>
            </w:r>
            <w:r>
              <w:rPr>
                <w:rFonts w:hint="eastAsia"/>
                <w:color w:val="auto"/>
                <w:kern w:val="0"/>
                <w:sz w:val="24"/>
                <w:lang w:eastAsia="zh-CN"/>
              </w:rPr>
              <w:t>）</w:t>
            </w:r>
            <w:r>
              <w:rPr>
                <w:color w:val="auto"/>
                <w:kern w:val="0"/>
                <w:sz w:val="24"/>
              </w:rPr>
              <w:t>相符。</w:t>
            </w:r>
          </w:p>
          <w:p w14:paraId="3A52E922">
            <w:pPr>
              <w:pStyle w:val="69"/>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eastAsia="宋体"/>
                <w:b w:val="0"/>
                <w:bCs/>
                <w:color w:val="auto"/>
                <w:kern w:val="0"/>
                <w:sz w:val="24"/>
                <w:lang w:eastAsia="zh-CN"/>
              </w:rPr>
            </w:pPr>
            <w:r>
              <w:rPr>
                <w:rFonts w:hint="eastAsia"/>
                <w:b w:val="0"/>
                <w:bCs/>
                <w:color w:val="auto"/>
                <w:kern w:val="0"/>
                <w:sz w:val="24"/>
                <w:lang w:val="en-US" w:eastAsia="zh-CN"/>
              </w:rPr>
              <w:t>根据《</w:t>
            </w:r>
            <w:r>
              <w:rPr>
                <w:b w:val="0"/>
                <w:bCs/>
                <w:color w:val="auto"/>
                <w:kern w:val="0"/>
                <w:sz w:val="24"/>
              </w:rPr>
              <w:t>宜春市人民政府办公室关于公布宜春市生态环境分区管控成果</w:t>
            </w:r>
            <w:r>
              <w:rPr>
                <w:rFonts w:hint="eastAsia"/>
                <w:b w:val="0"/>
                <w:bCs/>
                <w:color w:val="auto"/>
                <w:kern w:val="0"/>
                <w:sz w:val="24"/>
                <w:lang w:eastAsia="zh-CN"/>
              </w:rPr>
              <w:t>（</w:t>
            </w:r>
            <w:r>
              <w:rPr>
                <w:b w:val="0"/>
                <w:bCs/>
                <w:color w:val="auto"/>
                <w:kern w:val="0"/>
                <w:sz w:val="24"/>
              </w:rPr>
              <w:t>2023版</w:t>
            </w:r>
            <w:r>
              <w:rPr>
                <w:rFonts w:hint="eastAsia"/>
                <w:b w:val="0"/>
                <w:bCs/>
                <w:color w:val="auto"/>
                <w:kern w:val="0"/>
                <w:sz w:val="24"/>
                <w:lang w:eastAsia="zh-CN"/>
              </w:rPr>
              <w:t>）</w:t>
            </w:r>
            <w:r>
              <w:rPr>
                <w:b w:val="0"/>
                <w:bCs/>
                <w:color w:val="auto"/>
                <w:kern w:val="0"/>
                <w:sz w:val="24"/>
              </w:rPr>
              <w:t>的通知</w:t>
            </w:r>
            <w:r>
              <w:rPr>
                <w:rFonts w:hint="eastAsia"/>
                <w:b w:val="0"/>
                <w:bCs/>
                <w:color w:val="auto"/>
                <w:kern w:val="0"/>
                <w:sz w:val="24"/>
                <w:lang w:val="en-US" w:eastAsia="zh-CN"/>
              </w:rPr>
              <w:t>》</w:t>
            </w:r>
            <w:r>
              <w:rPr>
                <w:rFonts w:hint="eastAsia"/>
                <w:b w:val="0"/>
                <w:bCs/>
                <w:color w:val="auto"/>
                <w:kern w:val="0"/>
                <w:sz w:val="24"/>
                <w:lang w:eastAsia="zh-CN"/>
              </w:rPr>
              <w:t>（</w:t>
            </w:r>
            <w:r>
              <w:rPr>
                <w:b w:val="0"/>
                <w:bCs/>
                <w:color w:val="auto"/>
                <w:kern w:val="0"/>
                <w:sz w:val="24"/>
              </w:rPr>
              <w:t>宜府办发</w:t>
            </w:r>
            <w:r>
              <w:rPr>
                <w:rFonts w:hint="eastAsia"/>
                <w:b w:val="0"/>
                <w:bCs/>
                <w:color w:val="auto"/>
                <w:kern w:val="0"/>
                <w:sz w:val="24"/>
                <w:lang w:eastAsia="zh-CN"/>
              </w:rPr>
              <w:t>（</w:t>
            </w:r>
            <w:r>
              <w:rPr>
                <w:b w:val="0"/>
                <w:bCs/>
                <w:color w:val="auto"/>
                <w:kern w:val="0"/>
                <w:sz w:val="24"/>
              </w:rPr>
              <w:t>2024</w:t>
            </w:r>
            <w:r>
              <w:rPr>
                <w:rFonts w:hint="eastAsia"/>
                <w:b w:val="0"/>
                <w:bCs/>
                <w:color w:val="auto"/>
                <w:kern w:val="0"/>
                <w:sz w:val="24"/>
                <w:lang w:eastAsia="zh-CN"/>
              </w:rPr>
              <w:t>）</w:t>
            </w:r>
            <w:r>
              <w:rPr>
                <w:b w:val="0"/>
                <w:bCs/>
                <w:color w:val="auto"/>
                <w:kern w:val="0"/>
                <w:sz w:val="24"/>
              </w:rPr>
              <w:t>9号</w:t>
            </w:r>
            <w:r>
              <w:rPr>
                <w:rFonts w:hint="eastAsia"/>
                <w:b w:val="0"/>
                <w:bCs/>
                <w:color w:val="auto"/>
                <w:kern w:val="0"/>
                <w:sz w:val="24"/>
                <w:lang w:eastAsia="zh-CN"/>
              </w:rPr>
              <w:t>）：全市共划定环境管控单元98个，分为优先保护单元、重点管控单元、一般管控单元三类，其中优先保护单元23个，重点管控单元54个，般管控单元 21个。</w:t>
            </w:r>
          </w:p>
          <w:p w14:paraId="02A99D2A">
            <w:pPr>
              <w:pStyle w:val="69"/>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b w:val="0"/>
                <w:bCs/>
                <w:color w:val="auto"/>
                <w:kern w:val="0"/>
                <w:sz w:val="24"/>
                <w:lang w:eastAsia="zh-CN"/>
              </w:rPr>
            </w:pPr>
            <w:r>
              <w:rPr>
                <w:rFonts w:hint="eastAsia"/>
                <w:b w:val="0"/>
                <w:bCs/>
                <w:color w:val="auto"/>
                <w:kern w:val="0"/>
                <w:sz w:val="24"/>
              </w:rPr>
              <w:t>根据</w:t>
            </w:r>
            <w:r>
              <w:rPr>
                <w:rFonts w:hint="eastAsia"/>
                <w:b w:val="0"/>
                <w:bCs/>
                <w:color w:val="auto"/>
                <w:kern w:val="0"/>
                <w:sz w:val="24"/>
                <w:lang w:val="en-US" w:eastAsia="zh-CN"/>
              </w:rPr>
              <w:t>《</w:t>
            </w:r>
            <w:r>
              <w:rPr>
                <w:b w:val="0"/>
                <w:bCs/>
                <w:color w:val="auto"/>
                <w:kern w:val="0"/>
                <w:sz w:val="24"/>
              </w:rPr>
              <w:t>宜春市人民政府办公室关于公布宜春市生态环境分区管控成果</w:t>
            </w:r>
            <w:r>
              <w:rPr>
                <w:rFonts w:hint="eastAsia"/>
                <w:b w:val="0"/>
                <w:bCs/>
                <w:color w:val="auto"/>
                <w:kern w:val="0"/>
                <w:sz w:val="24"/>
                <w:lang w:eastAsia="zh-CN"/>
              </w:rPr>
              <w:t>（</w:t>
            </w:r>
            <w:r>
              <w:rPr>
                <w:b w:val="0"/>
                <w:bCs/>
                <w:color w:val="auto"/>
                <w:kern w:val="0"/>
                <w:sz w:val="24"/>
              </w:rPr>
              <w:t>2023版</w:t>
            </w:r>
            <w:r>
              <w:rPr>
                <w:rFonts w:hint="eastAsia"/>
                <w:b w:val="0"/>
                <w:bCs/>
                <w:color w:val="auto"/>
                <w:kern w:val="0"/>
                <w:sz w:val="24"/>
                <w:lang w:eastAsia="zh-CN"/>
              </w:rPr>
              <w:t>）</w:t>
            </w:r>
            <w:r>
              <w:rPr>
                <w:b w:val="0"/>
                <w:bCs/>
                <w:color w:val="auto"/>
                <w:kern w:val="0"/>
                <w:sz w:val="24"/>
              </w:rPr>
              <w:t>的通知</w:t>
            </w:r>
            <w:r>
              <w:rPr>
                <w:rFonts w:hint="eastAsia"/>
                <w:b w:val="0"/>
                <w:bCs/>
                <w:color w:val="auto"/>
                <w:kern w:val="0"/>
                <w:sz w:val="24"/>
                <w:lang w:val="en-US" w:eastAsia="zh-CN"/>
              </w:rPr>
              <w:t>》</w:t>
            </w:r>
            <w:r>
              <w:rPr>
                <w:rFonts w:hint="eastAsia"/>
                <w:b w:val="0"/>
                <w:bCs/>
                <w:color w:val="auto"/>
                <w:kern w:val="0"/>
                <w:sz w:val="24"/>
                <w:lang w:eastAsia="zh-CN"/>
              </w:rPr>
              <w:t>（</w:t>
            </w:r>
            <w:r>
              <w:rPr>
                <w:b w:val="0"/>
                <w:bCs/>
                <w:color w:val="auto"/>
                <w:kern w:val="0"/>
                <w:sz w:val="24"/>
              </w:rPr>
              <w:t>宜府办发</w:t>
            </w:r>
            <w:r>
              <w:rPr>
                <w:rFonts w:hint="eastAsia"/>
                <w:b w:val="0"/>
                <w:bCs/>
                <w:color w:val="auto"/>
                <w:kern w:val="0"/>
                <w:sz w:val="24"/>
                <w:lang w:eastAsia="zh-CN"/>
              </w:rPr>
              <w:t>（</w:t>
            </w:r>
            <w:r>
              <w:rPr>
                <w:b w:val="0"/>
                <w:bCs/>
                <w:color w:val="auto"/>
                <w:kern w:val="0"/>
                <w:sz w:val="24"/>
              </w:rPr>
              <w:t>2024</w:t>
            </w:r>
            <w:r>
              <w:rPr>
                <w:rFonts w:hint="eastAsia"/>
                <w:b w:val="0"/>
                <w:bCs/>
                <w:color w:val="auto"/>
                <w:kern w:val="0"/>
                <w:sz w:val="24"/>
                <w:lang w:eastAsia="zh-CN"/>
              </w:rPr>
              <w:t>）</w:t>
            </w:r>
            <w:r>
              <w:rPr>
                <w:b w:val="0"/>
                <w:bCs/>
                <w:color w:val="auto"/>
                <w:kern w:val="0"/>
                <w:sz w:val="24"/>
              </w:rPr>
              <w:t>9号</w:t>
            </w:r>
            <w:r>
              <w:rPr>
                <w:rFonts w:hint="eastAsia"/>
                <w:b w:val="0"/>
                <w:bCs/>
                <w:color w:val="auto"/>
                <w:kern w:val="0"/>
                <w:sz w:val="24"/>
                <w:lang w:eastAsia="zh-CN"/>
              </w:rPr>
              <w:t>）</w:t>
            </w:r>
            <w:r>
              <w:rPr>
                <w:rFonts w:hint="eastAsia"/>
                <w:b w:val="0"/>
                <w:bCs/>
                <w:color w:val="auto"/>
                <w:kern w:val="0"/>
                <w:sz w:val="24"/>
              </w:rPr>
              <w:t>，本项目位于</w:t>
            </w:r>
            <w:r>
              <w:rPr>
                <w:rFonts w:hint="default"/>
                <w:b w:val="0"/>
                <w:bCs/>
                <w:color w:val="auto"/>
                <w:kern w:val="0"/>
                <w:sz w:val="24"/>
              </w:rPr>
              <w:t>江西省宜春市高安市八景镇江西高安大北农饲料有限公司</w:t>
            </w:r>
            <w:r>
              <w:rPr>
                <w:rFonts w:hint="eastAsia"/>
                <w:b w:val="0"/>
                <w:bCs/>
                <w:color w:val="auto"/>
                <w:kern w:val="0"/>
                <w:sz w:val="24"/>
                <w:lang w:val="en-US" w:eastAsia="zh-CN"/>
              </w:rPr>
              <w:t>内</w:t>
            </w:r>
            <w:r>
              <w:rPr>
                <w:rFonts w:hint="eastAsia"/>
                <w:b w:val="0"/>
                <w:bCs/>
                <w:color w:val="auto"/>
                <w:kern w:val="0"/>
                <w:sz w:val="24"/>
              </w:rPr>
              <w:t>，属于江西省宜春市高安市重点管控单元5，环境管控单元编码为ZH36098320005</w:t>
            </w:r>
            <w:r>
              <w:rPr>
                <w:rFonts w:hint="eastAsia"/>
                <w:b w:val="0"/>
                <w:bCs/>
                <w:color w:val="auto"/>
                <w:kern w:val="0"/>
                <w:sz w:val="24"/>
                <w:lang w:eastAsia="zh-CN"/>
              </w:rPr>
              <w:t>。</w:t>
            </w:r>
          </w:p>
          <w:p w14:paraId="34AA84A2">
            <w:pPr>
              <w:pStyle w:val="69"/>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b w:val="0"/>
                <w:bCs/>
                <w:color w:val="auto"/>
                <w:kern w:val="0"/>
                <w:sz w:val="24"/>
                <w:lang w:val="en-US" w:eastAsia="zh-CN"/>
              </w:rPr>
            </w:pPr>
            <w:r>
              <w:rPr>
                <w:rFonts w:hint="eastAsia"/>
                <w:b w:val="0"/>
                <w:bCs/>
                <w:color w:val="auto"/>
                <w:kern w:val="0"/>
                <w:sz w:val="24"/>
                <w:lang w:eastAsia="zh-CN"/>
              </w:rPr>
              <w:t>宜春市生态环境总体管控清单从空间约束、污染物排放管控、环境风险防控和资源利用效率等4个维度提出准入要求，适用全市范围。</w:t>
            </w:r>
            <w:r>
              <w:rPr>
                <w:rFonts w:hint="eastAsia"/>
                <w:b w:val="0"/>
                <w:bCs/>
                <w:color w:val="auto"/>
                <w:kern w:val="0"/>
                <w:sz w:val="24"/>
                <w:lang w:val="en-US" w:eastAsia="zh-CN"/>
              </w:rPr>
              <w:t>项目与</w:t>
            </w:r>
            <w:r>
              <w:rPr>
                <w:rFonts w:hint="eastAsia"/>
                <w:b w:val="0"/>
                <w:bCs/>
                <w:color w:val="auto"/>
                <w:kern w:val="0"/>
                <w:sz w:val="24"/>
                <w:lang w:eastAsia="zh-CN"/>
              </w:rPr>
              <w:t>宜春市</w:t>
            </w:r>
            <w:r>
              <w:rPr>
                <w:rFonts w:hint="eastAsia"/>
                <w:b w:val="0"/>
                <w:bCs/>
                <w:color w:val="auto"/>
                <w:kern w:val="0"/>
                <w:sz w:val="24"/>
                <w:lang w:val="en-US" w:eastAsia="zh-CN"/>
              </w:rPr>
              <w:t>生</w:t>
            </w:r>
            <w:r>
              <w:rPr>
                <w:rFonts w:hint="eastAsia"/>
                <w:b w:val="0"/>
                <w:bCs/>
                <w:color w:val="auto"/>
                <w:kern w:val="0"/>
                <w:sz w:val="24"/>
                <w:lang w:eastAsia="zh-CN"/>
              </w:rPr>
              <w:t>态环境管控总体准入要求相符性分析见表1-</w:t>
            </w:r>
            <w:r>
              <w:rPr>
                <w:rFonts w:hint="eastAsia"/>
                <w:b w:val="0"/>
                <w:bCs/>
                <w:color w:val="auto"/>
                <w:kern w:val="0"/>
                <w:sz w:val="24"/>
                <w:lang w:val="en-US" w:eastAsia="zh-CN"/>
              </w:rPr>
              <w:t>4</w:t>
            </w:r>
          </w:p>
          <w:p w14:paraId="1D325752">
            <w:pPr>
              <w:pStyle w:val="69"/>
              <w:jc w:val="center"/>
              <w:rPr>
                <w:rFonts w:hint="default" w:ascii="Times New Roman" w:hAnsi="Times New Roman" w:eastAsia="宋体" w:cs="Times New Roman"/>
                <w:b/>
                <w:bCs/>
                <w:color w:val="000000" w:themeColor="text1"/>
                <w:kern w:val="2"/>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表1-</w:t>
            </w:r>
            <w:r>
              <w:rPr>
                <w:rFonts w:hint="eastAsia" w:cs="Times New Roman"/>
                <w:color w:val="FF0000"/>
                <w:kern w:val="2"/>
                <w:sz w:val="24"/>
                <w:szCs w:val="24"/>
                <w:lang w:val="en-US" w:eastAsia="zh-CN"/>
              </w:rPr>
              <w:t>4</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 xml:space="preserve"> 项目与宜春市生态环境管控总体准入要求相符性</w:t>
            </w:r>
          </w:p>
          <w:tbl>
            <w:tblPr>
              <w:tblStyle w:val="27"/>
              <w:tblW w:w="4984"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51"/>
              <w:gridCol w:w="737"/>
              <w:gridCol w:w="3313"/>
              <w:gridCol w:w="2697"/>
              <w:gridCol w:w="644"/>
            </w:tblGrid>
            <w:tr w14:paraId="21CACB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blHeader/>
                <w:jc w:val="center"/>
              </w:trPr>
              <w:tc>
                <w:tcPr>
                  <w:tcW w:w="224" w:type="pct"/>
                  <w:tcBorders>
                    <w:top w:val="single" w:color="000000" w:sz="12" w:space="0"/>
                    <w:left w:val="nil"/>
                  </w:tcBorders>
                  <w:vAlign w:val="center"/>
                </w:tcPr>
                <w:p w14:paraId="1C2E1539">
                  <w:pPr>
                    <w:autoSpaceDE w:val="0"/>
                    <w:autoSpaceDN w:val="0"/>
                    <w:adjustRightInd w:val="0"/>
                    <w:jc w:val="center"/>
                    <w:textAlignment w:val="baseline"/>
                    <w:rPr>
                      <w:color w:val="000000" w:themeColor="text1"/>
                      <w:szCs w:val="21"/>
                      <w14:textFill>
                        <w14:solidFill>
                          <w14:schemeClr w14:val="tx1"/>
                        </w14:solidFill>
                      </w14:textFill>
                    </w:rPr>
                  </w:pPr>
                  <w:r>
                    <w:rPr>
                      <w:bCs/>
                      <w:color w:val="000000" w:themeColor="text1"/>
                      <w:szCs w:val="21"/>
                      <w14:textFill>
                        <w14:solidFill>
                          <w14:schemeClr w14:val="tx1"/>
                        </w14:solidFill>
                      </w14:textFill>
                    </w:rPr>
                    <w:t>维度</w:t>
                  </w:r>
                </w:p>
              </w:tc>
              <w:tc>
                <w:tcPr>
                  <w:tcW w:w="476" w:type="pct"/>
                  <w:tcBorders>
                    <w:top w:val="single" w:color="000000" w:sz="12" w:space="0"/>
                  </w:tcBorders>
                  <w:vAlign w:val="center"/>
                </w:tcPr>
                <w:p w14:paraId="67CB14C9">
                  <w:pPr>
                    <w:autoSpaceDE w:val="0"/>
                    <w:autoSpaceDN w:val="0"/>
                    <w:adjustRightInd w:val="0"/>
                    <w:jc w:val="center"/>
                    <w:textAlignment w:val="baseline"/>
                    <w:rPr>
                      <w:color w:val="000000" w:themeColor="text1"/>
                      <w:szCs w:val="21"/>
                      <w14:textFill>
                        <w14:solidFill>
                          <w14:schemeClr w14:val="tx1"/>
                        </w14:solidFill>
                      </w14:textFill>
                    </w:rPr>
                  </w:pPr>
                  <w:r>
                    <w:rPr>
                      <w:bCs/>
                      <w:color w:val="000000" w:themeColor="text1"/>
                      <w:szCs w:val="21"/>
                      <w14:textFill>
                        <w14:solidFill>
                          <w14:schemeClr w14:val="tx1"/>
                        </w14:solidFill>
                      </w14:textFill>
                    </w:rPr>
                    <w:t>清单编制要求</w:t>
                  </w:r>
                </w:p>
              </w:tc>
              <w:tc>
                <w:tcPr>
                  <w:tcW w:w="2138" w:type="pct"/>
                  <w:tcBorders>
                    <w:top w:val="single" w:color="000000" w:sz="12" w:space="0"/>
                  </w:tcBorders>
                  <w:vAlign w:val="center"/>
                </w:tcPr>
                <w:p w14:paraId="06B3C279">
                  <w:pPr>
                    <w:autoSpaceDE w:val="0"/>
                    <w:autoSpaceDN w:val="0"/>
                    <w:adjustRightIn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管控要求</w:t>
                  </w:r>
                </w:p>
              </w:tc>
              <w:tc>
                <w:tcPr>
                  <w:tcW w:w="1741" w:type="pct"/>
                  <w:tcBorders>
                    <w:top w:val="single" w:color="000000" w:sz="12" w:space="0"/>
                    <w:right w:val="nil"/>
                  </w:tcBorders>
                  <w:vAlign w:val="center"/>
                </w:tcPr>
                <w:p w14:paraId="793A056C">
                  <w:pPr>
                    <w:autoSpaceDE w:val="0"/>
                    <w:autoSpaceDN w:val="0"/>
                    <w:adjustRightInd w:val="0"/>
                    <w:jc w:val="center"/>
                    <w:textAlignment w:val="baseline"/>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本</w:t>
                  </w:r>
                  <w:r>
                    <w:rPr>
                      <w:color w:val="000000" w:themeColor="text1"/>
                      <w:szCs w:val="21"/>
                      <w14:textFill>
                        <w14:solidFill>
                          <w14:schemeClr w14:val="tx1"/>
                        </w14:solidFill>
                      </w14:textFill>
                    </w:rPr>
                    <w:t>项目情况</w:t>
                  </w:r>
                </w:p>
              </w:tc>
              <w:tc>
                <w:tcPr>
                  <w:tcW w:w="417" w:type="pct"/>
                  <w:tcBorders>
                    <w:top w:val="single" w:color="000000" w:sz="12" w:space="0"/>
                    <w:right w:val="nil"/>
                  </w:tcBorders>
                  <w:vAlign w:val="center"/>
                </w:tcPr>
                <w:p w14:paraId="648C5E2D">
                  <w:pPr>
                    <w:autoSpaceDE w:val="0"/>
                    <w:autoSpaceDN w:val="0"/>
                    <w:adjustRightInd w:val="0"/>
                    <w:jc w:val="center"/>
                    <w:textAlignment w:val="baseline"/>
                    <w:rPr>
                      <w:color w:val="000000" w:themeColor="text1"/>
                      <w:szCs w:val="21"/>
                      <w14:textFill>
                        <w14:solidFill>
                          <w14:schemeClr w14:val="tx1"/>
                        </w14:solidFill>
                      </w14:textFill>
                    </w:rPr>
                  </w:pPr>
                  <w:r>
                    <w:rPr>
                      <w:bCs/>
                      <w:color w:val="000000" w:themeColor="text1"/>
                      <w:szCs w:val="21"/>
                      <w14:textFill>
                        <w14:solidFill>
                          <w14:schemeClr w14:val="tx1"/>
                        </w14:solidFill>
                      </w14:textFill>
                    </w:rPr>
                    <w:t>相符性</w:t>
                  </w:r>
                </w:p>
              </w:tc>
            </w:tr>
            <w:tr w14:paraId="230C1F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jc w:val="center"/>
              </w:trPr>
              <w:tc>
                <w:tcPr>
                  <w:tcW w:w="224" w:type="pct"/>
                  <w:vMerge w:val="restart"/>
                  <w:tcBorders>
                    <w:left w:val="nil"/>
                  </w:tcBorders>
                  <w:vAlign w:val="center"/>
                </w:tcPr>
                <w:p w14:paraId="6EDC9B54">
                  <w:pPr>
                    <w:autoSpaceDE w:val="0"/>
                    <w:autoSpaceDN w:val="0"/>
                    <w:adjustRightInd w:val="0"/>
                    <w:jc w:val="center"/>
                    <w:textAlignment w:val="baseline"/>
                    <w:rPr>
                      <w:color w:val="000000" w:themeColor="text1"/>
                      <w:szCs w:val="21"/>
                      <w14:textFill>
                        <w14:solidFill>
                          <w14:schemeClr w14:val="tx1"/>
                        </w14:solidFill>
                      </w14:textFill>
                    </w:rPr>
                  </w:pPr>
                  <w:r>
                    <w:rPr>
                      <w:bCs/>
                      <w:color w:val="000000" w:themeColor="text1"/>
                      <w:szCs w:val="21"/>
                      <w14:textFill>
                        <w14:solidFill>
                          <w14:schemeClr w14:val="tx1"/>
                        </w14:solidFill>
                      </w14:textFill>
                    </w:rPr>
                    <w:t>空间布局约束</w:t>
                  </w:r>
                </w:p>
              </w:tc>
              <w:tc>
                <w:tcPr>
                  <w:tcW w:w="476" w:type="pct"/>
                  <w:vMerge w:val="restart"/>
                  <w:vAlign w:val="center"/>
                </w:tcPr>
                <w:p w14:paraId="1E2B718C">
                  <w:pPr>
                    <w:autoSpaceDE w:val="0"/>
                    <w:autoSpaceDN w:val="0"/>
                    <w:adjustRightIn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限制开发建设活动的要求</w:t>
                  </w:r>
                </w:p>
              </w:tc>
              <w:tc>
                <w:tcPr>
                  <w:tcW w:w="2138" w:type="pct"/>
                  <w:vAlign w:val="center"/>
                </w:tcPr>
                <w:p w14:paraId="4418210D">
                  <w:pPr>
                    <w:autoSpaceDE w:val="0"/>
                    <w:autoSpaceDN w:val="0"/>
                    <w:adjustRightInd w:val="0"/>
                    <w:jc w:val="both"/>
                    <w:textAlignment w:val="baseline"/>
                    <w:rPr>
                      <w:rFonts w:hint="eastAsia" w:eastAsia="宋体"/>
                      <w:color w:val="000000" w:themeColor="text1"/>
                      <w:szCs w:val="21"/>
                      <w:lang w:eastAsia="zh-CN"/>
                      <w14:textFill>
                        <w14:solidFill>
                          <w14:schemeClr w14:val="tx1"/>
                        </w14:solidFill>
                      </w14:textFill>
                    </w:rPr>
                  </w:pPr>
                  <w:r>
                    <w:rPr>
                      <w:color w:val="000000" w:themeColor="text1"/>
                      <w:szCs w:val="21"/>
                      <w14:textFill>
                        <w14:solidFill>
                          <w14:schemeClr w14:val="tx1"/>
                        </w14:solidFill>
                      </w14:textFill>
                    </w:rPr>
                    <w:t>不得在城镇居民聚集区域、规划区，主导风上风向，以石脑镇中心为界线，向外延伸5公里，新建化工（单纯混合、复配除外）、农药（原药生产）、钢铁、焦化、水泥（熟料）、有色金属冶炼等大气污染型项目</w:t>
                  </w:r>
                  <w:r>
                    <w:rPr>
                      <w:rFonts w:hint="eastAsia"/>
                      <w:color w:val="000000" w:themeColor="text1"/>
                      <w:szCs w:val="21"/>
                      <w:lang w:eastAsia="zh-CN"/>
                      <w14:textFill>
                        <w14:solidFill>
                          <w14:schemeClr w14:val="tx1"/>
                        </w14:solidFill>
                      </w14:textFill>
                    </w:rPr>
                    <w:t>。</w:t>
                  </w:r>
                </w:p>
              </w:tc>
              <w:tc>
                <w:tcPr>
                  <w:tcW w:w="1741" w:type="pct"/>
                  <w:tcBorders>
                    <w:right w:val="nil"/>
                  </w:tcBorders>
                  <w:vAlign w:val="center"/>
                </w:tcPr>
                <w:p w14:paraId="5183C66C">
                  <w:pPr>
                    <w:autoSpaceDE w:val="0"/>
                    <w:autoSpaceDN w:val="0"/>
                    <w:adjustRightInd w:val="0"/>
                    <w:jc w:val="both"/>
                    <w:textAlignment w:val="baseline"/>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本项目</w:t>
                  </w:r>
                  <w:r>
                    <w:rPr>
                      <w:color w:val="000000" w:themeColor="text1"/>
                      <w:szCs w:val="21"/>
                      <w14:textFill>
                        <w14:solidFill>
                          <w14:schemeClr w14:val="tx1"/>
                        </w14:solidFill>
                      </w14:textFill>
                    </w:rPr>
                    <w:t>不属于化工、农药、钢铁、焦化、水泥、有色金属冶炼等大气污染型项目。</w:t>
                  </w:r>
                </w:p>
              </w:tc>
              <w:tc>
                <w:tcPr>
                  <w:tcW w:w="417" w:type="pct"/>
                  <w:tcBorders>
                    <w:right w:val="nil"/>
                  </w:tcBorders>
                  <w:vAlign w:val="center"/>
                </w:tcPr>
                <w:p w14:paraId="58D6842A">
                  <w:pPr>
                    <w:autoSpaceDE w:val="0"/>
                    <w:autoSpaceDN w:val="0"/>
                    <w:adjustRightInd w:val="0"/>
                    <w:jc w:val="center"/>
                    <w:textAlignment w:val="baseline"/>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不涉及</w:t>
                  </w:r>
                </w:p>
              </w:tc>
            </w:tr>
            <w:tr w14:paraId="54E21F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24" w:type="pct"/>
                  <w:vMerge w:val="continue"/>
                  <w:tcBorders>
                    <w:left w:val="nil"/>
                  </w:tcBorders>
                  <w:vAlign w:val="center"/>
                </w:tcPr>
                <w:p w14:paraId="7AC7A063">
                  <w:pPr>
                    <w:autoSpaceDE w:val="0"/>
                    <w:autoSpaceDN w:val="0"/>
                    <w:adjustRightInd w:val="0"/>
                    <w:jc w:val="center"/>
                    <w:textAlignment w:val="baseline"/>
                    <w:rPr>
                      <w:color w:val="000000" w:themeColor="text1"/>
                      <w:szCs w:val="21"/>
                      <w14:textFill>
                        <w14:solidFill>
                          <w14:schemeClr w14:val="tx1"/>
                        </w14:solidFill>
                      </w14:textFill>
                    </w:rPr>
                  </w:pPr>
                </w:p>
              </w:tc>
              <w:tc>
                <w:tcPr>
                  <w:tcW w:w="476" w:type="pct"/>
                  <w:vMerge w:val="continue"/>
                  <w:vAlign w:val="center"/>
                </w:tcPr>
                <w:p w14:paraId="7CF7E2A3">
                  <w:pPr>
                    <w:autoSpaceDE w:val="0"/>
                    <w:autoSpaceDN w:val="0"/>
                    <w:adjustRightInd w:val="0"/>
                    <w:jc w:val="center"/>
                    <w:textAlignment w:val="baseline"/>
                    <w:rPr>
                      <w:color w:val="000000" w:themeColor="text1"/>
                      <w:szCs w:val="21"/>
                      <w14:textFill>
                        <w14:solidFill>
                          <w14:schemeClr w14:val="tx1"/>
                        </w14:solidFill>
                      </w14:textFill>
                    </w:rPr>
                  </w:pPr>
                </w:p>
              </w:tc>
              <w:tc>
                <w:tcPr>
                  <w:tcW w:w="2138" w:type="pct"/>
                  <w:vAlign w:val="center"/>
                </w:tcPr>
                <w:p w14:paraId="783A5AAE">
                  <w:pPr>
                    <w:autoSpaceDE w:val="0"/>
                    <w:autoSpaceDN w:val="0"/>
                    <w:adjustRightInd w:val="0"/>
                    <w:jc w:val="both"/>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生态保护红线内，自然保护地核心保护区原则上禁止人为活动，其他区域严格禁止开发性、生产性建设活动。</w:t>
                  </w:r>
                </w:p>
              </w:tc>
              <w:tc>
                <w:tcPr>
                  <w:tcW w:w="1741" w:type="pct"/>
                  <w:tcBorders>
                    <w:right w:val="nil"/>
                  </w:tcBorders>
                  <w:vAlign w:val="center"/>
                </w:tcPr>
                <w:p w14:paraId="45876A03">
                  <w:pPr>
                    <w:autoSpaceDE w:val="0"/>
                    <w:autoSpaceDN w:val="0"/>
                    <w:adjustRightInd w:val="0"/>
                    <w:jc w:val="both"/>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本项目不在生态保护红线内，自然保护地核心保护区范围内。</w:t>
                  </w:r>
                </w:p>
              </w:tc>
              <w:tc>
                <w:tcPr>
                  <w:tcW w:w="417" w:type="pct"/>
                  <w:tcBorders>
                    <w:right w:val="nil"/>
                  </w:tcBorders>
                  <w:vAlign w:val="center"/>
                </w:tcPr>
                <w:p w14:paraId="34D764C4">
                  <w:pPr>
                    <w:autoSpaceDE w:val="0"/>
                    <w:autoSpaceDN w:val="0"/>
                    <w:adjustRightInd w:val="0"/>
                    <w:jc w:val="center"/>
                    <w:textAlignment w:val="baseline"/>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不涉及</w:t>
                  </w:r>
                </w:p>
              </w:tc>
            </w:tr>
            <w:tr w14:paraId="4CC09D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8" w:hRule="atLeast"/>
                <w:jc w:val="center"/>
              </w:trPr>
              <w:tc>
                <w:tcPr>
                  <w:tcW w:w="224" w:type="pct"/>
                  <w:vMerge w:val="continue"/>
                  <w:tcBorders>
                    <w:left w:val="nil"/>
                  </w:tcBorders>
                  <w:vAlign w:val="center"/>
                </w:tcPr>
                <w:p w14:paraId="28A8362A">
                  <w:pPr>
                    <w:autoSpaceDE w:val="0"/>
                    <w:autoSpaceDN w:val="0"/>
                    <w:adjustRightInd w:val="0"/>
                    <w:jc w:val="center"/>
                    <w:textAlignment w:val="baseline"/>
                    <w:rPr>
                      <w:color w:val="000000" w:themeColor="text1"/>
                      <w:szCs w:val="21"/>
                      <w14:textFill>
                        <w14:solidFill>
                          <w14:schemeClr w14:val="tx1"/>
                        </w14:solidFill>
                      </w14:textFill>
                    </w:rPr>
                  </w:pPr>
                </w:p>
              </w:tc>
              <w:tc>
                <w:tcPr>
                  <w:tcW w:w="476" w:type="pct"/>
                  <w:vMerge w:val="continue"/>
                  <w:vAlign w:val="center"/>
                </w:tcPr>
                <w:p w14:paraId="53FCE72C">
                  <w:pPr>
                    <w:autoSpaceDE w:val="0"/>
                    <w:autoSpaceDN w:val="0"/>
                    <w:adjustRightInd w:val="0"/>
                    <w:jc w:val="center"/>
                    <w:textAlignment w:val="baseline"/>
                    <w:rPr>
                      <w:color w:val="000000" w:themeColor="text1"/>
                      <w:szCs w:val="21"/>
                      <w14:textFill>
                        <w14:solidFill>
                          <w14:schemeClr w14:val="tx1"/>
                        </w14:solidFill>
                      </w14:textFill>
                    </w:rPr>
                  </w:pPr>
                </w:p>
              </w:tc>
              <w:tc>
                <w:tcPr>
                  <w:tcW w:w="2138" w:type="pct"/>
                  <w:vAlign w:val="center"/>
                </w:tcPr>
                <w:p w14:paraId="35B7BEF0">
                  <w:pPr>
                    <w:autoSpaceDE w:val="0"/>
                    <w:autoSpaceDN w:val="0"/>
                    <w:adjustRightInd w:val="0"/>
                    <w:jc w:val="both"/>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加强重金属污染源头防控，减少使用高铊矿石原料。废水、废气排放的涉铊企业要设置除铊治理设施，需相应达到排放标准要求，对于生产废水零排放的项目，企业废水总排口中铊不得检出。</w:t>
                  </w:r>
                </w:p>
              </w:tc>
              <w:tc>
                <w:tcPr>
                  <w:tcW w:w="1741" w:type="pct"/>
                  <w:tcBorders>
                    <w:right w:val="nil"/>
                  </w:tcBorders>
                  <w:vAlign w:val="center"/>
                </w:tcPr>
                <w:p w14:paraId="5BC295A2">
                  <w:pPr>
                    <w:autoSpaceDE w:val="0"/>
                    <w:autoSpaceDN w:val="0"/>
                    <w:adjustRightInd w:val="0"/>
                    <w:jc w:val="both"/>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本</w:t>
                  </w:r>
                  <w:r>
                    <w:rPr>
                      <w:rFonts w:hint="eastAsia"/>
                      <w:color w:val="000000" w:themeColor="text1"/>
                      <w:sz w:val="21"/>
                      <w:szCs w:val="21"/>
                      <w:lang w:val="en-US" w:eastAsia="zh-CN"/>
                      <w14:textFill>
                        <w14:solidFill>
                          <w14:schemeClr w14:val="tx1"/>
                        </w14:solidFill>
                      </w14:textFill>
                    </w:rPr>
                    <w:t>技改</w:t>
                  </w:r>
                  <w:r>
                    <w:rPr>
                      <w:rFonts w:hint="eastAsia"/>
                      <w:color w:val="000000" w:themeColor="text1"/>
                      <w:szCs w:val="21"/>
                      <w:lang w:val="en-US" w:eastAsia="zh-CN"/>
                      <w14:textFill>
                        <w14:solidFill>
                          <w14:schemeClr w14:val="tx1"/>
                        </w14:solidFill>
                      </w14:textFill>
                    </w:rPr>
                    <w:t>项目主要为现有项目供热，不涉及</w:t>
                  </w:r>
                  <w:r>
                    <w:rPr>
                      <w:color w:val="000000" w:themeColor="text1"/>
                      <w:szCs w:val="21"/>
                      <w14:textFill>
                        <w14:solidFill>
                          <w14:schemeClr w14:val="tx1"/>
                        </w14:solidFill>
                      </w14:textFill>
                    </w:rPr>
                    <w:t>重金属污染物。</w:t>
                  </w:r>
                </w:p>
              </w:tc>
              <w:tc>
                <w:tcPr>
                  <w:tcW w:w="417" w:type="pct"/>
                  <w:tcBorders>
                    <w:right w:val="nil"/>
                  </w:tcBorders>
                  <w:shd w:val="clear" w:color="auto" w:fill="auto"/>
                  <w:vAlign w:val="center"/>
                </w:tcPr>
                <w:p w14:paraId="5FA8C460">
                  <w:pPr>
                    <w:autoSpaceDE w:val="0"/>
                    <w:autoSpaceDN w:val="0"/>
                    <w:adjustRightInd w:val="0"/>
                    <w:jc w:val="center"/>
                    <w:textAlignment w:val="baseline"/>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不涉及</w:t>
                  </w:r>
                </w:p>
              </w:tc>
            </w:tr>
            <w:tr w14:paraId="2DA54E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93" w:hRule="atLeast"/>
                <w:jc w:val="center"/>
              </w:trPr>
              <w:tc>
                <w:tcPr>
                  <w:tcW w:w="224" w:type="pct"/>
                  <w:vMerge w:val="continue"/>
                  <w:tcBorders>
                    <w:left w:val="nil"/>
                  </w:tcBorders>
                  <w:vAlign w:val="center"/>
                </w:tcPr>
                <w:p w14:paraId="4B9CCA44">
                  <w:pPr>
                    <w:autoSpaceDE w:val="0"/>
                    <w:autoSpaceDN w:val="0"/>
                    <w:adjustRightInd w:val="0"/>
                    <w:jc w:val="center"/>
                    <w:textAlignment w:val="baseline"/>
                    <w:rPr>
                      <w:color w:val="000000" w:themeColor="text1"/>
                      <w:szCs w:val="21"/>
                      <w14:textFill>
                        <w14:solidFill>
                          <w14:schemeClr w14:val="tx1"/>
                        </w14:solidFill>
                      </w14:textFill>
                    </w:rPr>
                  </w:pPr>
                </w:p>
              </w:tc>
              <w:tc>
                <w:tcPr>
                  <w:tcW w:w="476" w:type="pct"/>
                  <w:vAlign w:val="center"/>
                </w:tcPr>
                <w:p w14:paraId="01C99773">
                  <w:pPr>
                    <w:autoSpaceDE w:val="0"/>
                    <w:autoSpaceDN w:val="0"/>
                    <w:adjustRightIn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不符合空间布局要求活动的退出要求</w:t>
                  </w:r>
                </w:p>
              </w:tc>
              <w:tc>
                <w:tcPr>
                  <w:tcW w:w="2138" w:type="pct"/>
                  <w:vAlign w:val="center"/>
                </w:tcPr>
                <w:p w14:paraId="7A32EFFD">
                  <w:pPr>
                    <w:autoSpaceDE w:val="0"/>
                    <w:autoSpaceDN w:val="0"/>
                    <w:adjustRightInd w:val="0"/>
                    <w:jc w:val="both"/>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城市建成区现有重污染企业（钢铁、水泥、浮化玻璃等）限期退出或改造；依法依规清除距离赣江岸线1公里范围内未入园的化工企业，依法关闭“小化工”企业，全面加强化工企业环境监管。</w:t>
                  </w:r>
                </w:p>
              </w:tc>
              <w:tc>
                <w:tcPr>
                  <w:tcW w:w="1741" w:type="pct"/>
                  <w:tcBorders>
                    <w:right w:val="nil"/>
                  </w:tcBorders>
                  <w:vAlign w:val="center"/>
                </w:tcPr>
                <w:p w14:paraId="66FE32B7">
                  <w:pPr>
                    <w:autoSpaceDE w:val="0"/>
                    <w:autoSpaceDN w:val="0"/>
                    <w:adjustRightInd w:val="0"/>
                    <w:jc w:val="both"/>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本</w:t>
                  </w:r>
                  <w:r>
                    <w:rPr>
                      <w:rFonts w:hint="eastAsia"/>
                      <w:color w:val="000000" w:themeColor="text1"/>
                      <w:sz w:val="21"/>
                      <w:szCs w:val="21"/>
                      <w:lang w:val="en-US" w:eastAsia="zh-CN"/>
                      <w14:textFill>
                        <w14:solidFill>
                          <w14:schemeClr w14:val="tx1"/>
                        </w14:solidFill>
                      </w14:textFill>
                    </w:rPr>
                    <w:t>技改</w:t>
                  </w:r>
                  <w:r>
                    <w:rPr>
                      <w:rFonts w:hint="eastAsia"/>
                      <w:color w:val="000000" w:themeColor="text1"/>
                      <w:szCs w:val="21"/>
                      <w:lang w:val="en-US" w:eastAsia="zh-CN"/>
                      <w14:textFill>
                        <w14:solidFill>
                          <w14:schemeClr w14:val="tx1"/>
                        </w14:solidFill>
                      </w14:textFill>
                    </w:rPr>
                    <w:t>项目主要使用生物质成型燃料为现有项目供热，</w:t>
                  </w:r>
                  <w:r>
                    <w:rPr>
                      <w:color w:val="000000" w:themeColor="text1"/>
                      <w:szCs w:val="21"/>
                      <w14:textFill>
                        <w14:solidFill>
                          <w14:schemeClr w14:val="tx1"/>
                        </w14:solidFill>
                      </w14:textFill>
                    </w:rPr>
                    <w:t>不属于重污染企业。</w:t>
                  </w:r>
                </w:p>
              </w:tc>
              <w:tc>
                <w:tcPr>
                  <w:tcW w:w="417" w:type="pct"/>
                  <w:tcBorders>
                    <w:right w:val="nil"/>
                  </w:tcBorders>
                  <w:shd w:val="clear" w:color="auto" w:fill="auto"/>
                  <w:vAlign w:val="center"/>
                </w:tcPr>
                <w:p w14:paraId="1580DB0A">
                  <w:pPr>
                    <w:autoSpaceDE w:val="0"/>
                    <w:autoSpaceDN w:val="0"/>
                    <w:adjustRightInd w:val="0"/>
                    <w:jc w:val="center"/>
                    <w:textAlignment w:val="baseline"/>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不涉及</w:t>
                  </w:r>
                </w:p>
              </w:tc>
            </w:tr>
            <w:tr w14:paraId="6AE253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jc w:val="center"/>
              </w:trPr>
              <w:tc>
                <w:tcPr>
                  <w:tcW w:w="224" w:type="pct"/>
                  <w:vMerge w:val="restart"/>
                  <w:tcBorders>
                    <w:left w:val="nil"/>
                  </w:tcBorders>
                  <w:vAlign w:val="center"/>
                </w:tcPr>
                <w:p w14:paraId="459164F2">
                  <w:pPr>
                    <w:autoSpaceDE w:val="0"/>
                    <w:autoSpaceDN w:val="0"/>
                    <w:adjustRightIn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污染物排放管控</w:t>
                  </w:r>
                </w:p>
              </w:tc>
              <w:tc>
                <w:tcPr>
                  <w:tcW w:w="476" w:type="pct"/>
                  <w:vAlign w:val="center"/>
                </w:tcPr>
                <w:p w14:paraId="63A42120">
                  <w:pPr>
                    <w:autoSpaceDE w:val="0"/>
                    <w:autoSpaceDN w:val="0"/>
                    <w:adjustRightIn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允许排放量要求</w:t>
                  </w:r>
                </w:p>
              </w:tc>
              <w:tc>
                <w:tcPr>
                  <w:tcW w:w="2138" w:type="pct"/>
                  <w:vAlign w:val="center"/>
                </w:tcPr>
                <w:p w14:paraId="3AC4A745">
                  <w:pPr>
                    <w:jc w:val="both"/>
                    <w:rPr>
                      <w:color w:val="000000" w:themeColor="text1"/>
                      <w:szCs w:val="21"/>
                      <w14:textFill>
                        <w14:solidFill>
                          <w14:schemeClr w14:val="tx1"/>
                        </w14:solidFill>
                      </w14:textFill>
                    </w:rPr>
                  </w:pPr>
                  <w:r>
                    <w:rPr>
                      <w:color w:val="000000" w:themeColor="text1"/>
                      <w:szCs w:val="21"/>
                      <w14:textFill>
                        <w14:solidFill>
                          <w14:schemeClr w14:val="tx1"/>
                        </w14:solidFill>
                      </w14:textFill>
                    </w:rPr>
                    <w:t>到2025年，全市氮氧化物、挥发性有机物、化学需氧量、氨氮重点工程减排量分别达到2665吨、1920吨、10088吨、653吨。强化涉铊项目环境监管，铊污染物水环境承载能力不足的地区限制引入碳酸锂等涉铊项目。</w:t>
                  </w:r>
                </w:p>
              </w:tc>
              <w:tc>
                <w:tcPr>
                  <w:tcW w:w="1741" w:type="pct"/>
                  <w:tcBorders>
                    <w:right w:val="nil"/>
                  </w:tcBorders>
                  <w:vAlign w:val="center"/>
                </w:tcPr>
                <w:p w14:paraId="6195CC97">
                  <w:pPr>
                    <w:autoSpaceDE w:val="0"/>
                    <w:autoSpaceDN w:val="0"/>
                    <w:adjustRightInd w:val="0"/>
                    <w:jc w:val="both"/>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本项目执行总量控制指标要求，</w:t>
                  </w:r>
                  <w:r>
                    <w:rPr>
                      <w:rFonts w:hint="eastAsia"/>
                      <w:color w:val="000000" w:themeColor="text1"/>
                      <w:szCs w:val="21"/>
                      <w:lang w:val="en-US" w:eastAsia="zh-CN"/>
                      <w14:textFill>
                        <w14:solidFill>
                          <w14:schemeClr w14:val="tx1"/>
                        </w14:solidFill>
                      </w14:textFill>
                    </w:rPr>
                    <w:t>项目</w:t>
                  </w:r>
                  <w:r>
                    <w:rPr>
                      <w:color w:val="000000" w:themeColor="text1"/>
                      <w:szCs w:val="21"/>
                      <w14:textFill>
                        <w14:solidFill>
                          <w14:schemeClr w14:val="tx1"/>
                        </w14:solidFill>
                      </w14:textFill>
                    </w:rPr>
                    <w:t>不涉铊。</w:t>
                  </w:r>
                </w:p>
              </w:tc>
              <w:tc>
                <w:tcPr>
                  <w:tcW w:w="417" w:type="pct"/>
                  <w:tcBorders>
                    <w:right w:val="nil"/>
                  </w:tcBorders>
                  <w:vAlign w:val="center"/>
                </w:tcPr>
                <w:p w14:paraId="4042191C">
                  <w:pPr>
                    <w:autoSpaceDE w:val="0"/>
                    <w:autoSpaceDN w:val="0"/>
                    <w:adjustRightInd w:val="0"/>
                    <w:jc w:val="center"/>
                    <w:textAlignment w:val="baseline"/>
                    <w:rPr>
                      <w:color w:val="000000" w:themeColor="text1"/>
                      <w:szCs w:val="21"/>
                      <w14:textFill>
                        <w14:solidFill>
                          <w14:schemeClr w14:val="tx1"/>
                        </w14:solidFill>
                      </w14:textFill>
                    </w:rPr>
                  </w:pPr>
                  <w:r>
                    <w:rPr>
                      <w:bCs/>
                      <w:color w:val="000000" w:themeColor="text1"/>
                      <w:szCs w:val="21"/>
                      <w14:textFill>
                        <w14:solidFill>
                          <w14:schemeClr w14:val="tx1"/>
                        </w14:solidFill>
                      </w14:textFill>
                    </w:rPr>
                    <w:t>符合</w:t>
                  </w:r>
                </w:p>
              </w:tc>
            </w:tr>
            <w:tr w14:paraId="73B57D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jc w:val="center"/>
              </w:trPr>
              <w:tc>
                <w:tcPr>
                  <w:tcW w:w="224" w:type="pct"/>
                  <w:vMerge w:val="continue"/>
                  <w:tcBorders>
                    <w:left w:val="nil"/>
                  </w:tcBorders>
                  <w:vAlign w:val="center"/>
                </w:tcPr>
                <w:p w14:paraId="2AA0E190">
                  <w:pPr>
                    <w:autoSpaceDE w:val="0"/>
                    <w:autoSpaceDN w:val="0"/>
                    <w:adjustRightInd w:val="0"/>
                    <w:jc w:val="center"/>
                    <w:textAlignment w:val="baseline"/>
                    <w:rPr>
                      <w:color w:val="000000" w:themeColor="text1"/>
                      <w:szCs w:val="21"/>
                      <w14:textFill>
                        <w14:solidFill>
                          <w14:schemeClr w14:val="tx1"/>
                        </w14:solidFill>
                      </w14:textFill>
                    </w:rPr>
                  </w:pPr>
                </w:p>
              </w:tc>
              <w:tc>
                <w:tcPr>
                  <w:tcW w:w="476" w:type="pct"/>
                  <w:vAlign w:val="center"/>
                </w:tcPr>
                <w:p w14:paraId="5F250F1A">
                  <w:pPr>
                    <w:autoSpaceDE w:val="0"/>
                    <w:autoSpaceDN w:val="0"/>
                    <w:adjustRightIn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现有源提标升级改造</w:t>
                  </w:r>
                </w:p>
              </w:tc>
              <w:tc>
                <w:tcPr>
                  <w:tcW w:w="2138" w:type="pct"/>
                  <w:vAlign w:val="center"/>
                </w:tcPr>
                <w:p w14:paraId="52295378">
                  <w:pPr>
                    <w:autoSpaceDE w:val="0"/>
                    <w:autoSpaceDN w:val="0"/>
                    <w:adjustRightInd w:val="0"/>
                    <w:jc w:val="both"/>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到2025年底，城市生活污水集中收集率力争达到70%以上，进水BOD浓度高于100mg/L的城市生活污水处理厂规模占比达90%以上；县城生活污水集中收集率较2021年提高10个百分点以上，各县城生活污水处理率达到95%以上，石脑镇生活污水处理厂进水生化需氧量（BOD）浓度力争达到100mg/L以上或较2021年底提20mg/L以上。</w:t>
                  </w:r>
                </w:p>
              </w:tc>
              <w:tc>
                <w:tcPr>
                  <w:tcW w:w="1741" w:type="pct"/>
                  <w:tcBorders>
                    <w:right w:val="nil"/>
                  </w:tcBorders>
                  <w:vAlign w:val="center"/>
                </w:tcPr>
                <w:p w14:paraId="19D0FD3D">
                  <w:pPr>
                    <w:autoSpaceDE w:val="0"/>
                    <w:autoSpaceDN w:val="0"/>
                    <w:adjustRightInd w:val="0"/>
                    <w:jc w:val="left"/>
                    <w:textAlignment w:val="baseline"/>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项目所在园区暂未建设集中式污水处理厂</w:t>
                  </w:r>
                </w:p>
              </w:tc>
              <w:tc>
                <w:tcPr>
                  <w:tcW w:w="652" w:type="dxa"/>
                  <w:tcBorders>
                    <w:right w:val="nil"/>
                  </w:tcBorders>
                  <w:vAlign w:val="center"/>
                </w:tcPr>
                <w:p w14:paraId="76B9BAEF">
                  <w:pPr>
                    <w:autoSpaceDE w:val="0"/>
                    <w:autoSpaceDN w:val="0"/>
                    <w:adjustRightInd w:val="0"/>
                    <w:jc w:val="center"/>
                    <w:textAlignment w:val="baseline"/>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不涉及</w:t>
                  </w:r>
                </w:p>
              </w:tc>
            </w:tr>
            <w:tr w14:paraId="138C4C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7" w:hRule="atLeast"/>
                <w:jc w:val="center"/>
              </w:trPr>
              <w:tc>
                <w:tcPr>
                  <w:tcW w:w="224" w:type="pct"/>
                  <w:tcBorders>
                    <w:left w:val="nil"/>
                  </w:tcBorders>
                  <w:vAlign w:val="center"/>
                </w:tcPr>
                <w:p w14:paraId="2FF7BE7F">
                  <w:pPr>
                    <w:autoSpaceDE w:val="0"/>
                    <w:autoSpaceDN w:val="0"/>
                    <w:adjustRightIn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环境风险防控</w:t>
                  </w:r>
                </w:p>
              </w:tc>
              <w:tc>
                <w:tcPr>
                  <w:tcW w:w="476" w:type="pct"/>
                  <w:vAlign w:val="center"/>
                </w:tcPr>
                <w:p w14:paraId="70CED488">
                  <w:pPr>
                    <w:autoSpaceDE w:val="0"/>
                    <w:autoSpaceDN w:val="0"/>
                    <w:adjustRightIn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联防联控要求</w:t>
                  </w:r>
                </w:p>
              </w:tc>
              <w:tc>
                <w:tcPr>
                  <w:tcW w:w="2138" w:type="pct"/>
                  <w:vAlign w:val="center"/>
                </w:tcPr>
                <w:p w14:paraId="1D4E981D">
                  <w:pPr>
                    <w:autoSpaceDE w:val="0"/>
                    <w:autoSpaceDN w:val="0"/>
                    <w:adjustRightInd w:val="0"/>
                    <w:jc w:val="both"/>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建立企业、园区、地方政府之间环境风险联防联控体系和联合应急体系；增强与萍乡、新余等地的联系，完善流域合作，推动建立跨区域的袁河流域水污染防治联动协作机制。</w:t>
                  </w:r>
                </w:p>
              </w:tc>
              <w:tc>
                <w:tcPr>
                  <w:tcW w:w="1741" w:type="pct"/>
                  <w:tcBorders>
                    <w:right w:val="nil"/>
                  </w:tcBorders>
                  <w:vAlign w:val="center"/>
                </w:tcPr>
                <w:p w14:paraId="7542D8F2">
                  <w:pPr>
                    <w:autoSpaceDE w:val="0"/>
                    <w:autoSpaceDN w:val="0"/>
                    <w:adjustRightInd w:val="0"/>
                    <w:jc w:val="left"/>
                    <w:textAlignment w:val="baseline"/>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项目建成后按要求制定突发环境事件应急预案</w:t>
                  </w:r>
                </w:p>
              </w:tc>
              <w:tc>
                <w:tcPr>
                  <w:tcW w:w="417" w:type="pct"/>
                  <w:tcBorders>
                    <w:right w:val="nil"/>
                  </w:tcBorders>
                  <w:vAlign w:val="center"/>
                </w:tcPr>
                <w:p w14:paraId="61121757">
                  <w:pPr>
                    <w:autoSpaceDE w:val="0"/>
                    <w:autoSpaceDN w:val="0"/>
                    <w:adjustRightInd w:val="0"/>
                    <w:jc w:val="center"/>
                    <w:textAlignment w:val="baseline"/>
                    <w:rPr>
                      <w:color w:val="000000" w:themeColor="text1"/>
                      <w:szCs w:val="21"/>
                      <w14:textFill>
                        <w14:solidFill>
                          <w14:schemeClr w14:val="tx1"/>
                        </w14:solidFill>
                      </w14:textFill>
                    </w:rPr>
                  </w:pPr>
                  <w:r>
                    <w:rPr>
                      <w:bCs/>
                      <w:color w:val="000000" w:themeColor="text1"/>
                      <w:szCs w:val="21"/>
                      <w14:textFill>
                        <w14:solidFill>
                          <w14:schemeClr w14:val="tx1"/>
                        </w14:solidFill>
                      </w14:textFill>
                    </w:rPr>
                    <w:t>符合</w:t>
                  </w:r>
                </w:p>
              </w:tc>
            </w:tr>
            <w:tr w14:paraId="33C82F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jc w:val="center"/>
              </w:trPr>
              <w:tc>
                <w:tcPr>
                  <w:tcW w:w="224" w:type="pct"/>
                  <w:vMerge w:val="restart"/>
                  <w:tcBorders>
                    <w:left w:val="nil"/>
                  </w:tcBorders>
                  <w:vAlign w:val="center"/>
                </w:tcPr>
                <w:p w14:paraId="2315EAFB">
                  <w:pPr>
                    <w:autoSpaceDE w:val="0"/>
                    <w:autoSpaceDN w:val="0"/>
                    <w:adjustRightIn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资源利用效率要求</w:t>
                  </w:r>
                </w:p>
              </w:tc>
              <w:tc>
                <w:tcPr>
                  <w:tcW w:w="476" w:type="pct"/>
                  <w:vAlign w:val="center"/>
                </w:tcPr>
                <w:p w14:paraId="74DC7E99">
                  <w:pPr>
                    <w:autoSpaceDE w:val="0"/>
                    <w:autoSpaceDN w:val="0"/>
                    <w:adjustRightIn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水资源利用总量要求</w:t>
                  </w:r>
                </w:p>
              </w:tc>
              <w:tc>
                <w:tcPr>
                  <w:tcW w:w="2138" w:type="pct"/>
                  <w:vAlign w:val="center"/>
                </w:tcPr>
                <w:p w14:paraId="37CEBBEA">
                  <w:pPr>
                    <w:autoSpaceDE w:val="0"/>
                    <w:autoSpaceDN w:val="0"/>
                    <w:adjustRightInd w:val="0"/>
                    <w:jc w:val="both"/>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到2025年全市水资源利用量控制在36.87亿立方米，万元国内生产总值用水量比2020年下降23%，万元工业增加值用水量比2020年下降16%。</w:t>
                  </w:r>
                </w:p>
              </w:tc>
              <w:tc>
                <w:tcPr>
                  <w:tcW w:w="1741" w:type="pct"/>
                  <w:tcBorders>
                    <w:right w:val="nil"/>
                  </w:tcBorders>
                  <w:vAlign w:val="center"/>
                </w:tcPr>
                <w:p w14:paraId="0C008443">
                  <w:pPr>
                    <w:autoSpaceDE w:val="0"/>
                    <w:autoSpaceDN w:val="0"/>
                    <w:adjustRightIn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本项目水资源消耗量不大</w:t>
                  </w:r>
                </w:p>
              </w:tc>
              <w:tc>
                <w:tcPr>
                  <w:tcW w:w="417" w:type="pct"/>
                  <w:tcBorders>
                    <w:right w:val="nil"/>
                  </w:tcBorders>
                  <w:vAlign w:val="center"/>
                </w:tcPr>
                <w:p w14:paraId="1AAECCC8">
                  <w:pPr>
                    <w:autoSpaceDE w:val="0"/>
                    <w:autoSpaceDN w:val="0"/>
                    <w:adjustRightInd w:val="0"/>
                    <w:jc w:val="center"/>
                    <w:textAlignment w:val="baseline"/>
                    <w:rPr>
                      <w:color w:val="000000" w:themeColor="text1"/>
                      <w:szCs w:val="21"/>
                      <w14:textFill>
                        <w14:solidFill>
                          <w14:schemeClr w14:val="tx1"/>
                        </w14:solidFill>
                      </w14:textFill>
                    </w:rPr>
                  </w:pPr>
                  <w:r>
                    <w:rPr>
                      <w:bCs/>
                      <w:color w:val="000000" w:themeColor="text1"/>
                      <w:szCs w:val="21"/>
                      <w14:textFill>
                        <w14:solidFill>
                          <w14:schemeClr w14:val="tx1"/>
                        </w14:solidFill>
                      </w14:textFill>
                    </w:rPr>
                    <w:t>符合</w:t>
                  </w:r>
                </w:p>
              </w:tc>
            </w:tr>
            <w:tr w14:paraId="017EC0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1" w:hRule="atLeast"/>
                <w:jc w:val="center"/>
              </w:trPr>
              <w:tc>
                <w:tcPr>
                  <w:tcW w:w="224" w:type="pct"/>
                  <w:vMerge w:val="continue"/>
                  <w:tcBorders>
                    <w:left w:val="nil"/>
                  </w:tcBorders>
                  <w:vAlign w:val="center"/>
                </w:tcPr>
                <w:p w14:paraId="3D243A12">
                  <w:pPr>
                    <w:autoSpaceDE w:val="0"/>
                    <w:autoSpaceDN w:val="0"/>
                    <w:adjustRightInd w:val="0"/>
                    <w:jc w:val="center"/>
                    <w:textAlignment w:val="baseline"/>
                    <w:rPr>
                      <w:color w:val="000000" w:themeColor="text1"/>
                      <w:szCs w:val="21"/>
                      <w14:textFill>
                        <w14:solidFill>
                          <w14:schemeClr w14:val="tx1"/>
                        </w14:solidFill>
                      </w14:textFill>
                    </w:rPr>
                  </w:pPr>
                </w:p>
              </w:tc>
              <w:tc>
                <w:tcPr>
                  <w:tcW w:w="476" w:type="pct"/>
                  <w:vAlign w:val="center"/>
                </w:tcPr>
                <w:p w14:paraId="49FF120A">
                  <w:pPr>
                    <w:autoSpaceDE w:val="0"/>
                    <w:autoSpaceDN w:val="0"/>
                    <w:adjustRightIn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地下水开采要求</w:t>
                  </w:r>
                </w:p>
              </w:tc>
              <w:tc>
                <w:tcPr>
                  <w:tcW w:w="2138" w:type="pct"/>
                  <w:vAlign w:val="center"/>
                </w:tcPr>
                <w:p w14:paraId="0DFB2D8B">
                  <w:pPr>
                    <w:autoSpaceDE w:val="0"/>
                    <w:autoSpaceDN w:val="0"/>
                    <w:adjustRightInd w:val="0"/>
                    <w:jc w:val="both"/>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禁止在塌陷区、地质灾害危险区域开采地下水。</w:t>
                  </w:r>
                </w:p>
              </w:tc>
              <w:tc>
                <w:tcPr>
                  <w:tcW w:w="1741" w:type="pct"/>
                  <w:tcBorders>
                    <w:right w:val="nil"/>
                  </w:tcBorders>
                  <w:vAlign w:val="center"/>
                </w:tcPr>
                <w:p w14:paraId="1BB2647E">
                  <w:pPr>
                    <w:autoSpaceDE w:val="0"/>
                    <w:autoSpaceDN w:val="0"/>
                    <w:adjustRightInd w:val="0"/>
                    <w:jc w:val="center"/>
                    <w:textAlignment w:val="baseline"/>
                    <w:rPr>
                      <w:rFonts w:hint="default" w:eastAsia="宋体"/>
                      <w:color w:val="000000" w:themeColor="text1"/>
                      <w:szCs w:val="21"/>
                      <w:lang w:val="en-US" w:eastAsia="zh-CN"/>
                      <w14:textFill>
                        <w14:solidFill>
                          <w14:schemeClr w14:val="tx1"/>
                        </w14:solidFill>
                      </w14:textFill>
                    </w:rPr>
                  </w:pPr>
                  <w:r>
                    <w:rPr>
                      <w:color w:val="000000" w:themeColor="text1"/>
                      <w:szCs w:val="21"/>
                      <w14:textFill>
                        <w14:solidFill>
                          <w14:schemeClr w14:val="tx1"/>
                        </w14:solidFill>
                      </w14:textFill>
                    </w:rPr>
                    <w:t>项目不</w:t>
                  </w:r>
                  <w:r>
                    <w:rPr>
                      <w:rFonts w:hint="eastAsia"/>
                      <w:color w:val="000000" w:themeColor="text1"/>
                      <w:szCs w:val="21"/>
                      <w:lang w:val="en-US" w:eastAsia="zh-CN"/>
                      <w14:textFill>
                        <w14:solidFill>
                          <w14:schemeClr w14:val="tx1"/>
                        </w14:solidFill>
                      </w14:textFill>
                    </w:rPr>
                    <w:t>开采地下水</w:t>
                  </w:r>
                </w:p>
              </w:tc>
              <w:tc>
                <w:tcPr>
                  <w:tcW w:w="652" w:type="dxa"/>
                  <w:tcBorders>
                    <w:right w:val="nil"/>
                  </w:tcBorders>
                  <w:vAlign w:val="center"/>
                </w:tcPr>
                <w:p w14:paraId="72F0D79A">
                  <w:pPr>
                    <w:autoSpaceDE w:val="0"/>
                    <w:autoSpaceDN w:val="0"/>
                    <w:adjustRightInd w:val="0"/>
                    <w:jc w:val="center"/>
                    <w:textAlignment w:val="baseline"/>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不涉及</w:t>
                  </w:r>
                </w:p>
              </w:tc>
            </w:tr>
            <w:tr w14:paraId="6A526E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 w:hRule="atLeast"/>
                <w:jc w:val="center"/>
              </w:trPr>
              <w:tc>
                <w:tcPr>
                  <w:tcW w:w="224" w:type="pct"/>
                  <w:vMerge w:val="continue"/>
                  <w:tcBorders>
                    <w:left w:val="nil"/>
                  </w:tcBorders>
                  <w:vAlign w:val="center"/>
                </w:tcPr>
                <w:p w14:paraId="6E186872">
                  <w:pPr>
                    <w:autoSpaceDE w:val="0"/>
                    <w:autoSpaceDN w:val="0"/>
                    <w:adjustRightInd w:val="0"/>
                    <w:jc w:val="center"/>
                    <w:textAlignment w:val="baseline"/>
                    <w:rPr>
                      <w:color w:val="000000" w:themeColor="text1"/>
                      <w:szCs w:val="21"/>
                      <w14:textFill>
                        <w14:solidFill>
                          <w14:schemeClr w14:val="tx1"/>
                        </w14:solidFill>
                      </w14:textFill>
                    </w:rPr>
                  </w:pPr>
                </w:p>
              </w:tc>
              <w:tc>
                <w:tcPr>
                  <w:tcW w:w="476" w:type="pct"/>
                  <w:vAlign w:val="center"/>
                </w:tcPr>
                <w:p w14:paraId="51A25C7A">
                  <w:pPr>
                    <w:autoSpaceDE w:val="0"/>
                    <w:autoSpaceDN w:val="0"/>
                    <w:adjustRightIn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能源利用总量及效率要求</w:t>
                  </w:r>
                </w:p>
              </w:tc>
              <w:tc>
                <w:tcPr>
                  <w:tcW w:w="2138" w:type="pct"/>
                  <w:vAlign w:val="center"/>
                </w:tcPr>
                <w:p w14:paraId="1628B00D">
                  <w:pPr>
                    <w:autoSpaceDE w:val="0"/>
                    <w:autoSpaceDN w:val="0"/>
                    <w:adjustRightInd w:val="0"/>
                    <w:jc w:val="both"/>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到2025年，全市单位生产总值能源消耗比2020年下降15.5%，力争达到16%，能源消费总量得到合理控制。</w:t>
                  </w:r>
                </w:p>
              </w:tc>
              <w:tc>
                <w:tcPr>
                  <w:tcW w:w="1741" w:type="pct"/>
                  <w:tcBorders>
                    <w:right w:val="nil"/>
                  </w:tcBorders>
                  <w:vAlign w:val="center"/>
                </w:tcPr>
                <w:p w14:paraId="1529B7D6">
                  <w:pPr>
                    <w:autoSpaceDE w:val="0"/>
                    <w:autoSpaceDN w:val="0"/>
                    <w:adjustRightInd w:val="0"/>
                    <w:jc w:val="both"/>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本项目采用行业</w:t>
                  </w:r>
                  <w:r>
                    <w:rPr>
                      <w:rFonts w:hint="eastAsia"/>
                      <w:color w:val="000000" w:themeColor="text1"/>
                      <w:szCs w:val="21"/>
                      <w:lang w:val="en-US" w:eastAsia="zh-CN"/>
                      <w14:textFill>
                        <w14:solidFill>
                          <w14:schemeClr w14:val="tx1"/>
                        </w14:solidFill>
                      </w14:textFill>
                    </w:rPr>
                    <w:t>节</w:t>
                  </w:r>
                  <w:r>
                    <w:rPr>
                      <w:color w:val="000000" w:themeColor="text1"/>
                      <w:szCs w:val="21"/>
                      <w14:textFill>
                        <w14:solidFill>
                          <w14:schemeClr w14:val="tx1"/>
                        </w14:solidFill>
                      </w14:textFill>
                    </w:rPr>
                    <w:t>能设备，节电节水。</w:t>
                  </w:r>
                </w:p>
              </w:tc>
              <w:tc>
                <w:tcPr>
                  <w:tcW w:w="417" w:type="pct"/>
                  <w:tcBorders>
                    <w:right w:val="nil"/>
                  </w:tcBorders>
                  <w:vAlign w:val="center"/>
                </w:tcPr>
                <w:p w14:paraId="1C0E693A">
                  <w:pPr>
                    <w:autoSpaceDE w:val="0"/>
                    <w:autoSpaceDN w:val="0"/>
                    <w:adjustRightInd w:val="0"/>
                    <w:jc w:val="center"/>
                    <w:textAlignment w:val="baseline"/>
                    <w:rPr>
                      <w:color w:val="000000" w:themeColor="text1"/>
                      <w:szCs w:val="21"/>
                      <w14:textFill>
                        <w14:solidFill>
                          <w14:schemeClr w14:val="tx1"/>
                        </w14:solidFill>
                      </w14:textFill>
                    </w:rPr>
                  </w:pPr>
                  <w:r>
                    <w:rPr>
                      <w:bCs/>
                      <w:color w:val="000000" w:themeColor="text1"/>
                      <w:szCs w:val="21"/>
                      <w14:textFill>
                        <w14:solidFill>
                          <w14:schemeClr w14:val="tx1"/>
                        </w14:solidFill>
                      </w14:textFill>
                    </w:rPr>
                    <w:t>符合</w:t>
                  </w:r>
                </w:p>
              </w:tc>
            </w:tr>
            <w:tr w14:paraId="5F0CB2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3" w:hRule="atLeast"/>
                <w:jc w:val="center"/>
              </w:trPr>
              <w:tc>
                <w:tcPr>
                  <w:tcW w:w="224" w:type="pct"/>
                  <w:vMerge w:val="continue"/>
                  <w:tcBorders>
                    <w:left w:val="nil"/>
                  </w:tcBorders>
                  <w:vAlign w:val="center"/>
                </w:tcPr>
                <w:p w14:paraId="44A2769E">
                  <w:pPr>
                    <w:autoSpaceDE w:val="0"/>
                    <w:autoSpaceDN w:val="0"/>
                    <w:adjustRightInd w:val="0"/>
                    <w:jc w:val="center"/>
                    <w:textAlignment w:val="baseline"/>
                    <w:rPr>
                      <w:color w:val="000000" w:themeColor="text1"/>
                      <w:szCs w:val="21"/>
                      <w14:textFill>
                        <w14:solidFill>
                          <w14:schemeClr w14:val="tx1"/>
                        </w14:solidFill>
                      </w14:textFill>
                    </w:rPr>
                  </w:pPr>
                </w:p>
              </w:tc>
              <w:tc>
                <w:tcPr>
                  <w:tcW w:w="476" w:type="pct"/>
                  <w:vAlign w:val="center"/>
                </w:tcPr>
                <w:p w14:paraId="49612FA4">
                  <w:pPr>
                    <w:autoSpaceDE w:val="0"/>
                    <w:autoSpaceDN w:val="0"/>
                    <w:adjustRightIn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禁燃区要求</w:t>
                  </w:r>
                </w:p>
              </w:tc>
              <w:tc>
                <w:tcPr>
                  <w:tcW w:w="2138" w:type="pct"/>
                  <w:vAlign w:val="center"/>
                </w:tcPr>
                <w:p w14:paraId="4D2FE148">
                  <w:pPr>
                    <w:autoSpaceDE w:val="0"/>
                    <w:autoSpaceDN w:val="0"/>
                    <w:adjustRightInd w:val="0"/>
                    <w:jc w:val="both"/>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禁止新建、扩建燃用高污染燃料的项目和设施，已建成的应逐步或依法限期改用天然气、电或者其他清洁能源。</w:t>
                  </w:r>
                </w:p>
              </w:tc>
              <w:tc>
                <w:tcPr>
                  <w:tcW w:w="1741" w:type="pct"/>
                  <w:tcBorders>
                    <w:right w:val="nil"/>
                  </w:tcBorders>
                  <w:vAlign w:val="center"/>
                </w:tcPr>
                <w:p w14:paraId="0B93B267">
                  <w:pPr>
                    <w:autoSpaceDE w:val="0"/>
                    <w:autoSpaceDN w:val="0"/>
                    <w:adjustRightInd w:val="0"/>
                    <w:jc w:val="center"/>
                    <w:textAlignment w:val="baseline"/>
                    <w:rPr>
                      <w:rFonts w:hint="default" w:eastAsia="宋体"/>
                      <w:color w:val="000000" w:themeColor="text1"/>
                      <w:szCs w:val="21"/>
                      <w:lang w:val="en-US" w:eastAsia="zh-CN"/>
                      <w14:textFill>
                        <w14:solidFill>
                          <w14:schemeClr w14:val="tx1"/>
                        </w14:solidFill>
                      </w14:textFill>
                    </w:rPr>
                  </w:pPr>
                  <w:r>
                    <w:rPr>
                      <w:color w:val="000000" w:themeColor="text1"/>
                      <w:szCs w:val="21"/>
                      <w14:textFill>
                        <w14:solidFill>
                          <w14:schemeClr w14:val="tx1"/>
                        </w14:solidFill>
                      </w14:textFill>
                    </w:rPr>
                    <w:t>本项目不</w:t>
                  </w:r>
                  <w:r>
                    <w:rPr>
                      <w:rFonts w:hint="eastAsia"/>
                      <w:color w:val="000000" w:themeColor="text1"/>
                      <w:szCs w:val="21"/>
                      <w:lang w:val="en-US" w:eastAsia="zh-CN"/>
                      <w14:textFill>
                        <w14:solidFill>
                          <w14:schemeClr w14:val="tx1"/>
                        </w14:solidFill>
                      </w14:textFill>
                    </w:rPr>
                    <w:t>位于禁燃区</w:t>
                  </w:r>
                </w:p>
              </w:tc>
              <w:tc>
                <w:tcPr>
                  <w:tcW w:w="652" w:type="dxa"/>
                  <w:tcBorders>
                    <w:right w:val="nil"/>
                  </w:tcBorders>
                  <w:vAlign w:val="center"/>
                </w:tcPr>
                <w:p w14:paraId="137439EE">
                  <w:pPr>
                    <w:autoSpaceDE w:val="0"/>
                    <w:autoSpaceDN w:val="0"/>
                    <w:adjustRightInd w:val="0"/>
                    <w:jc w:val="center"/>
                    <w:textAlignment w:val="baseline"/>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不涉及</w:t>
                  </w:r>
                </w:p>
              </w:tc>
            </w:tr>
          </w:tbl>
          <w:p w14:paraId="42EABACC">
            <w:pPr>
              <w:spacing w:line="360" w:lineRule="auto"/>
              <w:ind w:firstLine="480" w:firstLineChars="200"/>
              <w:jc w:val="both"/>
              <w:rPr>
                <w:rFonts w:hint="eastAsia" w:eastAsia="宋体"/>
                <w:color w:val="000000" w:themeColor="text1"/>
                <w:lang w:eastAsia="zh-CN"/>
                <w14:textFill>
                  <w14:solidFill>
                    <w14:schemeClr w14:val="tx1"/>
                  </w14:solidFill>
                </w14:textFill>
              </w:rPr>
            </w:pPr>
            <w:r>
              <w:rPr>
                <w:color w:val="000000" w:themeColor="text1"/>
                <w:sz w:val="24"/>
                <w14:textFill>
                  <w14:solidFill>
                    <w14:schemeClr w14:val="tx1"/>
                  </w14:solidFill>
                </w14:textFill>
              </w:rPr>
              <w:t>本项目位于</w:t>
            </w:r>
            <w:r>
              <w:rPr>
                <w:rFonts w:hint="default" w:ascii="Times New Roman" w:hAnsi="Times New Roman" w:eastAsia="宋体" w:cs="Times New Roman"/>
                <w:color w:val="000000" w:themeColor="text1"/>
                <w:kern w:val="24"/>
                <w:sz w:val="24"/>
                <w:szCs w:val="24"/>
                <w:lang w:bidi="ar"/>
                <w14:textFill>
                  <w14:solidFill>
                    <w14:schemeClr w14:val="tx1"/>
                  </w14:solidFill>
                </w14:textFill>
              </w:rPr>
              <w:t>江西省宜春市高安市八景镇江西高安大北农饲料有限公司</w:t>
            </w:r>
            <w:r>
              <w:rPr>
                <w:rFonts w:hint="eastAsia" w:cs="Times New Roman"/>
                <w:color w:val="000000" w:themeColor="text1"/>
                <w:kern w:val="24"/>
                <w:sz w:val="24"/>
                <w:szCs w:val="24"/>
                <w:lang w:val="en-US" w:eastAsia="zh-CN" w:bidi="ar"/>
                <w14:textFill>
                  <w14:solidFill>
                    <w14:schemeClr w14:val="tx1"/>
                  </w14:solidFill>
                </w14:textFill>
              </w:rPr>
              <w:t>内</w:t>
            </w:r>
            <w:r>
              <w:rPr>
                <w:color w:val="000000" w:themeColor="text1"/>
                <w:sz w:val="24"/>
                <w14:textFill>
                  <w14:solidFill>
                    <w14:schemeClr w14:val="tx1"/>
                  </w14:solidFill>
                </w14:textFill>
              </w:rPr>
              <w:t>，属于宜春市</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三线一单</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生态环境准入清单中江西省宜春市高安市</w:t>
            </w:r>
            <w:r>
              <w:rPr>
                <w:rFonts w:hint="eastAsia"/>
                <w:color w:val="000000" w:themeColor="text1"/>
                <w:sz w:val="24"/>
                <w14:textFill>
                  <w14:solidFill>
                    <w14:schemeClr w14:val="tx1"/>
                  </w14:solidFill>
                </w14:textFill>
              </w:rPr>
              <w:t>重点管控单元</w:t>
            </w:r>
            <w:r>
              <w:rPr>
                <w:rFonts w:hint="eastAsia"/>
                <w:color w:val="000000" w:themeColor="text1"/>
                <w:sz w:val="24"/>
                <w:lang w:val="en-US" w:eastAsia="zh-CN"/>
                <w14:textFill>
                  <w14:solidFill>
                    <w14:schemeClr w14:val="tx1"/>
                  </w14:solidFill>
                </w14:textFill>
              </w:rPr>
              <w:t>5</w:t>
            </w:r>
            <w:r>
              <w:rPr>
                <w:color w:val="000000" w:themeColor="text1"/>
                <w:sz w:val="24"/>
                <w14:textFill>
                  <w14:solidFill>
                    <w14:schemeClr w14:val="tx1"/>
                  </w14:solidFill>
                </w14:textFill>
              </w:rPr>
              <w:t>（</w:t>
            </w:r>
            <w:r>
              <w:rPr>
                <w:rFonts w:hint="eastAsia"/>
                <w:b w:val="0"/>
                <w:bCs/>
                <w:color w:val="000000" w:themeColor="text1"/>
                <w:kern w:val="0"/>
                <w:sz w:val="24"/>
                <w14:textFill>
                  <w14:solidFill>
                    <w14:schemeClr w14:val="tx1"/>
                  </w14:solidFill>
                </w14:textFill>
              </w:rPr>
              <w:t>ZH36098320005</w:t>
            </w:r>
            <w:r>
              <w:rPr>
                <w:color w:val="000000" w:themeColor="text1"/>
                <w:sz w:val="24"/>
                <w14:textFill>
                  <w14:solidFill>
                    <w14:schemeClr w14:val="tx1"/>
                  </w14:solidFill>
                </w14:textFill>
              </w:rPr>
              <w:t>），其准入清单见表1-</w:t>
            </w:r>
            <w:r>
              <w:rPr>
                <w:rFonts w:hint="eastAsia"/>
                <w:color w:val="000000" w:themeColor="text1"/>
                <w:sz w:val="24"/>
                <w:lang w:val="en-US" w:eastAsia="zh-CN"/>
                <w14:textFill>
                  <w14:solidFill>
                    <w14:schemeClr w14:val="tx1"/>
                  </w14:solidFill>
                </w14:textFill>
              </w:rPr>
              <w:t>5</w:t>
            </w:r>
            <w:r>
              <w:rPr>
                <w:rFonts w:hint="eastAsia"/>
                <w:color w:val="000000" w:themeColor="text1"/>
                <w:sz w:val="24"/>
                <w:lang w:eastAsia="zh-CN"/>
                <w14:textFill>
                  <w14:solidFill>
                    <w14:schemeClr w14:val="tx1"/>
                  </w14:solidFill>
                </w14:textFill>
              </w:rPr>
              <w:t>。</w:t>
            </w:r>
          </w:p>
          <w:p w14:paraId="7A3A5720">
            <w:pPr>
              <w:jc w:val="center"/>
              <w:rPr>
                <w:color w:val="000000" w:themeColor="text1"/>
                <w:sz w:val="24"/>
                <w14:textFill>
                  <w14:solidFill>
                    <w14:schemeClr w14:val="tx1"/>
                  </w14:solidFill>
                </w14:textFill>
              </w:rPr>
            </w:pPr>
            <w:r>
              <w:rPr>
                <w:b/>
                <w:bCs/>
                <w:color w:val="000000" w:themeColor="text1"/>
                <w:sz w:val="24"/>
                <w14:textFill>
                  <w14:solidFill>
                    <w14:schemeClr w14:val="tx1"/>
                  </w14:solidFill>
                </w14:textFill>
              </w:rPr>
              <w:t>表1-</w:t>
            </w:r>
            <w:r>
              <w:rPr>
                <w:rFonts w:hint="eastAsia"/>
                <w:b/>
                <w:bCs/>
                <w:color w:val="FF0000"/>
                <w:sz w:val="24"/>
                <w:lang w:val="en-US" w:eastAsia="zh-CN"/>
              </w:rPr>
              <w:t>5</w:t>
            </w:r>
            <w:r>
              <w:rPr>
                <w:rFonts w:hint="eastAsia"/>
                <w:b/>
                <w:bCs/>
                <w:color w:val="000000" w:themeColor="text1"/>
                <w:sz w:val="24"/>
                <w:lang w:val="en-US" w:eastAsia="zh-CN"/>
                <w14:textFill>
                  <w14:solidFill>
                    <w14:schemeClr w14:val="tx1"/>
                  </w14:solidFill>
                </w14:textFill>
              </w:rPr>
              <w:t xml:space="preserve">  项目</w:t>
            </w:r>
            <w:r>
              <w:rPr>
                <w:b/>
                <w:bCs/>
                <w:color w:val="000000" w:themeColor="text1"/>
                <w:sz w:val="24"/>
                <w14:textFill>
                  <w14:solidFill>
                    <w14:schemeClr w14:val="tx1"/>
                  </w14:solidFill>
                </w14:textFill>
              </w:rPr>
              <w:t>与宜春市</w:t>
            </w:r>
            <w:r>
              <w:rPr>
                <w:rFonts w:hint="eastAsia"/>
                <w:b/>
                <w:bCs/>
                <w:color w:val="000000" w:themeColor="text1"/>
                <w:sz w:val="24"/>
                <w:lang w:eastAsia="zh-CN"/>
                <w14:textFill>
                  <w14:solidFill>
                    <w14:schemeClr w14:val="tx1"/>
                  </w14:solidFill>
                </w14:textFill>
              </w:rPr>
              <w:t>“</w:t>
            </w:r>
            <w:r>
              <w:rPr>
                <w:b/>
                <w:bCs/>
                <w:color w:val="000000" w:themeColor="text1"/>
                <w:sz w:val="24"/>
                <w14:textFill>
                  <w14:solidFill>
                    <w14:schemeClr w14:val="tx1"/>
                  </w14:solidFill>
                </w14:textFill>
              </w:rPr>
              <w:t>三线一单</w:t>
            </w:r>
            <w:r>
              <w:rPr>
                <w:rFonts w:hint="eastAsia"/>
                <w:b/>
                <w:bCs/>
                <w:color w:val="000000" w:themeColor="text1"/>
                <w:sz w:val="24"/>
                <w:lang w:eastAsia="zh-CN"/>
                <w14:textFill>
                  <w14:solidFill>
                    <w14:schemeClr w14:val="tx1"/>
                  </w14:solidFill>
                </w14:textFill>
              </w:rPr>
              <w:t>”</w:t>
            </w:r>
            <w:r>
              <w:rPr>
                <w:b/>
                <w:bCs/>
                <w:color w:val="000000" w:themeColor="text1"/>
                <w:sz w:val="24"/>
                <w14:textFill>
                  <w14:solidFill>
                    <w14:schemeClr w14:val="tx1"/>
                  </w14:solidFill>
                </w14:textFill>
              </w:rPr>
              <w:t>分区管控单元生态环境准入清单相符性分析</w:t>
            </w:r>
          </w:p>
          <w:tbl>
            <w:tblPr>
              <w:tblStyle w:val="28"/>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88"/>
              <w:gridCol w:w="4104"/>
              <w:gridCol w:w="1844"/>
              <w:gridCol w:w="938"/>
            </w:tblGrid>
            <w:tr w14:paraId="104126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73" w:type="pct"/>
                  <w:vAlign w:val="center"/>
                </w:tcPr>
                <w:p w14:paraId="04AF1099">
                  <w:pPr>
                    <w:pStyle w:val="85"/>
                    <w:adjustRightInd w:val="0"/>
                    <w:snapToGrid w:val="0"/>
                    <w:jc w:val="center"/>
                    <w:rPr>
                      <w:b/>
                      <w:bCs/>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管控单元名称</w:t>
                  </w:r>
                </w:p>
              </w:tc>
              <w:tc>
                <w:tcPr>
                  <w:tcW w:w="2637" w:type="pct"/>
                  <w:vAlign w:val="center"/>
                </w:tcPr>
                <w:p w14:paraId="74B6E7B3">
                  <w:pPr>
                    <w:pStyle w:val="85"/>
                    <w:adjustRightInd w:val="0"/>
                    <w:snapToGrid w:val="0"/>
                    <w:jc w:val="center"/>
                    <w:rPr>
                      <w:rFonts w:hint="eastAsia" w:eastAsia="宋体"/>
                      <w:b/>
                      <w:bCs/>
                      <w:color w:val="000000" w:themeColor="text1"/>
                      <w:sz w:val="21"/>
                      <w:szCs w:val="21"/>
                      <w:lang w:val="en-US" w:eastAsia="zh-CN"/>
                      <w14:textFill>
                        <w14:solidFill>
                          <w14:schemeClr w14:val="tx1"/>
                        </w14:solidFill>
                      </w14:textFill>
                    </w:rPr>
                  </w:pPr>
                  <w:r>
                    <w:rPr>
                      <w:color w:val="000000" w:themeColor="text1"/>
                      <w:sz w:val="21"/>
                      <w:szCs w:val="21"/>
                      <w14:textFill>
                        <w14:solidFill>
                          <w14:schemeClr w14:val="tx1"/>
                        </w14:solidFill>
                      </w14:textFill>
                    </w:rPr>
                    <w:t>江西省宜春市高安市重点管控单元</w:t>
                  </w:r>
                  <w:r>
                    <w:rPr>
                      <w:rFonts w:hint="eastAsia"/>
                      <w:color w:val="000000" w:themeColor="text1"/>
                      <w:sz w:val="21"/>
                      <w:szCs w:val="21"/>
                      <w:lang w:val="en-US" w:eastAsia="zh-CN"/>
                      <w14:textFill>
                        <w14:solidFill>
                          <w14:schemeClr w14:val="tx1"/>
                        </w14:solidFill>
                      </w14:textFill>
                    </w:rPr>
                    <w:t>5</w:t>
                  </w:r>
                </w:p>
              </w:tc>
              <w:tc>
                <w:tcPr>
                  <w:tcW w:w="1183" w:type="pct"/>
                  <w:vAlign w:val="center"/>
                </w:tcPr>
                <w:p w14:paraId="68103015">
                  <w:pPr>
                    <w:pStyle w:val="85"/>
                    <w:adjustRightInd w:val="0"/>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本项目情况</w:t>
                  </w:r>
                </w:p>
              </w:tc>
              <w:tc>
                <w:tcPr>
                  <w:tcW w:w="605" w:type="pct"/>
                  <w:vAlign w:val="center"/>
                </w:tcPr>
                <w:p w14:paraId="266224DA">
                  <w:pPr>
                    <w:pStyle w:val="85"/>
                    <w:adjustRightInd w:val="0"/>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相符性</w:t>
                  </w:r>
                </w:p>
              </w:tc>
            </w:tr>
            <w:tr w14:paraId="360726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573" w:type="pct"/>
                  <w:vAlign w:val="center"/>
                </w:tcPr>
                <w:p w14:paraId="626C8494">
                  <w:pPr>
                    <w:pStyle w:val="85"/>
                    <w:adjustRightInd w:val="0"/>
                    <w:snapToGrid w:val="0"/>
                    <w:jc w:val="center"/>
                    <w:rPr>
                      <w:b/>
                      <w:bCs/>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管控单元编码</w:t>
                  </w:r>
                </w:p>
              </w:tc>
              <w:tc>
                <w:tcPr>
                  <w:tcW w:w="2637" w:type="pct"/>
                  <w:vAlign w:val="center"/>
                </w:tcPr>
                <w:p w14:paraId="305D593B">
                  <w:pPr>
                    <w:pStyle w:val="85"/>
                    <w:adjustRightInd w:val="0"/>
                    <w:snapToGrid w:val="0"/>
                    <w:jc w:val="center"/>
                    <w:rPr>
                      <w:color w:val="000000" w:themeColor="text1"/>
                      <w:sz w:val="21"/>
                      <w:szCs w:val="21"/>
                      <w14:textFill>
                        <w14:solidFill>
                          <w14:schemeClr w14:val="tx1"/>
                        </w14:solidFill>
                      </w14:textFill>
                    </w:rPr>
                  </w:pPr>
                  <w:r>
                    <w:rPr>
                      <w:rFonts w:hint="eastAsia"/>
                      <w:b w:val="0"/>
                      <w:bCs/>
                      <w:color w:val="000000" w:themeColor="text1"/>
                      <w:kern w:val="0"/>
                      <w:sz w:val="21"/>
                      <w:szCs w:val="21"/>
                      <w14:textFill>
                        <w14:solidFill>
                          <w14:schemeClr w14:val="tx1"/>
                        </w14:solidFill>
                      </w14:textFill>
                    </w:rPr>
                    <w:t>ZH36098320005</w:t>
                  </w:r>
                </w:p>
              </w:tc>
              <w:tc>
                <w:tcPr>
                  <w:tcW w:w="1183" w:type="pct"/>
                  <w:vAlign w:val="center"/>
                </w:tcPr>
                <w:p w14:paraId="424977B7">
                  <w:pPr>
                    <w:pStyle w:val="85"/>
                    <w:adjustRightInd w:val="0"/>
                    <w:snapToGrid w:val="0"/>
                    <w:jc w:val="center"/>
                    <w:rPr>
                      <w:rFonts w:hint="eastAsia" w:eastAsia="宋体"/>
                      <w:color w:val="000000" w:themeColor="text1"/>
                      <w:sz w:val="21"/>
                      <w:szCs w:val="21"/>
                      <w:lang w:val="en-US" w:eastAsia="zh-CN"/>
                      <w14:textFill>
                        <w14:solidFill>
                          <w14:schemeClr w14:val="tx1"/>
                        </w14:solidFill>
                      </w14:textFill>
                    </w:rPr>
                  </w:pPr>
                  <w:r>
                    <w:rPr>
                      <w:color w:val="000000" w:themeColor="text1"/>
                      <w:sz w:val="21"/>
                      <w:szCs w:val="21"/>
                      <w14:textFill>
                        <w14:solidFill>
                          <w14:schemeClr w14:val="tx1"/>
                        </w14:solidFill>
                      </w14:textFill>
                    </w:rPr>
                    <w:t>高安市</w:t>
                  </w:r>
                  <w:r>
                    <w:rPr>
                      <w:rFonts w:hint="default" w:ascii="Times New Roman" w:hAnsi="Times New Roman" w:eastAsia="宋体" w:cs="Times New Roman"/>
                      <w:color w:val="000000" w:themeColor="text1"/>
                      <w:kern w:val="24"/>
                      <w:sz w:val="21"/>
                      <w:szCs w:val="21"/>
                      <w:lang w:bidi="ar"/>
                      <w14:textFill>
                        <w14:solidFill>
                          <w14:schemeClr w14:val="tx1"/>
                        </w14:solidFill>
                      </w14:textFill>
                    </w:rPr>
                    <w:t>八景镇</w:t>
                  </w:r>
                </w:p>
              </w:tc>
              <w:tc>
                <w:tcPr>
                  <w:tcW w:w="605" w:type="pct"/>
                  <w:vAlign w:val="center"/>
                </w:tcPr>
                <w:p w14:paraId="0AB7F4B2">
                  <w:pPr>
                    <w:pStyle w:val="85"/>
                    <w:adjustRightInd w:val="0"/>
                    <w:snapToGrid w:val="0"/>
                    <w:jc w:val="center"/>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符合</w:t>
                  </w:r>
                </w:p>
              </w:tc>
            </w:tr>
            <w:tr w14:paraId="2A0FAE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573" w:type="pct"/>
                  <w:vAlign w:val="center"/>
                </w:tcPr>
                <w:p w14:paraId="716D0E99">
                  <w:pPr>
                    <w:pStyle w:val="85"/>
                    <w:adjustRightInd w:val="0"/>
                    <w:snapToGrid w:val="0"/>
                    <w:jc w:val="center"/>
                    <w:rPr>
                      <w:b/>
                      <w:bCs/>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范围</w:t>
                  </w:r>
                </w:p>
              </w:tc>
              <w:tc>
                <w:tcPr>
                  <w:tcW w:w="2637" w:type="pct"/>
                  <w:vAlign w:val="center"/>
                </w:tcPr>
                <w:p w14:paraId="56DA6EDC">
                  <w:pPr>
                    <w:pStyle w:val="85"/>
                    <w:adjustRightInd w:val="0"/>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工业重点区域</w:t>
                  </w:r>
                </w:p>
              </w:tc>
              <w:tc>
                <w:tcPr>
                  <w:tcW w:w="1183" w:type="pct"/>
                  <w:vAlign w:val="center"/>
                </w:tcPr>
                <w:p w14:paraId="580C79EE">
                  <w:pPr>
                    <w:pStyle w:val="85"/>
                    <w:adjustRightInd w:val="0"/>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工业重点区域</w:t>
                  </w:r>
                </w:p>
              </w:tc>
              <w:tc>
                <w:tcPr>
                  <w:tcW w:w="605" w:type="pct"/>
                  <w:vAlign w:val="center"/>
                </w:tcPr>
                <w:p w14:paraId="30AF6E6A">
                  <w:pPr>
                    <w:adjustRightInd w:val="0"/>
                    <w:snapToGrid w:val="0"/>
                    <w:jc w:val="center"/>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符合</w:t>
                  </w:r>
                </w:p>
              </w:tc>
            </w:tr>
            <w:tr w14:paraId="3D5777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2" w:hRule="atLeast"/>
              </w:trPr>
              <w:tc>
                <w:tcPr>
                  <w:tcW w:w="573" w:type="pct"/>
                  <w:vAlign w:val="center"/>
                </w:tcPr>
                <w:p w14:paraId="678A74F9">
                  <w:pPr>
                    <w:pStyle w:val="85"/>
                    <w:adjustRightInd w:val="0"/>
                    <w:snapToGrid w:val="0"/>
                    <w:jc w:val="center"/>
                    <w:rPr>
                      <w:b/>
                      <w:bCs/>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空间布局约束</w:t>
                  </w:r>
                </w:p>
              </w:tc>
              <w:tc>
                <w:tcPr>
                  <w:tcW w:w="2637" w:type="pct"/>
                  <w:vAlign w:val="center"/>
                </w:tcPr>
                <w:p w14:paraId="69FFFCD8">
                  <w:pPr>
                    <w:pStyle w:val="85"/>
                    <w:numPr>
                      <w:ilvl w:val="0"/>
                      <w:numId w:val="0"/>
                    </w:numPr>
                    <w:adjustRightInd w:val="0"/>
                    <w:snapToGrid w:val="0"/>
                    <w:jc w:val="both"/>
                    <w:rPr>
                      <w:b/>
                      <w:bCs/>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w:t>
                  </w:r>
                  <w:r>
                    <w:rPr>
                      <w:rFonts w:hint="eastAsia"/>
                      <w:color w:val="000000" w:themeColor="text1"/>
                      <w:sz w:val="21"/>
                      <w:szCs w:val="21"/>
                      <w14:textFill>
                        <w14:solidFill>
                          <w14:schemeClr w14:val="tx1"/>
                        </w14:solidFill>
                      </w14:textFill>
                    </w:rPr>
                    <w:t>在居民集中区、医院和学校附近区等环境风险防控重点区域，以及因环境污染导致环境质量不能稳定达标的区域，禁止新建或扩建可能引发环境风险的项目。</w:t>
                  </w:r>
                  <w:r>
                    <w:rPr>
                      <w:rFonts w:hint="eastAsia"/>
                      <w:color w:val="000000" w:themeColor="text1"/>
                      <w:sz w:val="21"/>
                      <w:szCs w:val="21"/>
                      <w:lang w:val="en-US" w:eastAsia="zh-CN"/>
                      <w14:textFill>
                        <w14:solidFill>
                          <w14:schemeClr w14:val="tx1"/>
                        </w14:solidFill>
                      </w14:textFill>
                    </w:rPr>
                    <w:t>禁</w:t>
                  </w:r>
                  <w:r>
                    <w:rPr>
                      <w:rFonts w:hint="eastAsia"/>
                      <w:color w:val="000000" w:themeColor="text1"/>
                      <w:sz w:val="21"/>
                      <w:szCs w:val="21"/>
                      <w14:textFill>
                        <w14:solidFill>
                          <w14:schemeClr w14:val="tx1"/>
                        </w14:solidFill>
                      </w14:textFill>
                    </w:rPr>
                    <w:t>止焚烧沥青、油毡、橡胶、塑料、皮革、垃圾以及其他产生有毒有害烟尘和恶臭气体的物质，禁止露天焚烧落叶、树枝、枯草。</w:t>
                  </w:r>
                </w:p>
                <w:p w14:paraId="237DF44E">
                  <w:pPr>
                    <w:pStyle w:val="85"/>
                    <w:numPr>
                      <w:ilvl w:val="0"/>
                      <w:numId w:val="0"/>
                    </w:numPr>
                    <w:adjustRightInd w:val="0"/>
                    <w:snapToGrid w:val="0"/>
                    <w:jc w:val="both"/>
                    <w:rPr>
                      <w:b/>
                      <w:bCs/>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2.按照畜禽养殖规划，现有禁养区养殖场逐步退出或关停。</w:t>
                  </w:r>
                </w:p>
              </w:tc>
              <w:tc>
                <w:tcPr>
                  <w:tcW w:w="1183" w:type="pct"/>
                  <w:vAlign w:val="center"/>
                </w:tcPr>
                <w:p w14:paraId="3040884A">
                  <w:pPr>
                    <w:pStyle w:val="85"/>
                    <w:adjustRightInd w:val="0"/>
                    <w:snapToGrid w:val="0"/>
                    <w:jc w:val="both"/>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1、项目周边无</w:t>
                  </w:r>
                  <w:r>
                    <w:rPr>
                      <w:rFonts w:hint="eastAsia"/>
                      <w:color w:val="000000" w:themeColor="text1"/>
                      <w:sz w:val="21"/>
                      <w:szCs w:val="21"/>
                      <w14:textFill>
                        <w14:solidFill>
                          <w14:schemeClr w14:val="tx1"/>
                        </w14:solidFill>
                      </w14:textFill>
                    </w:rPr>
                    <w:t>居民集中区、医院和学校等环境风险防控重点区域</w:t>
                  </w:r>
                  <w:r>
                    <w:rPr>
                      <w:rFonts w:hint="eastAsia"/>
                      <w:color w:val="000000" w:themeColor="text1"/>
                      <w:sz w:val="21"/>
                      <w:szCs w:val="21"/>
                      <w:lang w:eastAsia="zh-CN"/>
                      <w14:textFill>
                        <w14:solidFill>
                          <w14:schemeClr w14:val="tx1"/>
                        </w14:solidFill>
                      </w14:textFill>
                    </w:rPr>
                    <w:t>；</w:t>
                  </w:r>
                  <w:r>
                    <w:rPr>
                      <w:rFonts w:hint="eastAsia"/>
                      <w:color w:val="000000" w:themeColor="text1"/>
                      <w:sz w:val="21"/>
                      <w:szCs w:val="21"/>
                      <w:lang w:val="en-US" w:eastAsia="zh-CN"/>
                      <w14:textFill>
                        <w14:solidFill>
                          <w14:schemeClr w14:val="tx1"/>
                        </w14:solidFill>
                      </w14:textFill>
                    </w:rPr>
                    <w:t>2、本项目不属于</w:t>
                  </w:r>
                  <w:r>
                    <w:rPr>
                      <w:rFonts w:hint="eastAsia"/>
                      <w:color w:val="000000" w:themeColor="text1"/>
                      <w:sz w:val="21"/>
                      <w:szCs w:val="21"/>
                      <w14:textFill>
                        <w14:solidFill>
                          <w14:schemeClr w14:val="tx1"/>
                        </w14:solidFill>
                      </w14:textFill>
                    </w:rPr>
                    <w:t>畜禽养殖</w:t>
                  </w:r>
                  <w:r>
                    <w:rPr>
                      <w:rFonts w:hint="eastAsia"/>
                      <w:color w:val="000000" w:themeColor="text1"/>
                      <w:sz w:val="21"/>
                      <w:szCs w:val="21"/>
                      <w:lang w:val="en-US" w:eastAsia="zh-CN"/>
                      <w14:textFill>
                        <w14:solidFill>
                          <w14:schemeClr w14:val="tx1"/>
                        </w14:solidFill>
                      </w14:textFill>
                    </w:rPr>
                    <w:t>项目。</w:t>
                  </w:r>
                </w:p>
              </w:tc>
              <w:tc>
                <w:tcPr>
                  <w:tcW w:w="605" w:type="pct"/>
                  <w:shd w:val="clear" w:color="auto" w:fill="auto"/>
                  <w:vAlign w:val="center"/>
                </w:tcPr>
                <w:p w14:paraId="11AF862E">
                  <w:pPr>
                    <w:autoSpaceDE w:val="0"/>
                    <w:autoSpaceDN w:val="0"/>
                    <w:adjustRightInd w:val="0"/>
                    <w:jc w:val="center"/>
                    <w:textAlignment w:val="baseline"/>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不涉及</w:t>
                  </w:r>
                </w:p>
              </w:tc>
            </w:tr>
            <w:tr w14:paraId="5F1DB7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573" w:type="pct"/>
                  <w:vAlign w:val="center"/>
                </w:tcPr>
                <w:p w14:paraId="0B963CA3">
                  <w:pPr>
                    <w:pStyle w:val="85"/>
                    <w:adjustRightInd w:val="0"/>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污染物排放管控</w:t>
                  </w:r>
                </w:p>
              </w:tc>
              <w:tc>
                <w:tcPr>
                  <w:tcW w:w="2637" w:type="pct"/>
                  <w:vAlign w:val="center"/>
                </w:tcPr>
                <w:p w14:paraId="307AD6F0">
                  <w:pPr>
                    <w:widowControl/>
                    <w:adjustRightInd w:val="0"/>
                    <w:snapToGrid w:val="0"/>
                    <w:jc w:val="both"/>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1.城市建成区不再审批35蒸吨/小时及以下燃煤锅炉。</w:t>
                  </w:r>
                </w:p>
                <w:p w14:paraId="5CBA1BB2">
                  <w:pPr>
                    <w:widowControl/>
                    <w:adjustRightInd w:val="0"/>
                    <w:snapToGrid w:val="0"/>
                    <w:jc w:val="both"/>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14:textFill>
                        <w14:solidFill>
                          <w14:schemeClr w14:val="tx1"/>
                        </w14:solidFill>
                      </w14:textFill>
                    </w:rPr>
                    <w:t>2.污染物排放应达到相应排放标准</w:t>
                  </w:r>
                  <w:r>
                    <w:rPr>
                      <w:rFonts w:hint="eastAsia"/>
                      <w:color w:val="000000" w:themeColor="text1"/>
                      <w:sz w:val="21"/>
                      <w:szCs w:val="21"/>
                      <w:lang w:eastAsia="zh-CN"/>
                      <w14:textFill>
                        <w14:solidFill>
                          <w14:schemeClr w14:val="tx1"/>
                        </w14:solidFill>
                      </w14:textFill>
                    </w:rPr>
                    <w:t>。</w:t>
                  </w:r>
                </w:p>
                <w:p w14:paraId="65B98FB4">
                  <w:pPr>
                    <w:widowControl/>
                    <w:adjustRightInd w:val="0"/>
                    <w:snapToGrid w:val="0"/>
                    <w:jc w:val="both"/>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14:textFill>
                        <w14:solidFill>
                          <w14:schemeClr w14:val="tx1"/>
                        </w14:solidFill>
                      </w14:textFill>
                    </w:rPr>
                    <w:t>3.污染物排放绩效水平应达到良好水平</w:t>
                  </w:r>
                  <w:r>
                    <w:rPr>
                      <w:rFonts w:hint="eastAsia"/>
                      <w:color w:val="000000" w:themeColor="text1"/>
                      <w:sz w:val="21"/>
                      <w:szCs w:val="21"/>
                      <w:lang w:eastAsia="zh-CN"/>
                      <w14:textFill>
                        <w14:solidFill>
                          <w14:schemeClr w14:val="tx1"/>
                        </w14:solidFill>
                      </w14:textFill>
                    </w:rPr>
                    <w:t>。</w:t>
                  </w:r>
                </w:p>
              </w:tc>
              <w:tc>
                <w:tcPr>
                  <w:tcW w:w="1183" w:type="pct"/>
                  <w:vAlign w:val="center"/>
                </w:tcPr>
                <w:p w14:paraId="718FB5A6">
                  <w:pPr>
                    <w:widowControl/>
                    <w:adjustRightInd w:val="0"/>
                    <w:snapToGrid w:val="0"/>
                    <w:jc w:val="both"/>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1、项目不涉及燃煤锅炉；2、本项目污染物经处理设施处理后可达标排放。</w:t>
                  </w:r>
                </w:p>
              </w:tc>
              <w:tc>
                <w:tcPr>
                  <w:tcW w:w="605" w:type="pct"/>
                  <w:vAlign w:val="center"/>
                </w:tcPr>
                <w:p w14:paraId="00C0F51E">
                  <w:pPr>
                    <w:widowControl/>
                    <w:adjustRightInd w:val="0"/>
                    <w:snapToGrid w:val="0"/>
                    <w:jc w:val="center"/>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符合</w:t>
                  </w:r>
                </w:p>
              </w:tc>
            </w:tr>
            <w:tr w14:paraId="71B42E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2" w:hRule="atLeast"/>
              </w:trPr>
              <w:tc>
                <w:tcPr>
                  <w:tcW w:w="573" w:type="pct"/>
                  <w:vAlign w:val="center"/>
                </w:tcPr>
                <w:p w14:paraId="7A176CFA">
                  <w:pPr>
                    <w:autoSpaceDE w:val="0"/>
                    <w:autoSpaceDN w:val="0"/>
                    <w:adjustRightInd w:val="0"/>
                    <w:jc w:val="center"/>
                    <w:textAlignment w:val="baseline"/>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环境风险防控</w:t>
                  </w:r>
                </w:p>
              </w:tc>
              <w:tc>
                <w:tcPr>
                  <w:tcW w:w="2637" w:type="pct"/>
                  <w:vAlign w:val="center"/>
                </w:tcPr>
                <w:p w14:paraId="737CA8F7">
                  <w:pPr>
                    <w:numPr>
                      <w:ilvl w:val="0"/>
                      <w:numId w:val="5"/>
                    </w:numPr>
                    <w:autoSpaceDE w:val="0"/>
                    <w:autoSpaceDN w:val="0"/>
                    <w:adjustRightInd w:val="0"/>
                    <w:jc w:val="both"/>
                    <w:textAlignment w:val="baseline"/>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限制易导致环境风险的有毒有害和易燃易爆物质的生产、使用、排放贮运等新建、改扩建项目</w:t>
                  </w:r>
                  <w:r>
                    <w:rPr>
                      <w:rFonts w:hint="eastAsia"/>
                      <w:color w:val="000000" w:themeColor="text1"/>
                      <w:sz w:val="21"/>
                      <w:szCs w:val="21"/>
                      <w:lang w:eastAsia="zh-CN"/>
                      <w14:textFill>
                        <w14:solidFill>
                          <w14:schemeClr w14:val="tx1"/>
                        </w14:solidFill>
                      </w14:textFill>
                    </w:rPr>
                    <w:t>。</w:t>
                  </w:r>
                </w:p>
                <w:p w14:paraId="00DD641A">
                  <w:pPr>
                    <w:numPr>
                      <w:ilvl w:val="0"/>
                      <w:numId w:val="0"/>
                    </w:numPr>
                    <w:autoSpaceDE w:val="0"/>
                    <w:autoSpaceDN w:val="0"/>
                    <w:adjustRightInd w:val="0"/>
                    <w:jc w:val="both"/>
                    <w:textAlignment w:val="baseline"/>
                    <w:rPr>
                      <w:rFonts w:hint="eastAsia" w:eastAsia="宋体"/>
                      <w:color w:val="000000" w:themeColor="text1"/>
                      <w:kern w:val="0"/>
                      <w:sz w:val="21"/>
                      <w:szCs w:val="21"/>
                      <w:lang w:eastAsia="zh-CN" w:bidi="ar"/>
                      <w14:textFill>
                        <w14:solidFill>
                          <w14:schemeClr w14:val="tx1"/>
                        </w14:solidFill>
                      </w14:textFill>
                    </w:rPr>
                  </w:pPr>
                  <w:r>
                    <w:rPr>
                      <w:rFonts w:hint="eastAsia"/>
                      <w:color w:val="000000" w:themeColor="text1"/>
                      <w:sz w:val="21"/>
                      <w:szCs w:val="21"/>
                      <w14:textFill>
                        <w14:solidFill>
                          <w14:schemeClr w14:val="tx1"/>
                        </w14:solidFill>
                      </w14:textFill>
                    </w:rPr>
                    <w:t>2.安全利用类农田地，应制定农田地等安全利用方案，降低农产品超标风险</w:t>
                  </w:r>
                  <w:r>
                    <w:rPr>
                      <w:rFonts w:hint="eastAsia"/>
                      <w:color w:val="000000" w:themeColor="text1"/>
                      <w:sz w:val="21"/>
                      <w:szCs w:val="21"/>
                      <w:lang w:eastAsia="zh-CN"/>
                      <w14:textFill>
                        <w14:solidFill>
                          <w14:schemeClr w14:val="tx1"/>
                        </w14:solidFill>
                      </w14:textFill>
                    </w:rPr>
                    <w:t>。</w:t>
                  </w:r>
                </w:p>
              </w:tc>
              <w:tc>
                <w:tcPr>
                  <w:tcW w:w="1183" w:type="pct"/>
                  <w:vAlign w:val="center"/>
                </w:tcPr>
                <w:p w14:paraId="3A1C486F">
                  <w:pPr>
                    <w:autoSpaceDE w:val="0"/>
                    <w:autoSpaceDN w:val="0"/>
                    <w:adjustRightInd w:val="0"/>
                    <w:jc w:val="both"/>
                    <w:textAlignment w:val="baseline"/>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1</w:t>
                  </w:r>
                  <w:r>
                    <w:rPr>
                      <w:rFonts w:hint="eastAsia"/>
                      <w:color w:val="000000" w:themeColor="text1"/>
                      <w:sz w:val="21"/>
                      <w:szCs w:val="21"/>
                      <w:lang w:eastAsia="zh-CN"/>
                      <w14:textFill>
                        <w14:solidFill>
                          <w14:schemeClr w14:val="tx1"/>
                        </w14:solidFill>
                      </w14:textFill>
                    </w:rPr>
                    <w:t>、</w:t>
                  </w:r>
                  <w:r>
                    <w:rPr>
                      <w:rFonts w:hint="eastAsia"/>
                      <w:color w:val="000000" w:themeColor="text1"/>
                      <w:sz w:val="21"/>
                      <w:szCs w:val="21"/>
                      <w14:textFill>
                        <w14:solidFill>
                          <w14:schemeClr w14:val="tx1"/>
                        </w14:solidFill>
                      </w14:textFill>
                    </w:rPr>
                    <w:t>本项目不涉及有毒有害和易燃易爆物质</w:t>
                  </w:r>
                  <w:r>
                    <w:rPr>
                      <w:rFonts w:hint="eastAsia"/>
                      <w:color w:val="000000" w:themeColor="text1"/>
                      <w:sz w:val="21"/>
                      <w:szCs w:val="21"/>
                      <w:lang w:eastAsia="zh-CN"/>
                      <w14:textFill>
                        <w14:solidFill>
                          <w14:schemeClr w14:val="tx1"/>
                        </w14:solidFill>
                      </w14:textFill>
                    </w:rPr>
                    <w:t>；</w:t>
                  </w:r>
                  <w:r>
                    <w:rPr>
                      <w:rFonts w:hint="eastAsia"/>
                      <w:color w:val="000000" w:themeColor="text1"/>
                      <w:sz w:val="21"/>
                      <w:szCs w:val="21"/>
                      <w14:textFill>
                        <w14:solidFill>
                          <w14:schemeClr w14:val="tx1"/>
                        </w14:solidFill>
                      </w14:textFill>
                    </w:rPr>
                    <w:t>2</w:t>
                  </w:r>
                  <w:r>
                    <w:rPr>
                      <w:rFonts w:hint="eastAsia"/>
                      <w:color w:val="000000" w:themeColor="text1"/>
                      <w:sz w:val="21"/>
                      <w:szCs w:val="21"/>
                      <w:lang w:eastAsia="zh-CN"/>
                      <w14:textFill>
                        <w14:solidFill>
                          <w14:schemeClr w14:val="tx1"/>
                        </w14:solidFill>
                      </w14:textFill>
                    </w:rPr>
                    <w:t>、</w:t>
                  </w:r>
                  <w:r>
                    <w:rPr>
                      <w:rFonts w:hint="eastAsia"/>
                      <w:color w:val="000000" w:themeColor="text1"/>
                      <w:sz w:val="21"/>
                      <w:szCs w:val="21"/>
                      <w14:textFill>
                        <w14:solidFill>
                          <w14:schemeClr w14:val="tx1"/>
                        </w14:solidFill>
                      </w14:textFill>
                    </w:rPr>
                    <w:t>本项目不涉及农用地。</w:t>
                  </w:r>
                </w:p>
              </w:tc>
              <w:tc>
                <w:tcPr>
                  <w:tcW w:w="948" w:type="dxa"/>
                  <w:vAlign w:val="center"/>
                </w:tcPr>
                <w:p w14:paraId="104A0849">
                  <w:pPr>
                    <w:autoSpaceDE w:val="0"/>
                    <w:autoSpaceDN w:val="0"/>
                    <w:adjustRightInd w:val="0"/>
                    <w:jc w:val="center"/>
                    <w:textAlignment w:val="baseline"/>
                    <w:rPr>
                      <w:color w:val="000000" w:themeColor="text1"/>
                      <w:sz w:val="2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不涉及</w:t>
                  </w:r>
                </w:p>
              </w:tc>
            </w:tr>
          </w:tbl>
          <w:p w14:paraId="49139243">
            <w:pPr>
              <w:widowControl/>
              <w:spacing w:line="360" w:lineRule="auto"/>
              <w:ind w:firstLine="480" w:firstLineChars="200"/>
              <w:jc w:val="both"/>
              <w:rPr>
                <w:color w:val="000000" w:themeColor="text1"/>
                <w14:textFill>
                  <w14:solidFill>
                    <w14:schemeClr w14:val="tx1"/>
                  </w14:solidFill>
                </w14:textFill>
              </w:rPr>
            </w:pPr>
            <w:r>
              <w:rPr>
                <w:color w:val="000000" w:themeColor="text1"/>
                <w:kern w:val="0"/>
                <w:sz w:val="24"/>
                <w:lang w:bidi="ar"/>
                <w14:textFill>
                  <w14:solidFill>
                    <w14:schemeClr w14:val="tx1"/>
                  </w14:solidFill>
                </w14:textFill>
              </w:rPr>
              <w:t>综上所述，经过与园区</w:t>
            </w:r>
            <w:r>
              <w:rPr>
                <w:rFonts w:hint="eastAsia"/>
                <w:color w:val="000000" w:themeColor="text1"/>
                <w:kern w:val="0"/>
                <w:sz w:val="24"/>
                <w:lang w:bidi="ar"/>
                <w14:textFill>
                  <w14:solidFill>
                    <w14:schemeClr w14:val="tx1"/>
                  </w14:solidFill>
                </w14:textFill>
              </w:rPr>
              <w:t>“</w:t>
            </w:r>
            <w:r>
              <w:rPr>
                <w:color w:val="000000" w:themeColor="text1"/>
                <w:kern w:val="0"/>
                <w:sz w:val="24"/>
                <w:lang w:bidi="ar"/>
                <w14:textFill>
                  <w14:solidFill>
                    <w14:schemeClr w14:val="tx1"/>
                  </w14:solidFill>
                </w14:textFill>
              </w:rPr>
              <w:t>三线一单</w:t>
            </w:r>
            <w:r>
              <w:rPr>
                <w:rFonts w:hint="eastAsia"/>
                <w:color w:val="000000" w:themeColor="text1"/>
                <w:kern w:val="0"/>
                <w:sz w:val="24"/>
                <w:lang w:bidi="ar"/>
                <w14:textFill>
                  <w14:solidFill>
                    <w14:schemeClr w14:val="tx1"/>
                  </w14:solidFill>
                </w14:textFill>
              </w:rPr>
              <w:t>”</w:t>
            </w:r>
            <w:r>
              <w:rPr>
                <w:color w:val="000000" w:themeColor="text1"/>
                <w:kern w:val="0"/>
                <w:sz w:val="24"/>
                <w:lang w:bidi="ar"/>
                <w14:textFill>
                  <w14:solidFill>
                    <w14:schemeClr w14:val="tx1"/>
                  </w14:solidFill>
                </w14:textFill>
              </w:rPr>
              <w:t>进行对照后，本项目不在生态保护红线内、未超出环境质量底线及资源利用上线、未列入环境准入负面清单内。</w:t>
            </w:r>
          </w:p>
          <w:p w14:paraId="435CEB6B">
            <w:pPr>
              <w:pStyle w:val="77"/>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color w:val="000000" w:themeColor="text1"/>
                <w:kern w:val="2"/>
                <w14:textFill>
                  <w14:solidFill>
                    <w14:schemeClr w14:val="tx1"/>
                  </w14:solidFill>
                </w14:textFill>
              </w:rPr>
            </w:pPr>
            <w:r>
              <w:rPr>
                <w:rFonts w:hint="eastAsia"/>
                <w:color w:val="000000" w:themeColor="text1"/>
                <w:kern w:val="2"/>
                <w:lang w:val="en-US" w:eastAsia="zh-CN"/>
                <w14:textFill>
                  <w14:solidFill>
                    <w14:schemeClr w14:val="tx1"/>
                  </w14:solidFill>
                </w14:textFill>
              </w:rPr>
              <w:t>4</w:t>
            </w:r>
            <w:r>
              <w:rPr>
                <w:color w:val="000000" w:themeColor="text1"/>
                <w:kern w:val="2"/>
                <w14:textFill>
                  <w14:solidFill>
                    <w14:schemeClr w14:val="tx1"/>
                  </w14:solidFill>
                </w14:textFill>
              </w:rPr>
              <w:t>、平面布置合理性分析</w:t>
            </w:r>
          </w:p>
          <w:p w14:paraId="140D287C">
            <w:pPr>
              <w:spacing w:line="360" w:lineRule="auto"/>
              <w:ind w:firstLine="480" w:firstLineChars="200"/>
              <w:rPr>
                <w:rFonts w:hint="default" w:ascii="Times New Roman" w:hAnsi="Times New Roman" w:cs="Times New Roman"/>
                <w:color w:val="FF0000"/>
                <w:kern w:val="10"/>
                <w:sz w:val="24"/>
              </w:rPr>
            </w:pPr>
            <w:r>
              <w:rPr>
                <w:rFonts w:hint="eastAsia" w:cs="Times New Roman"/>
                <w:color w:val="FF0000"/>
                <w:kern w:val="10"/>
                <w:sz w:val="24"/>
                <w:lang w:val="en-US" w:eastAsia="zh-CN"/>
              </w:rPr>
              <w:t>本次</w:t>
            </w:r>
            <w:r>
              <w:rPr>
                <w:rFonts w:hint="default" w:ascii="Times New Roman" w:hAnsi="Times New Roman" w:cs="Times New Roman"/>
                <w:color w:val="FF0000"/>
                <w:kern w:val="10"/>
                <w:sz w:val="24"/>
              </w:rPr>
              <w:t>技改锅炉项目位于现有工程</w:t>
            </w:r>
            <w:r>
              <w:rPr>
                <w:rFonts w:hint="eastAsia" w:cs="Times New Roman"/>
                <w:color w:val="FF0000"/>
                <w:kern w:val="10"/>
                <w:sz w:val="24"/>
                <w:lang w:val="en-US" w:eastAsia="zh-CN"/>
              </w:rPr>
              <w:t>锅炉房内</w:t>
            </w:r>
            <w:r>
              <w:rPr>
                <w:rFonts w:hint="default" w:ascii="Times New Roman" w:hAnsi="Times New Roman" w:cs="Times New Roman"/>
                <w:color w:val="FF0000"/>
                <w:kern w:val="10"/>
                <w:sz w:val="24"/>
              </w:rPr>
              <w:t>，不新增用地，技改项目不改变现有工程总平面布置。</w:t>
            </w:r>
          </w:p>
          <w:p w14:paraId="0331CD2B">
            <w:pPr>
              <w:keepNext w:val="0"/>
              <w:keepLines w:val="0"/>
              <w:widowControl/>
              <w:suppressLineNumbers w:val="0"/>
              <w:overflowPunct w:val="0"/>
              <w:topLinePunct/>
              <w:autoSpaceDE w:val="0"/>
              <w:snapToGrid w:val="0"/>
              <w:spacing w:before="0" w:beforeAutospacing="0" w:after="0" w:afterAutospacing="0" w:line="360" w:lineRule="auto"/>
              <w:ind w:left="0" w:leftChars="0" w:right="0" w:firstLine="480" w:firstLineChars="200"/>
              <w:rPr>
                <w:rFonts w:hint="eastAsia" w:cs="Times New Roman"/>
                <w:color w:val="FF0000"/>
                <w:kern w:val="10"/>
                <w:sz w:val="24"/>
                <w:vertAlign w:val="baseline"/>
                <w:lang w:val="en-US" w:eastAsia="zh-CN"/>
              </w:rPr>
            </w:pPr>
            <w:r>
              <w:rPr>
                <w:rFonts w:hint="eastAsia" w:cs="Times New Roman"/>
                <w:color w:val="FF0000"/>
                <w:kern w:val="10"/>
                <w:sz w:val="24"/>
                <w:lang w:val="en-US" w:eastAsia="zh-CN"/>
              </w:rPr>
              <w:t>从现有项目厂区布置来看，现有项目主要由饲料主车间、原料车间、成品车间、大小筒仓、仓库、发货雨棚、办公楼、锅炉房、宿舍楼、科研楼、地磅房组成，其中锅炉房为本次技改范围。</w:t>
            </w:r>
            <w:r>
              <w:rPr>
                <w:rFonts w:hint="eastAsia" w:cs="Times New Roman"/>
                <w:color w:val="FF0000"/>
                <w:kern w:val="10"/>
                <w:sz w:val="24"/>
                <w:vertAlign w:val="baseline"/>
                <w:lang w:val="en-US" w:eastAsia="zh-CN"/>
              </w:rPr>
              <w:t>饲料车间、原料车间、成品车间、大小筒仓集中区域布置，其中成品车间距离大门约50m、原料车间距离大门80m，运输车间可通过大门径直前往原料、成品车间装卸货物。现有项目大门东侧218m处为S218省道。</w:t>
            </w:r>
            <w:r>
              <w:rPr>
                <w:rFonts w:hint="eastAsia" w:cs="Times New Roman"/>
                <w:color w:val="FF0000"/>
                <w:kern w:val="10"/>
                <w:sz w:val="24"/>
                <w:lang w:val="en-US" w:eastAsia="zh-CN"/>
              </w:rPr>
              <w:t>本次锅炉技改项目仅占用现有锅炉房右侧45m</w:t>
            </w:r>
            <w:r>
              <w:rPr>
                <w:rFonts w:hint="eastAsia" w:cs="Times New Roman"/>
                <w:color w:val="FF0000"/>
                <w:kern w:val="10"/>
                <w:sz w:val="24"/>
                <w:vertAlign w:val="superscript"/>
                <w:lang w:val="en-US" w:eastAsia="zh-CN"/>
              </w:rPr>
              <w:t>2</w:t>
            </w:r>
            <w:r>
              <w:rPr>
                <w:rFonts w:hint="eastAsia" w:cs="Times New Roman"/>
                <w:color w:val="FF0000"/>
                <w:kern w:val="10"/>
                <w:sz w:val="24"/>
                <w:vertAlign w:val="baseline"/>
                <w:lang w:val="en-US" w:eastAsia="zh-CN"/>
              </w:rPr>
              <w:t>空间进行建设，并于锅炉房东西两侧各设置一个冷却塔、北侧设立一套布袋除尘设施；项目周边无敏感点，距离项目最近的村庄为东北侧149.7m处的果溪村；项目外排污污染物仅为锅炉烟气，经处理后可达标排放，与周边企业相容。</w:t>
            </w:r>
          </w:p>
          <w:p w14:paraId="576A2BD4">
            <w:pPr>
              <w:keepNext w:val="0"/>
              <w:keepLines w:val="0"/>
              <w:widowControl/>
              <w:suppressLineNumbers w:val="0"/>
              <w:overflowPunct w:val="0"/>
              <w:topLinePunct/>
              <w:autoSpaceDE w:val="0"/>
              <w:snapToGrid w:val="0"/>
              <w:spacing w:before="0" w:beforeAutospacing="0" w:after="0" w:afterAutospacing="0" w:line="360" w:lineRule="auto"/>
              <w:ind w:left="0" w:leftChars="0" w:right="0" w:firstLine="480" w:firstLineChars="200"/>
              <w:rPr>
                <w:color w:val="FF0000"/>
                <w:kern w:val="2"/>
                <w:szCs w:val="24"/>
              </w:rPr>
            </w:pPr>
            <w:r>
              <w:rPr>
                <w:rFonts w:hint="eastAsia" w:cs="Times New Roman"/>
                <w:color w:val="FF0000"/>
                <w:kern w:val="10"/>
                <w:sz w:val="24"/>
                <w:vertAlign w:val="baseline"/>
                <w:lang w:val="en-US" w:eastAsia="zh-CN"/>
              </w:rPr>
              <w:t>综</w:t>
            </w:r>
            <w:r>
              <w:rPr>
                <w:rFonts w:hint="eastAsia" w:cs="Times New Roman"/>
                <w:color w:val="FF0000"/>
                <w:kern w:val="10"/>
                <w:sz w:val="24"/>
                <w:szCs w:val="24"/>
                <w:vertAlign w:val="baseline"/>
                <w:lang w:val="en-US" w:eastAsia="zh-CN"/>
              </w:rPr>
              <w:t>上所述、现有项目、本次项目平面布置较为合理</w:t>
            </w:r>
            <w:r>
              <w:rPr>
                <w:color w:val="FF0000"/>
                <w:kern w:val="2"/>
                <w:sz w:val="24"/>
                <w:szCs w:val="24"/>
              </w:rPr>
              <w:t>。厂区平面布置见附图2。</w:t>
            </w:r>
          </w:p>
          <w:p w14:paraId="0BF5A182">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360" w:lineRule="auto"/>
              <w:ind w:left="0" w:right="0" w:firstLine="482" w:firstLineChars="200"/>
              <w:textAlignment w:val="auto"/>
              <w:rPr>
                <w:rFonts w:hint="eastAsia" w:ascii="Times New Roman" w:hAnsi="Times New Roman" w:eastAsia="宋体" w:cs="Times New Roman"/>
                <w:b/>
                <w:bCs/>
                <w:color w:val="000000" w:themeColor="text1"/>
                <w:kern w:val="0"/>
                <w:sz w:val="24"/>
                <w:lang w:val="en-US" w:eastAsia="zh-CN"/>
                <w14:textFill>
                  <w14:solidFill>
                    <w14:schemeClr w14:val="tx1"/>
                  </w14:solidFill>
                </w14:textFill>
              </w:rPr>
            </w:pPr>
            <w:r>
              <w:rPr>
                <w:rFonts w:hint="eastAsia" w:cs="Times New Roman"/>
                <w:b/>
                <w:bCs/>
                <w:color w:val="000000" w:themeColor="text1"/>
                <w:kern w:val="0"/>
                <w:sz w:val="24"/>
                <w:lang w:val="en-US" w:eastAsia="zh-CN"/>
                <w14:textFill>
                  <w14:solidFill>
                    <w14:schemeClr w14:val="tx1"/>
                  </w14:solidFill>
                </w14:textFill>
              </w:rPr>
              <w:t>5、项目与</w:t>
            </w:r>
            <w:r>
              <w:rPr>
                <w:rFonts w:hint="default" w:ascii="Times New Roman" w:hAnsi="Times New Roman" w:eastAsia="宋体" w:cs="Times New Roman"/>
                <w:b/>
                <w:bCs/>
                <w:color w:val="000000" w:themeColor="text1"/>
                <w:kern w:val="0"/>
                <w:sz w:val="24"/>
                <w:lang w:val="en-US" w:eastAsia="zh-CN"/>
                <w14:textFill>
                  <w14:solidFill>
                    <w14:schemeClr w14:val="tx1"/>
                  </w14:solidFill>
                </w14:textFill>
              </w:rPr>
              <w:t>《江西省长江经济带发展负面清单实施细则（试行</w:t>
            </w:r>
            <w:r>
              <w:rPr>
                <w:rFonts w:hint="eastAsia" w:ascii="Times New Roman" w:hAnsi="Times New Roman" w:eastAsia="宋体" w:cs="Times New Roman"/>
                <w:b/>
                <w:bCs/>
                <w:color w:val="000000" w:themeColor="text1"/>
                <w:kern w:val="0"/>
                <w:sz w:val="24"/>
                <w:lang w:val="en-US" w:eastAsia="zh-CN"/>
                <w14:textFill>
                  <w14:solidFill>
                    <w14:schemeClr w14:val="tx1"/>
                  </w14:solidFill>
                </w14:textFill>
              </w:rPr>
              <w:t>，</w:t>
            </w:r>
            <w:r>
              <w:rPr>
                <w:rFonts w:hint="default" w:ascii="Times New Roman" w:hAnsi="Times New Roman" w:eastAsia="宋体" w:cs="Times New Roman"/>
                <w:b/>
                <w:bCs/>
                <w:color w:val="000000" w:themeColor="text1"/>
                <w:kern w:val="0"/>
                <w:sz w:val="24"/>
                <w:lang w:val="en-US" w:eastAsia="zh-CN"/>
                <w14:textFill>
                  <w14:solidFill>
                    <w14:schemeClr w14:val="tx1"/>
                  </w14:solidFill>
                </w14:textFill>
              </w:rPr>
              <w:t>2022年版</w:t>
            </w:r>
            <w:r>
              <w:rPr>
                <w:rFonts w:hint="eastAsia" w:ascii="Times New Roman" w:hAnsi="Times New Roman" w:eastAsia="宋体" w:cs="Times New Roman"/>
                <w:b/>
                <w:bCs/>
                <w:color w:val="000000" w:themeColor="text1"/>
                <w:kern w:val="0"/>
                <w:sz w:val="24"/>
                <w:lang w:val="en-US" w:eastAsia="zh-CN"/>
                <w14:textFill>
                  <w14:solidFill>
                    <w14:schemeClr w14:val="tx1"/>
                  </w14:solidFill>
                </w14:textFill>
              </w:rPr>
              <w:t>）</w:t>
            </w:r>
            <w:r>
              <w:rPr>
                <w:rFonts w:hint="default" w:ascii="Times New Roman" w:hAnsi="Times New Roman" w:eastAsia="宋体" w:cs="Times New Roman"/>
                <w:b/>
                <w:bCs/>
                <w:color w:val="000000" w:themeColor="text1"/>
                <w:kern w:val="0"/>
                <w:sz w:val="24"/>
                <w:lang w:val="en-US" w:eastAsia="zh-CN"/>
                <w14:textFill>
                  <w14:solidFill>
                    <w14:schemeClr w14:val="tx1"/>
                  </w14:solidFill>
                </w14:textFill>
              </w:rPr>
              <w:t>》</w:t>
            </w:r>
            <w:r>
              <w:rPr>
                <w:rFonts w:hint="default" w:ascii="Times New Roman" w:hAnsi="Times New Roman" w:eastAsia="宋体" w:cs="Times New Roman"/>
                <w:b/>
                <w:bCs/>
                <w:color w:val="000000" w:themeColor="text1"/>
                <w:kern w:val="2"/>
                <w:sz w:val="24"/>
                <w:szCs w:val="24"/>
                <w:lang w:val="en-US" w:eastAsia="zh-CN" w:bidi="ar-SA"/>
                <w14:textFill>
                  <w14:solidFill>
                    <w14:schemeClr w14:val="tx1"/>
                  </w14:solidFill>
                </w14:textFill>
              </w:rPr>
              <w:t>（赣长江办〔2022〕7号）相符性分析</w:t>
            </w:r>
            <w:r>
              <w:rPr>
                <w:rFonts w:hint="eastAsia" w:ascii="Times New Roman" w:hAnsi="Times New Roman" w:eastAsia="宋体" w:cs="Times New Roman"/>
                <w:b/>
                <w:bCs/>
                <w:color w:val="000000" w:themeColor="text1"/>
                <w:kern w:val="2"/>
                <w:sz w:val="24"/>
                <w:szCs w:val="24"/>
                <w:lang w:val="en-US" w:eastAsia="zh-CN" w:bidi="ar-SA"/>
                <w14:textFill>
                  <w14:solidFill>
                    <w14:schemeClr w14:val="tx1"/>
                  </w14:solidFill>
                </w14:textFill>
              </w:rPr>
              <w:t>。</w:t>
            </w:r>
          </w:p>
          <w:p w14:paraId="2DF3C757">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bCs/>
                <w:color w:val="000000" w:themeColor="text1"/>
                <w:kern w:val="0"/>
                <w:sz w:val="24"/>
                <w14:textFill>
                  <w14:solidFill>
                    <w14:schemeClr w14:val="tx1"/>
                  </w14:solidFill>
                </w14:textFill>
              </w:rPr>
            </w:pPr>
            <w:r>
              <w:rPr>
                <w:rFonts w:hint="default" w:ascii="Times New Roman" w:hAnsi="Times New Roman" w:eastAsia="宋体" w:cs="Times New Roman"/>
                <w:b/>
                <w:bCs/>
                <w:color w:val="000000" w:themeColor="text1"/>
                <w:kern w:val="0"/>
                <w:sz w:val="24"/>
                <w14:textFill>
                  <w14:solidFill>
                    <w14:schemeClr w14:val="tx1"/>
                  </w14:solidFill>
                </w14:textFill>
              </w:rPr>
              <w:t>表1-</w:t>
            </w:r>
            <w:r>
              <w:rPr>
                <w:rFonts w:hint="eastAsia" w:cs="Times New Roman"/>
                <w:b/>
                <w:bCs/>
                <w:color w:val="FF0000"/>
                <w:kern w:val="0"/>
                <w:sz w:val="24"/>
                <w:lang w:val="en-US" w:eastAsia="zh-CN"/>
              </w:rPr>
              <w:t>6</w:t>
            </w:r>
            <w:r>
              <w:rPr>
                <w:rFonts w:hint="eastAsia" w:cs="Times New Roman"/>
                <w:b/>
                <w:bCs/>
                <w:color w:val="000000" w:themeColor="text1"/>
                <w:kern w:val="0"/>
                <w:sz w:val="24"/>
                <w:lang w:val="en-US" w:eastAsia="zh-CN"/>
                <w14:textFill>
                  <w14:solidFill>
                    <w14:schemeClr w14:val="tx1"/>
                  </w14:solidFill>
                </w14:textFill>
              </w:rPr>
              <w:t xml:space="preserve">  </w:t>
            </w:r>
            <w:r>
              <w:rPr>
                <w:rFonts w:hint="eastAsia" w:ascii="Times New Roman" w:hAnsi="Times New Roman" w:eastAsia="宋体" w:cs="Times New Roman"/>
                <w:b/>
                <w:bCs/>
                <w:color w:val="000000" w:themeColor="text1"/>
                <w:kern w:val="0"/>
                <w:sz w:val="24"/>
                <w:lang w:val="en-US" w:eastAsia="zh-CN"/>
                <w14:textFill>
                  <w14:solidFill>
                    <w14:schemeClr w14:val="tx1"/>
                  </w14:solidFill>
                </w14:textFill>
              </w:rPr>
              <w:t>项目</w:t>
            </w:r>
            <w:r>
              <w:rPr>
                <w:rFonts w:hint="eastAsia" w:cs="Times New Roman"/>
                <w:b/>
                <w:bCs/>
                <w:color w:val="000000" w:themeColor="text1"/>
                <w:kern w:val="0"/>
                <w:sz w:val="24"/>
                <w:lang w:val="en-US" w:eastAsia="zh-CN"/>
                <w14:textFill>
                  <w14:solidFill>
                    <w14:schemeClr w14:val="tx1"/>
                  </w14:solidFill>
                </w14:textFill>
              </w:rPr>
              <w:t>与</w:t>
            </w:r>
            <w:r>
              <w:rPr>
                <w:rFonts w:hint="default" w:ascii="Times New Roman" w:hAnsi="Times New Roman" w:eastAsia="宋体" w:cs="Times New Roman"/>
                <w:b/>
                <w:bCs/>
                <w:color w:val="000000" w:themeColor="text1"/>
                <w:kern w:val="0"/>
                <w:sz w:val="24"/>
                <w:lang w:val="en-US" w:eastAsia="zh-CN"/>
                <w14:textFill>
                  <w14:solidFill>
                    <w14:schemeClr w14:val="tx1"/>
                  </w14:solidFill>
                </w14:textFill>
              </w:rPr>
              <w:t>《江西省长江经济带发展负面清单实施细则</w:t>
            </w:r>
            <w:r>
              <w:rPr>
                <w:rFonts w:hint="eastAsia" w:cs="Times New Roman"/>
                <w:b/>
                <w:bCs/>
                <w:color w:val="000000" w:themeColor="text1"/>
                <w:kern w:val="0"/>
                <w:sz w:val="24"/>
                <w:lang w:val="en-US" w:eastAsia="zh-CN"/>
                <w14:textFill>
                  <w14:solidFill>
                    <w14:schemeClr w14:val="tx1"/>
                  </w14:solidFill>
                </w14:textFill>
              </w:rPr>
              <w:t>》</w:t>
            </w:r>
            <w:r>
              <w:rPr>
                <w:rFonts w:hint="default" w:ascii="Times New Roman" w:hAnsi="Times New Roman" w:eastAsia="宋体" w:cs="Times New Roman"/>
                <w:b/>
                <w:bCs/>
                <w:color w:val="000000" w:themeColor="text1"/>
                <w:kern w:val="0"/>
                <w:sz w:val="24"/>
                <w14:textFill>
                  <w14:solidFill>
                    <w14:schemeClr w14:val="tx1"/>
                  </w14:solidFill>
                </w14:textFill>
              </w:rPr>
              <w:t>相符性分析</w:t>
            </w:r>
          </w:p>
          <w:tbl>
            <w:tblPr>
              <w:tblStyle w:val="27"/>
              <w:tblW w:w="4998"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578"/>
              <w:gridCol w:w="4731"/>
              <w:gridCol w:w="1728"/>
              <w:gridCol w:w="737"/>
            </w:tblGrid>
            <w:tr w14:paraId="523F4BB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690" w:hRule="atLeast"/>
                <w:jc w:val="center"/>
              </w:trPr>
              <w:tc>
                <w:tcPr>
                  <w:tcW w:w="371" w:type="pct"/>
                  <w:tcBorders>
                    <w:tl2br w:val="nil"/>
                    <w:tr2bl w:val="nil"/>
                  </w:tcBorders>
                  <w:shd w:val="clear" w:color="auto" w:fill="auto"/>
                  <w:vAlign w:val="center"/>
                </w:tcPr>
                <w:p w14:paraId="4D27584E">
                  <w:pPr>
                    <w:pStyle w:val="85"/>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default" w:ascii="Times New Roman" w:hAnsi="Times New Roman" w:eastAsia="宋体" w:cs="Times New Roman"/>
                      <w:b/>
                      <w:bCs/>
                      <w:color w:val="000000" w:themeColor="text1"/>
                      <w:szCs w:val="21"/>
                      <w:lang w:val="en-US" w:eastAsia="zh-CN" w:bidi="ar"/>
                      <w14:textFill>
                        <w14:solidFill>
                          <w14:schemeClr w14:val="tx1"/>
                        </w14:solidFill>
                      </w14:textFill>
                    </w:rPr>
                  </w:pPr>
                  <w:r>
                    <w:rPr>
                      <w:rFonts w:hint="eastAsia" w:cs="Times New Roman"/>
                      <w:b/>
                      <w:bCs/>
                      <w:color w:val="000000" w:themeColor="text1"/>
                      <w:szCs w:val="21"/>
                      <w:lang w:val="en-US" w:eastAsia="zh-CN" w:bidi="ar"/>
                      <w14:textFill>
                        <w14:solidFill>
                          <w14:schemeClr w14:val="tx1"/>
                        </w14:solidFill>
                      </w14:textFill>
                    </w:rPr>
                    <w:t>序号</w:t>
                  </w:r>
                </w:p>
              </w:tc>
              <w:tc>
                <w:tcPr>
                  <w:tcW w:w="3042" w:type="pct"/>
                  <w:tcBorders>
                    <w:tl2br w:val="nil"/>
                    <w:tr2bl w:val="nil"/>
                  </w:tcBorders>
                  <w:shd w:val="clear" w:color="auto" w:fill="auto"/>
                  <w:vAlign w:val="center"/>
                </w:tcPr>
                <w:p w14:paraId="08312951">
                  <w:pPr>
                    <w:pStyle w:val="85"/>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default" w:ascii="Times New Roman" w:hAnsi="Times New Roman" w:eastAsia="宋体" w:cs="Times New Roman"/>
                      <w:b/>
                      <w:bCs/>
                      <w:color w:val="000000" w:themeColor="text1"/>
                      <w:sz w:val="21"/>
                      <w:szCs w:val="21"/>
                      <w:highlight w:val="lightGray"/>
                      <w:lang w:val="en-US" w:eastAsia="zh-CN"/>
                      <w14:textFill>
                        <w14:solidFill>
                          <w14:schemeClr w14:val="tx1"/>
                        </w14:solidFill>
                      </w14:textFill>
                    </w:rPr>
                  </w:pPr>
                  <w:r>
                    <w:rPr>
                      <w:rFonts w:hint="default" w:ascii="Times New Roman" w:hAnsi="Times New Roman" w:eastAsia="宋体" w:cs="Times New Roman"/>
                      <w:b/>
                      <w:bCs/>
                      <w:color w:val="000000" w:themeColor="text1"/>
                      <w:szCs w:val="21"/>
                      <w:lang w:val="en-US" w:eastAsia="zh-CN" w:bidi="ar"/>
                      <w14:textFill>
                        <w14:solidFill>
                          <w14:schemeClr w14:val="tx1"/>
                        </w14:solidFill>
                      </w14:textFill>
                    </w:rPr>
                    <w:t>负面清单内容</w:t>
                  </w:r>
                </w:p>
              </w:tc>
              <w:tc>
                <w:tcPr>
                  <w:tcW w:w="1111" w:type="pct"/>
                  <w:tcBorders>
                    <w:tl2br w:val="nil"/>
                    <w:tr2bl w:val="nil"/>
                  </w:tcBorders>
                  <w:vAlign w:val="center"/>
                </w:tcPr>
                <w:p w14:paraId="659BC550">
                  <w:pPr>
                    <w:pStyle w:val="85"/>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default" w:ascii="Times New Roman" w:hAnsi="Times New Roman" w:eastAsia="宋体" w:cs="Times New Roman"/>
                      <w:b/>
                      <w:bCs/>
                      <w:color w:val="000000" w:themeColor="text1"/>
                      <w:sz w:val="21"/>
                      <w:szCs w:val="21"/>
                      <w:highlight w:val="lightGray"/>
                      <w:lang w:val="en-US" w:eastAsia="zh-CN"/>
                      <w14:textFill>
                        <w14:solidFill>
                          <w14:schemeClr w14:val="tx1"/>
                        </w14:solidFill>
                      </w14:textFill>
                    </w:rPr>
                  </w:pPr>
                  <w:r>
                    <w:rPr>
                      <w:rFonts w:hint="default" w:ascii="Times New Roman" w:hAnsi="Times New Roman" w:eastAsia="宋体" w:cs="Times New Roman"/>
                      <w:b/>
                      <w:bCs/>
                      <w:color w:val="000000" w:themeColor="text1"/>
                      <w:szCs w:val="21"/>
                      <w:lang w:val="en-US" w:eastAsia="zh-CN" w:bidi="ar"/>
                      <w14:textFill>
                        <w14:solidFill>
                          <w14:schemeClr w14:val="tx1"/>
                        </w14:solidFill>
                      </w14:textFill>
                    </w:rPr>
                    <w:t>本项目</w:t>
                  </w:r>
                  <w:r>
                    <w:rPr>
                      <w:rFonts w:hint="eastAsia" w:cs="Times New Roman"/>
                      <w:b/>
                      <w:bCs/>
                      <w:color w:val="000000" w:themeColor="text1"/>
                      <w:szCs w:val="21"/>
                      <w:lang w:val="en-US" w:eastAsia="zh-CN" w:bidi="ar"/>
                      <w14:textFill>
                        <w14:solidFill>
                          <w14:schemeClr w14:val="tx1"/>
                        </w14:solidFill>
                      </w14:textFill>
                    </w:rPr>
                    <w:t>情况</w:t>
                  </w:r>
                </w:p>
              </w:tc>
              <w:tc>
                <w:tcPr>
                  <w:tcW w:w="474" w:type="pct"/>
                  <w:tcBorders>
                    <w:tl2br w:val="nil"/>
                    <w:tr2bl w:val="nil"/>
                  </w:tcBorders>
                  <w:vAlign w:val="center"/>
                </w:tcPr>
                <w:p w14:paraId="586060C0">
                  <w:pPr>
                    <w:pStyle w:val="85"/>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bCs/>
                      <w:color w:val="000000" w:themeColor="text1"/>
                      <w:szCs w:val="21"/>
                      <w:lang w:val="en-US" w:eastAsia="zh-CN" w:bidi="ar"/>
                      <w14:textFill>
                        <w14:solidFill>
                          <w14:schemeClr w14:val="tx1"/>
                        </w14:solidFill>
                      </w14:textFill>
                    </w:rPr>
                  </w:pPr>
                  <w:r>
                    <w:rPr>
                      <w:rFonts w:hint="eastAsia" w:cs="Times New Roman"/>
                      <w:b/>
                      <w:bCs/>
                      <w:color w:val="000000" w:themeColor="text1"/>
                      <w:szCs w:val="21"/>
                      <w:lang w:val="en-US" w:eastAsia="zh-CN" w:bidi="ar"/>
                      <w14:textFill>
                        <w14:solidFill>
                          <w14:schemeClr w14:val="tx1"/>
                        </w14:solidFill>
                      </w14:textFill>
                    </w:rPr>
                    <w:t>符合性</w:t>
                  </w:r>
                </w:p>
              </w:tc>
            </w:tr>
            <w:tr w14:paraId="15E371B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840" w:hRule="atLeast"/>
                <w:jc w:val="center"/>
              </w:trPr>
              <w:tc>
                <w:tcPr>
                  <w:tcW w:w="371" w:type="pct"/>
                  <w:tcBorders>
                    <w:tl2br w:val="nil"/>
                    <w:tr2bl w:val="nil"/>
                  </w:tcBorders>
                  <w:shd w:val="clear" w:color="auto" w:fill="auto"/>
                  <w:vAlign w:val="center"/>
                </w:tcPr>
                <w:p w14:paraId="384C2AC3">
                  <w:pPr>
                    <w:pStyle w:val="85"/>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000000" w:themeColor="text1"/>
                      <w:szCs w:val="21"/>
                      <w:lang w:val="en-US" w:eastAsia="zh-CN" w:bidi="ar"/>
                      <w14:textFill>
                        <w14:solidFill>
                          <w14:schemeClr w14:val="tx1"/>
                        </w14:solidFill>
                      </w14:textFill>
                    </w:rPr>
                  </w:pPr>
                  <w:r>
                    <w:rPr>
                      <w:rFonts w:hint="eastAsia" w:cs="Times New Roman"/>
                      <w:color w:val="000000" w:themeColor="text1"/>
                      <w:szCs w:val="21"/>
                      <w:lang w:val="en-US" w:eastAsia="zh-CN" w:bidi="ar"/>
                      <w14:textFill>
                        <w14:solidFill>
                          <w14:schemeClr w14:val="tx1"/>
                        </w14:solidFill>
                      </w14:textFill>
                    </w:rPr>
                    <w:t>1</w:t>
                  </w:r>
                </w:p>
              </w:tc>
              <w:tc>
                <w:tcPr>
                  <w:tcW w:w="3042" w:type="pct"/>
                  <w:tcBorders>
                    <w:tl2br w:val="nil"/>
                    <w:tr2bl w:val="nil"/>
                  </w:tcBorders>
                  <w:shd w:val="clear" w:color="auto" w:fill="auto"/>
                  <w:vAlign w:val="center"/>
                </w:tcPr>
                <w:p w14:paraId="511B414E">
                  <w:pPr>
                    <w:pStyle w:val="85"/>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default" w:ascii="Times New Roman" w:hAnsi="Times New Roman" w:eastAsia="宋体" w:cs="Times New Roman"/>
                      <w:b/>
                      <w:bCs/>
                      <w:color w:val="000000" w:themeColor="text1"/>
                      <w:sz w:val="21"/>
                      <w:szCs w:val="21"/>
                      <w:highlight w:val="lightGray"/>
                      <w:lang w:val="zh-CN"/>
                      <w14:textFill>
                        <w14:solidFill>
                          <w14:schemeClr w14:val="tx1"/>
                        </w14:solidFill>
                      </w14:textFill>
                    </w:rPr>
                  </w:pPr>
                  <w:r>
                    <w:rPr>
                      <w:rFonts w:hint="default" w:ascii="Times New Roman" w:hAnsi="Times New Roman" w:eastAsia="宋体" w:cs="Times New Roman"/>
                      <w:color w:val="000000" w:themeColor="text1"/>
                      <w:szCs w:val="21"/>
                      <w:lang w:bidi="ar"/>
                      <w14:textFill>
                        <w14:solidFill>
                          <w14:schemeClr w14:val="tx1"/>
                        </w14:solidFill>
                      </w14:textFill>
                    </w:rPr>
                    <w:t>禁止建设不符合全国和省级港口布局规划以及港口总体规划的码头项目，禁止建设不符合《长江</w:t>
                  </w:r>
                  <w:r>
                    <w:rPr>
                      <w:rFonts w:hint="eastAsia" w:cs="Times New Roman"/>
                      <w:color w:val="000000" w:themeColor="text1"/>
                      <w:szCs w:val="21"/>
                      <w:lang w:val="en-US" w:eastAsia="zh-CN" w:bidi="ar"/>
                      <w14:textFill>
                        <w14:solidFill>
                          <w14:schemeClr w14:val="tx1"/>
                        </w14:solidFill>
                      </w14:textFill>
                    </w:rPr>
                    <w:t>干</w:t>
                  </w:r>
                  <w:r>
                    <w:rPr>
                      <w:rFonts w:hint="default" w:ascii="Times New Roman" w:hAnsi="Times New Roman" w:eastAsia="宋体" w:cs="Times New Roman"/>
                      <w:color w:val="000000" w:themeColor="text1"/>
                      <w:szCs w:val="21"/>
                      <w:lang w:bidi="ar"/>
                      <w14:textFill>
                        <w14:solidFill>
                          <w14:schemeClr w14:val="tx1"/>
                        </w14:solidFill>
                      </w14:textFill>
                    </w:rPr>
                    <w:t>线过江通道</w:t>
                  </w:r>
                  <w:r>
                    <w:rPr>
                      <w:rFonts w:hint="eastAsia" w:cs="Times New Roman"/>
                      <w:color w:val="000000" w:themeColor="text1"/>
                      <w:szCs w:val="21"/>
                      <w:lang w:val="en-US" w:eastAsia="zh-CN" w:bidi="ar"/>
                      <w14:textFill>
                        <w14:solidFill>
                          <w14:schemeClr w14:val="tx1"/>
                        </w14:solidFill>
                      </w14:textFill>
                    </w:rPr>
                    <w:t>布</w:t>
                  </w:r>
                  <w:r>
                    <w:rPr>
                      <w:rFonts w:hint="default" w:ascii="Times New Roman" w:hAnsi="Times New Roman" w:eastAsia="宋体" w:cs="Times New Roman"/>
                      <w:color w:val="000000" w:themeColor="text1"/>
                      <w:szCs w:val="21"/>
                      <w:lang w:bidi="ar"/>
                      <w14:textFill>
                        <w14:solidFill>
                          <w14:schemeClr w14:val="tx1"/>
                        </w14:solidFill>
                      </w14:textFill>
                    </w:rPr>
                    <w:t>局规划》的过长江通道项目。</w:t>
                  </w:r>
                </w:p>
              </w:tc>
              <w:tc>
                <w:tcPr>
                  <w:tcW w:w="1111" w:type="pct"/>
                  <w:tcBorders>
                    <w:tl2br w:val="nil"/>
                    <w:tr2bl w:val="nil"/>
                  </w:tcBorders>
                  <w:vAlign w:val="center"/>
                </w:tcPr>
                <w:p w14:paraId="3F2D8B91">
                  <w:pPr>
                    <w:pStyle w:val="85"/>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eastAsia" w:ascii="Times New Roman" w:hAnsi="Times New Roman" w:eastAsia="宋体" w:cs="Times New Roman"/>
                      <w:b/>
                      <w:bCs/>
                      <w:color w:val="000000" w:themeColor="text1"/>
                      <w:sz w:val="21"/>
                      <w:szCs w:val="21"/>
                      <w:highlight w:val="lightGray"/>
                      <w:lang w:val="zh-CN" w:eastAsia="zh-CN"/>
                      <w14:textFill>
                        <w14:solidFill>
                          <w14:schemeClr w14:val="tx1"/>
                        </w14:solidFill>
                      </w14:textFill>
                    </w:rPr>
                  </w:pPr>
                  <w:r>
                    <w:rPr>
                      <w:rFonts w:hint="default" w:ascii="Times New Roman" w:hAnsi="Times New Roman" w:eastAsia="宋体" w:cs="Times New Roman"/>
                      <w:color w:val="000000" w:themeColor="text1"/>
                      <w:sz w:val="21"/>
                      <w:szCs w:val="21"/>
                      <w:lang w:bidi="ar"/>
                      <w14:textFill>
                        <w14:solidFill>
                          <w14:schemeClr w14:val="tx1"/>
                        </w14:solidFill>
                      </w14:textFill>
                    </w:rPr>
                    <w:t>本项目</w:t>
                  </w:r>
                  <w:r>
                    <w:rPr>
                      <w:rFonts w:hint="default" w:ascii="Times New Roman" w:hAnsi="Times New Roman" w:eastAsia="宋体" w:cs="Times New Roman"/>
                      <w:color w:val="000000" w:themeColor="text1"/>
                      <w:szCs w:val="21"/>
                      <w:lang w:bidi="ar"/>
                      <w14:textFill>
                        <w14:solidFill>
                          <w14:schemeClr w14:val="tx1"/>
                        </w14:solidFill>
                      </w14:textFill>
                    </w:rPr>
                    <w:t>不属于码头项目及过长江通道项目</w:t>
                  </w:r>
                </w:p>
              </w:tc>
              <w:tc>
                <w:tcPr>
                  <w:tcW w:w="474" w:type="pct"/>
                  <w:tcBorders>
                    <w:tl2br w:val="nil"/>
                    <w:tr2bl w:val="nil"/>
                  </w:tcBorders>
                  <w:vAlign w:val="center"/>
                </w:tcPr>
                <w:p w14:paraId="18E37EFA">
                  <w:pPr>
                    <w:pStyle w:val="85"/>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Times New Roman" w:hAnsi="Times New Roman" w:eastAsia="宋体" w:cs="Times New Roman"/>
                      <w:color w:val="000000" w:themeColor="text1"/>
                      <w:szCs w:val="21"/>
                      <w:lang w:val="en-US" w:eastAsia="zh-CN" w:bidi="ar"/>
                      <w14:textFill>
                        <w14:solidFill>
                          <w14:schemeClr w14:val="tx1"/>
                        </w14:solidFill>
                      </w14:textFill>
                    </w:rPr>
                  </w:pPr>
                  <w:r>
                    <w:rPr>
                      <w:rFonts w:hint="eastAsia" w:cs="Times New Roman"/>
                      <w:color w:val="000000" w:themeColor="text1"/>
                      <w:szCs w:val="21"/>
                      <w:lang w:val="en-US" w:eastAsia="zh-CN" w:bidi="ar"/>
                      <w14:textFill>
                        <w14:solidFill>
                          <w14:schemeClr w14:val="tx1"/>
                        </w14:solidFill>
                      </w14:textFill>
                    </w:rPr>
                    <w:t>不涉及</w:t>
                  </w:r>
                </w:p>
              </w:tc>
            </w:tr>
            <w:tr w14:paraId="6C0FDC5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1" w:hRule="atLeast"/>
                <w:jc w:val="center"/>
              </w:trPr>
              <w:tc>
                <w:tcPr>
                  <w:tcW w:w="371" w:type="pct"/>
                  <w:tcBorders>
                    <w:tl2br w:val="nil"/>
                    <w:tr2bl w:val="nil"/>
                  </w:tcBorders>
                  <w:shd w:val="clear" w:color="auto" w:fill="auto"/>
                  <w:vAlign w:val="center"/>
                </w:tcPr>
                <w:p w14:paraId="4DDA7215">
                  <w:pPr>
                    <w:pStyle w:val="85"/>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000000" w:themeColor="text1"/>
                      <w:szCs w:val="21"/>
                      <w:lang w:val="en-US" w:eastAsia="zh-CN" w:bidi="ar"/>
                      <w14:textFill>
                        <w14:solidFill>
                          <w14:schemeClr w14:val="tx1"/>
                        </w14:solidFill>
                      </w14:textFill>
                    </w:rPr>
                  </w:pPr>
                  <w:r>
                    <w:rPr>
                      <w:rFonts w:hint="eastAsia" w:cs="Times New Roman"/>
                      <w:color w:val="000000" w:themeColor="text1"/>
                      <w:szCs w:val="21"/>
                      <w:lang w:val="en-US" w:eastAsia="zh-CN" w:bidi="ar"/>
                      <w14:textFill>
                        <w14:solidFill>
                          <w14:schemeClr w14:val="tx1"/>
                        </w14:solidFill>
                      </w14:textFill>
                    </w:rPr>
                    <w:t>2</w:t>
                  </w:r>
                </w:p>
              </w:tc>
              <w:tc>
                <w:tcPr>
                  <w:tcW w:w="3042" w:type="pct"/>
                  <w:tcBorders>
                    <w:tl2br w:val="nil"/>
                    <w:tr2bl w:val="nil"/>
                  </w:tcBorders>
                  <w:shd w:val="clear" w:color="auto" w:fill="auto"/>
                  <w:vAlign w:val="center"/>
                </w:tcPr>
                <w:p w14:paraId="5B0B6633">
                  <w:pPr>
                    <w:pStyle w:val="85"/>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default" w:ascii="Times New Roman" w:hAnsi="Times New Roman" w:eastAsia="宋体" w:cs="Times New Roman"/>
                      <w:b/>
                      <w:bCs/>
                      <w:color w:val="000000" w:themeColor="text1"/>
                      <w:sz w:val="21"/>
                      <w:szCs w:val="21"/>
                      <w:highlight w:val="lightGray"/>
                      <w:lang w:val="en-US" w:eastAsia="zh-CN"/>
                      <w14:textFill>
                        <w14:solidFill>
                          <w14:schemeClr w14:val="tx1"/>
                        </w14:solidFill>
                      </w14:textFill>
                    </w:rPr>
                  </w:pPr>
                  <w:r>
                    <w:rPr>
                      <w:rFonts w:hint="default" w:ascii="Times New Roman" w:hAnsi="Times New Roman" w:eastAsia="宋体" w:cs="Times New Roman"/>
                      <w:color w:val="000000" w:themeColor="text1"/>
                      <w:szCs w:val="21"/>
                      <w:lang w:bidi="ar"/>
                      <w14:textFill>
                        <w14:solidFill>
                          <w14:schemeClr w14:val="tx1"/>
                        </w14:solidFill>
                      </w14:textFill>
                    </w:rPr>
                    <w:t>禁止在自然保护区核心区、缓冲区的岸线和河段范围内投资建设旅游和生产经营项目。禁止在</w:t>
                  </w:r>
                  <w:r>
                    <w:rPr>
                      <w:rFonts w:hint="eastAsia" w:cs="Times New Roman"/>
                      <w:color w:val="000000" w:themeColor="text1"/>
                      <w:szCs w:val="21"/>
                      <w:lang w:val="en-US" w:eastAsia="zh-CN" w:bidi="ar"/>
                      <w14:textFill>
                        <w14:solidFill>
                          <w14:schemeClr w14:val="tx1"/>
                        </w14:solidFill>
                      </w14:textFill>
                    </w:rPr>
                    <w:t>风</w:t>
                  </w:r>
                  <w:r>
                    <w:rPr>
                      <w:rFonts w:hint="default" w:ascii="Times New Roman" w:hAnsi="Times New Roman" w:eastAsia="宋体" w:cs="Times New Roman"/>
                      <w:color w:val="000000" w:themeColor="text1"/>
                      <w:szCs w:val="21"/>
                      <w:lang w:bidi="ar"/>
                      <w14:textFill>
                        <w14:solidFill>
                          <w14:schemeClr w14:val="tx1"/>
                        </w14:solidFill>
                      </w14:textFill>
                    </w:rPr>
                    <w:t>景名胜区核心景区的岸线和河段范围内投资建设与风景名胜</w:t>
                  </w:r>
                  <w:r>
                    <w:rPr>
                      <w:rFonts w:hint="default" w:ascii="Times New Roman" w:hAnsi="Times New Roman" w:eastAsia="宋体" w:cs="Times New Roman"/>
                      <w:color w:val="000000" w:themeColor="text1"/>
                      <w:szCs w:val="21"/>
                      <w:lang w:val="en-US" w:eastAsia="zh-CN" w:bidi="ar"/>
                      <w14:textFill>
                        <w14:solidFill>
                          <w14:schemeClr w14:val="tx1"/>
                        </w14:solidFill>
                      </w14:textFill>
                    </w:rPr>
                    <w:t>资源保护无关的项目。</w:t>
                  </w:r>
                </w:p>
              </w:tc>
              <w:tc>
                <w:tcPr>
                  <w:tcW w:w="1111" w:type="pct"/>
                  <w:tcBorders>
                    <w:tl2br w:val="nil"/>
                    <w:tr2bl w:val="nil"/>
                  </w:tcBorders>
                  <w:vAlign w:val="center"/>
                </w:tcPr>
                <w:p w14:paraId="5A9AF98D">
                  <w:pPr>
                    <w:pStyle w:val="85"/>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eastAsia" w:ascii="Times New Roman" w:hAnsi="Times New Roman" w:eastAsia="宋体" w:cs="Times New Roman"/>
                      <w:b/>
                      <w:bCs/>
                      <w:color w:val="000000" w:themeColor="text1"/>
                      <w:sz w:val="21"/>
                      <w:szCs w:val="21"/>
                      <w:highlight w:val="lightGray"/>
                      <w:lang w:val="zh-CN" w:eastAsia="zh-CN"/>
                      <w14:textFill>
                        <w14:solidFill>
                          <w14:schemeClr w14:val="tx1"/>
                        </w14:solidFill>
                      </w14:textFill>
                    </w:rPr>
                  </w:pPr>
                  <w:r>
                    <w:rPr>
                      <w:rFonts w:hint="default" w:ascii="Times New Roman" w:hAnsi="Times New Roman" w:eastAsia="宋体" w:cs="Times New Roman"/>
                      <w:color w:val="000000" w:themeColor="text1"/>
                      <w:szCs w:val="21"/>
                      <w:lang w:bidi="ar"/>
                      <w14:textFill>
                        <w14:solidFill>
                          <w14:schemeClr w14:val="tx1"/>
                        </w14:solidFill>
                      </w14:textFill>
                    </w:rPr>
                    <w:t>本项目</w:t>
                  </w:r>
                  <w:r>
                    <w:rPr>
                      <w:rFonts w:hint="eastAsia" w:eastAsia="宋体" w:cs="Times New Roman"/>
                      <w:color w:val="000000" w:themeColor="text1"/>
                      <w:szCs w:val="21"/>
                      <w:lang w:val="en-US" w:eastAsia="zh-CN" w:bidi="ar"/>
                      <w14:textFill>
                        <w14:solidFill>
                          <w14:schemeClr w14:val="tx1"/>
                        </w14:solidFill>
                      </w14:textFill>
                    </w:rPr>
                    <w:t>所在地</w:t>
                  </w:r>
                  <w:r>
                    <w:rPr>
                      <w:rFonts w:hint="default" w:ascii="Times New Roman" w:hAnsi="Times New Roman" w:eastAsia="宋体" w:cs="Times New Roman"/>
                      <w:color w:val="000000" w:themeColor="text1"/>
                      <w:szCs w:val="21"/>
                      <w:lang w:bidi="ar"/>
                      <w14:textFill>
                        <w14:solidFill>
                          <w14:schemeClr w14:val="tx1"/>
                        </w14:solidFill>
                      </w14:textFill>
                    </w:rPr>
                    <w:t>不在自然保护区范围及风景名胜区</w:t>
                  </w:r>
                </w:p>
              </w:tc>
              <w:tc>
                <w:tcPr>
                  <w:tcW w:w="474" w:type="pct"/>
                  <w:tcBorders>
                    <w:tl2br w:val="nil"/>
                    <w:tr2bl w:val="nil"/>
                  </w:tcBorders>
                  <w:vAlign w:val="center"/>
                </w:tcPr>
                <w:p w14:paraId="19F99B58">
                  <w:pPr>
                    <w:pStyle w:val="85"/>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textAlignment w:val="auto"/>
                    <w:rPr>
                      <w:rFonts w:hint="default" w:ascii="Times New Roman" w:hAnsi="Times New Roman" w:eastAsia="宋体" w:cs="Times New Roman"/>
                      <w:color w:val="000000" w:themeColor="text1"/>
                      <w:szCs w:val="21"/>
                      <w:lang w:bidi="ar"/>
                      <w14:textFill>
                        <w14:solidFill>
                          <w14:schemeClr w14:val="tx1"/>
                        </w14:solidFill>
                      </w14:textFill>
                    </w:rPr>
                  </w:pPr>
                  <w:r>
                    <w:rPr>
                      <w:rFonts w:hint="eastAsia" w:cs="Times New Roman"/>
                      <w:color w:val="000000" w:themeColor="text1"/>
                      <w:szCs w:val="21"/>
                      <w:lang w:val="en-US" w:eastAsia="zh-CN" w:bidi="ar"/>
                      <w14:textFill>
                        <w14:solidFill>
                          <w14:schemeClr w14:val="tx1"/>
                        </w14:solidFill>
                      </w14:textFill>
                    </w:rPr>
                    <w:t>不涉及</w:t>
                  </w:r>
                </w:p>
              </w:tc>
            </w:tr>
            <w:tr w14:paraId="40527B9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22" w:hRule="atLeast"/>
                <w:jc w:val="center"/>
              </w:trPr>
              <w:tc>
                <w:tcPr>
                  <w:tcW w:w="371" w:type="pct"/>
                  <w:tcBorders>
                    <w:tl2br w:val="nil"/>
                    <w:tr2bl w:val="nil"/>
                  </w:tcBorders>
                  <w:shd w:val="clear" w:color="auto" w:fill="auto"/>
                  <w:vAlign w:val="center"/>
                </w:tcPr>
                <w:p w14:paraId="510713DE">
                  <w:pPr>
                    <w:pStyle w:val="85"/>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000000" w:themeColor="text1"/>
                      <w:szCs w:val="21"/>
                      <w:lang w:val="en-US" w:eastAsia="zh-CN" w:bidi="ar"/>
                      <w14:textFill>
                        <w14:solidFill>
                          <w14:schemeClr w14:val="tx1"/>
                        </w14:solidFill>
                      </w14:textFill>
                    </w:rPr>
                  </w:pPr>
                  <w:r>
                    <w:rPr>
                      <w:rFonts w:hint="eastAsia" w:cs="Times New Roman"/>
                      <w:color w:val="000000" w:themeColor="text1"/>
                      <w:szCs w:val="21"/>
                      <w:lang w:val="en-US" w:eastAsia="zh-CN" w:bidi="ar"/>
                      <w14:textFill>
                        <w14:solidFill>
                          <w14:schemeClr w14:val="tx1"/>
                        </w14:solidFill>
                      </w14:textFill>
                    </w:rPr>
                    <w:t>3</w:t>
                  </w:r>
                </w:p>
              </w:tc>
              <w:tc>
                <w:tcPr>
                  <w:tcW w:w="3042" w:type="pct"/>
                  <w:tcBorders>
                    <w:tl2br w:val="nil"/>
                    <w:tr2bl w:val="nil"/>
                  </w:tcBorders>
                  <w:shd w:val="clear" w:color="auto" w:fill="auto"/>
                  <w:vAlign w:val="center"/>
                </w:tcPr>
                <w:p w14:paraId="64DAFB3D">
                  <w:pPr>
                    <w:pStyle w:val="85"/>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default" w:ascii="Times New Roman" w:hAnsi="Times New Roman" w:eastAsia="宋体" w:cs="Times New Roman"/>
                      <w:b/>
                      <w:bCs/>
                      <w:color w:val="000000" w:themeColor="text1"/>
                      <w:sz w:val="21"/>
                      <w:szCs w:val="21"/>
                      <w:highlight w:val="lightGray"/>
                      <w:lang w:val="en-US" w:eastAsia="zh-CN"/>
                      <w14:textFill>
                        <w14:solidFill>
                          <w14:schemeClr w14:val="tx1"/>
                        </w14:solidFill>
                      </w14:textFill>
                    </w:rPr>
                  </w:pPr>
                  <w:r>
                    <w:rPr>
                      <w:rFonts w:hint="default" w:ascii="Times New Roman" w:hAnsi="Times New Roman" w:eastAsia="宋体" w:cs="Times New Roman"/>
                      <w:color w:val="000000" w:themeColor="text1"/>
                      <w:szCs w:val="21"/>
                      <w:lang w:bidi="ar"/>
                      <w14:textFill>
                        <w14:solidFill>
                          <w14:schemeClr w14:val="tx1"/>
                        </w14:solidFill>
                      </w14:textFill>
                    </w:rPr>
                    <w:t>禁止在饮用水水源一级保护区的岸线和河段范围内新建、改建、扩建与供水设施和保护</w:t>
                  </w:r>
                  <w:r>
                    <w:rPr>
                      <w:rFonts w:hint="default" w:ascii="Times New Roman" w:hAnsi="Times New Roman" w:eastAsia="宋体" w:cs="Times New Roman"/>
                      <w:color w:val="000000" w:themeColor="text1"/>
                      <w:sz w:val="21"/>
                      <w:szCs w:val="21"/>
                      <w:lang w:bidi="ar"/>
                      <w14:textFill>
                        <w14:solidFill>
                          <w14:schemeClr w14:val="tx1"/>
                        </w14:solidFill>
                      </w14:textFill>
                    </w:rPr>
                    <w:t>水源无关的项目以及网箱养殖、旅游等可能污染饮用水水体的投资建设项目。禁</w:t>
                  </w:r>
                  <w:r>
                    <w:rPr>
                      <w:rFonts w:hint="default" w:ascii="Times New Roman" w:hAnsi="Times New Roman" w:eastAsia="宋体" w:cs="Times New Roman"/>
                      <w:color w:val="000000" w:themeColor="text1"/>
                      <w:szCs w:val="21"/>
                      <w:lang w:bidi="ar"/>
                      <w14:textFill>
                        <w14:solidFill>
                          <w14:schemeClr w14:val="tx1"/>
                        </w14:solidFill>
                      </w14:textFill>
                    </w:rPr>
                    <w:t>止在饮用水水源二级保护区的</w:t>
                  </w:r>
                  <w:r>
                    <w:rPr>
                      <w:rFonts w:hint="eastAsia" w:cs="Times New Roman"/>
                      <w:color w:val="000000" w:themeColor="text1"/>
                      <w:szCs w:val="21"/>
                      <w:lang w:val="en-US" w:eastAsia="zh-CN" w:bidi="ar"/>
                      <w14:textFill>
                        <w14:solidFill>
                          <w14:schemeClr w14:val="tx1"/>
                        </w14:solidFill>
                      </w14:textFill>
                    </w:rPr>
                    <w:t>岸</w:t>
                  </w:r>
                  <w:r>
                    <w:rPr>
                      <w:rFonts w:hint="default" w:ascii="Times New Roman" w:hAnsi="Times New Roman" w:eastAsia="宋体" w:cs="Times New Roman"/>
                      <w:color w:val="000000" w:themeColor="text1"/>
                      <w:szCs w:val="21"/>
                      <w:lang w:bidi="ar"/>
                      <w14:textFill>
                        <w14:solidFill>
                          <w14:schemeClr w14:val="tx1"/>
                        </w14:solidFill>
                      </w14:textFill>
                    </w:rPr>
                    <w:t>线和河段范围内新建、改建、扩建排放污染物的投资建设项目禁止在水产种质资源保护区的岸线和河段范</w:t>
                  </w:r>
                  <w:r>
                    <w:rPr>
                      <w:rFonts w:hint="eastAsia" w:cs="Times New Roman"/>
                      <w:color w:val="000000" w:themeColor="text1"/>
                      <w:szCs w:val="21"/>
                      <w:lang w:val="en-US" w:eastAsia="zh-CN" w:bidi="ar"/>
                      <w14:textFill>
                        <w14:solidFill>
                          <w14:schemeClr w14:val="tx1"/>
                        </w14:solidFill>
                      </w14:textFill>
                    </w:rPr>
                    <w:t>围</w:t>
                  </w:r>
                  <w:r>
                    <w:rPr>
                      <w:rFonts w:hint="default" w:ascii="Times New Roman" w:hAnsi="Times New Roman" w:eastAsia="宋体" w:cs="Times New Roman"/>
                      <w:color w:val="000000" w:themeColor="text1"/>
                      <w:szCs w:val="21"/>
                      <w:lang w:bidi="ar"/>
                      <w14:textFill>
                        <w14:solidFill>
                          <w14:schemeClr w14:val="tx1"/>
                        </w14:solidFill>
                      </w14:textFill>
                    </w:rPr>
                    <w:t>内新建排污口，以及围湖造田、围海造地或围填海等投资建设项目。禁止在国家湿地公园的岸线和河段范围内挖沙、采矿，以及任何不符合主体功能定位的投资建</w:t>
                  </w:r>
                  <w:r>
                    <w:rPr>
                      <w:rFonts w:hint="default" w:ascii="Times New Roman" w:hAnsi="Times New Roman" w:eastAsia="宋体" w:cs="Times New Roman"/>
                      <w:color w:val="000000" w:themeColor="text1"/>
                      <w:szCs w:val="21"/>
                      <w:lang w:val="en-US" w:eastAsia="zh-CN" w:bidi="ar"/>
                      <w14:textFill>
                        <w14:solidFill>
                          <w14:schemeClr w14:val="tx1"/>
                        </w14:solidFill>
                      </w14:textFill>
                    </w:rPr>
                    <w:t>设项目。</w:t>
                  </w:r>
                </w:p>
              </w:tc>
              <w:tc>
                <w:tcPr>
                  <w:tcW w:w="1111" w:type="pct"/>
                  <w:tcBorders>
                    <w:tl2br w:val="nil"/>
                    <w:tr2bl w:val="nil"/>
                  </w:tcBorders>
                  <w:vAlign w:val="center"/>
                </w:tcPr>
                <w:p w14:paraId="0E420E86">
                  <w:pPr>
                    <w:pStyle w:val="85"/>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eastAsia" w:ascii="Times New Roman" w:hAnsi="Times New Roman" w:eastAsia="宋体" w:cs="Times New Roman"/>
                      <w:b/>
                      <w:bCs/>
                      <w:color w:val="000000" w:themeColor="text1"/>
                      <w:sz w:val="21"/>
                      <w:szCs w:val="21"/>
                      <w:highlight w:val="lightGray"/>
                      <w:lang w:val="zh-CN" w:eastAsia="zh-CN"/>
                      <w14:textFill>
                        <w14:solidFill>
                          <w14:schemeClr w14:val="tx1"/>
                        </w14:solidFill>
                      </w14:textFill>
                    </w:rPr>
                  </w:pPr>
                  <w:r>
                    <w:rPr>
                      <w:rFonts w:hint="default" w:ascii="Times New Roman" w:hAnsi="Times New Roman" w:eastAsia="宋体" w:cs="Times New Roman"/>
                      <w:color w:val="000000" w:themeColor="text1"/>
                      <w:szCs w:val="21"/>
                      <w:lang w:bidi="ar"/>
                      <w14:textFill>
                        <w14:solidFill>
                          <w14:schemeClr w14:val="tx1"/>
                        </w14:solidFill>
                      </w14:textFill>
                    </w:rPr>
                    <w:t>本项目</w:t>
                  </w:r>
                  <w:r>
                    <w:rPr>
                      <w:rFonts w:hint="eastAsia" w:eastAsia="宋体" w:cs="Times New Roman"/>
                      <w:color w:val="000000" w:themeColor="text1"/>
                      <w:szCs w:val="21"/>
                      <w:lang w:val="en-US" w:eastAsia="zh-CN" w:bidi="ar"/>
                      <w14:textFill>
                        <w14:solidFill>
                          <w14:schemeClr w14:val="tx1"/>
                        </w14:solidFill>
                      </w14:textFill>
                    </w:rPr>
                    <w:t>所在地</w:t>
                  </w:r>
                  <w:r>
                    <w:rPr>
                      <w:rFonts w:hint="default" w:ascii="Times New Roman" w:hAnsi="Times New Roman" w:eastAsia="宋体" w:cs="Times New Roman"/>
                      <w:color w:val="000000" w:themeColor="text1"/>
                      <w:szCs w:val="21"/>
                      <w:lang w:bidi="ar"/>
                      <w14:textFill>
                        <w14:solidFill>
                          <w14:schemeClr w14:val="tx1"/>
                        </w14:solidFill>
                      </w14:textFill>
                    </w:rPr>
                    <w:t>不在饮用水一级保护区及二级保护区范围内</w:t>
                  </w:r>
                </w:p>
              </w:tc>
              <w:tc>
                <w:tcPr>
                  <w:tcW w:w="474" w:type="pct"/>
                  <w:tcBorders>
                    <w:tl2br w:val="nil"/>
                    <w:tr2bl w:val="nil"/>
                  </w:tcBorders>
                  <w:shd w:val="clear" w:color="auto" w:fill="auto"/>
                  <w:vAlign w:val="center"/>
                </w:tcPr>
                <w:p w14:paraId="52A652E9">
                  <w:pPr>
                    <w:pStyle w:val="85"/>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textAlignment w:val="auto"/>
                    <w:rPr>
                      <w:rFonts w:hint="default" w:ascii="Times New Roman" w:hAnsi="Times New Roman" w:eastAsia="宋体" w:cs="Times New Roman"/>
                      <w:color w:val="000000" w:themeColor="text1"/>
                      <w:sz w:val="21"/>
                      <w:szCs w:val="21"/>
                      <w:lang w:val="en-US" w:eastAsia="zh-CN" w:bidi="ar"/>
                      <w14:textFill>
                        <w14:solidFill>
                          <w14:schemeClr w14:val="tx1"/>
                        </w14:solidFill>
                      </w14:textFill>
                    </w:rPr>
                  </w:pPr>
                  <w:r>
                    <w:rPr>
                      <w:rFonts w:hint="eastAsia" w:cs="Times New Roman"/>
                      <w:color w:val="000000" w:themeColor="text1"/>
                      <w:szCs w:val="21"/>
                      <w:lang w:val="en-US" w:eastAsia="zh-CN" w:bidi="ar"/>
                      <w14:textFill>
                        <w14:solidFill>
                          <w14:schemeClr w14:val="tx1"/>
                        </w14:solidFill>
                      </w14:textFill>
                    </w:rPr>
                    <w:t>不涉及</w:t>
                  </w:r>
                </w:p>
              </w:tc>
            </w:tr>
            <w:tr w14:paraId="6EC14FE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688" w:hRule="atLeast"/>
                <w:jc w:val="center"/>
              </w:trPr>
              <w:tc>
                <w:tcPr>
                  <w:tcW w:w="371" w:type="pct"/>
                  <w:tcBorders>
                    <w:tl2br w:val="nil"/>
                    <w:tr2bl w:val="nil"/>
                  </w:tcBorders>
                  <w:shd w:val="clear" w:color="auto" w:fill="auto"/>
                  <w:vAlign w:val="center"/>
                </w:tcPr>
                <w:p w14:paraId="0A4EE4AD">
                  <w:pPr>
                    <w:pStyle w:val="85"/>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000000" w:themeColor="text1"/>
                      <w:szCs w:val="21"/>
                      <w:lang w:val="en-US" w:eastAsia="zh-CN" w:bidi="ar"/>
                      <w14:textFill>
                        <w14:solidFill>
                          <w14:schemeClr w14:val="tx1"/>
                        </w14:solidFill>
                      </w14:textFill>
                    </w:rPr>
                  </w:pPr>
                  <w:r>
                    <w:rPr>
                      <w:rFonts w:hint="eastAsia" w:cs="Times New Roman"/>
                      <w:color w:val="000000" w:themeColor="text1"/>
                      <w:szCs w:val="21"/>
                      <w:lang w:val="en-US" w:eastAsia="zh-CN" w:bidi="ar"/>
                      <w14:textFill>
                        <w14:solidFill>
                          <w14:schemeClr w14:val="tx1"/>
                        </w14:solidFill>
                      </w14:textFill>
                    </w:rPr>
                    <w:t>4</w:t>
                  </w:r>
                </w:p>
              </w:tc>
              <w:tc>
                <w:tcPr>
                  <w:tcW w:w="3042" w:type="pct"/>
                  <w:tcBorders>
                    <w:tl2br w:val="nil"/>
                    <w:tr2bl w:val="nil"/>
                  </w:tcBorders>
                  <w:shd w:val="clear" w:color="auto" w:fill="auto"/>
                  <w:vAlign w:val="center"/>
                </w:tcPr>
                <w:p w14:paraId="67B1436C">
                  <w:pPr>
                    <w:pStyle w:val="85"/>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default" w:ascii="Times New Roman" w:hAnsi="Times New Roman" w:eastAsia="宋体" w:cs="Times New Roman"/>
                      <w:b/>
                      <w:bCs/>
                      <w:color w:val="000000" w:themeColor="text1"/>
                      <w:sz w:val="21"/>
                      <w:szCs w:val="21"/>
                      <w:highlight w:val="lightGray"/>
                      <w:lang w:val="en-US" w:eastAsia="zh-CN"/>
                      <w14:textFill>
                        <w14:solidFill>
                          <w14:schemeClr w14:val="tx1"/>
                        </w14:solidFill>
                      </w14:textFill>
                    </w:rPr>
                  </w:pPr>
                  <w:r>
                    <w:rPr>
                      <w:rFonts w:hint="default" w:ascii="Times New Roman" w:hAnsi="Times New Roman" w:eastAsia="宋体" w:cs="Times New Roman"/>
                      <w:color w:val="000000" w:themeColor="text1"/>
                      <w:szCs w:val="21"/>
                      <w:lang w:bidi="ar"/>
                      <w14:textFill>
                        <w14:solidFill>
                          <w14:schemeClr w14:val="tx1"/>
                        </w14:solidFill>
                      </w14:textFill>
                    </w:rPr>
                    <w:t>禁止在水产种质资源保护区的岸线和河段范</w:t>
                  </w:r>
                  <w:r>
                    <w:rPr>
                      <w:rFonts w:hint="eastAsia" w:cs="Times New Roman"/>
                      <w:color w:val="000000" w:themeColor="text1"/>
                      <w:szCs w:val="21"/>
                      <w:lang w:val="en-US" w:eastAsia="zh-CN" w:bidi="ar"/>
                      <w14:textFill>
                        <w14:solidFill>
                          <w14:schemeClr w14:val="tx1"/>
                        </w14:solidFill>
                      </w14:textFill>
                    </w:rPr>
                    <w:t>围</w:t>
                  </w:r>
                  <w:r>
                    <w:rPr>
                      <w:rFonts w:hint="default" w:ascii="Times New Roman" w:hAnsi="Times New Roman" w:eastAsia="宋体" w:cs="Times New Roman"/>
                      <w:color w:val="000000" w:themeColor="text1"/>
                      <w:szCs w:val="21"/>
                      <w:lang w:bidi="ar"/>
                      <w14:textFill>
                        <w14:solidFill>
                          <w14:schemeClr w14:val="tx1"/>
                        </w14:solidFill>
                      </w14:textFill>
                    </w:rPr>
                    <w:t>内新建排污口，以及围湖造田、围海造地或围填海等投资建设项目。禁止在国家湿地公园的岸线和河段范围内挖沙、采矿，以及任何不符合主体功能定位的投资建</w:t>
                  </w:r>
                  <w:r>
                    <w:rPr>
                      <w:rFonts w:hint="default" w:ascii="Times New Roman" w:hAnsi="Times New Roman" w:eastAsia="宋体" w:cs="Times New Roman"/>
                      <w:color w:val="000000" w:themeColor="text1"/>
                      <w:szCs w:val="21"/>
                      <w:lang w:val="en-US" w:eastAsia="zh-CN" w:bidi="ar"/>
                      <w14:textFill>
                        <w14:solidFill>
                          <w14:schemeClr w14:val="tx1"/>
                        </w14:solidFill>
                      </w14:textFill>
                    </w:rPr>
                    <w:t>设项目。</w:t>
                  </w:r>
                </w:p>
              </w:tc>
              <w:tc>
                <w:tcPr>
                  <w:tcW w:w="1111" w:type="pct"/>
                  <w:tcBorders>
                    <w:tl2br w:val="nil"/>
                    <w:tr2bl w:val="nil"/>
                  </w:tcBorders>
                  <w:vAlign w:val="center"/>
                </w:tcPr>
                <w:p w14:paraId="5C4DF52B">
                  <w:pPr>
                    <w:pStyle w:val="85"/>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eastAsia" w:ascii="Times New Roman" w:hAnsi="Times New Roman" w:eastAsia="宋体" w:cs="Times New Roman"/>
                      <w:b/>
                      <w:bCs/>
                      <w:color w:val="000000" w:themeColor="text1"/>
                      <w:sz w:val="21"/>
                      <w:szCs w:val="21"/>
                      <w:highlight w:val="lightGray"/>
                      <w:lang w:val="zh-CN" w:eastAsia="zh-CN"/>
                      <w14:textFill>
                        <w14:solidFill>
                          <w14:schemeClr w14:val="tx1"/>
                        </w14:solidFill>
                      </w14:textFill>
                    </w:rPr>
                  </w:pPr>
                  <w:r>
                    <w:rPr>
                      <w:rFonts w:hint="default" w:ascii="Times New Roman" w:hAnsi="Times New Roman" w:eastAsia="宋体" w:cs="Times New Roman"/>
                      <w:color w:val="000000" w:themeColor="text1"/>
                      <w:szCs w:val="21"/>
                      <w:lang w:bidi="ar"/>
                      <w14:textFill>
                        <w14:solidFill>
                          <w14:schemeClr w14:val="tx1"/>
                        </w14:solidFill>
                      </w14:textFill>
                    </w:rPr>
                    <w:t>本项目不</w:t>
                  </w:r>
                  <w:r>
                    <w:rPr>
                      <w:rFonts w:hint="eastAsia" w:eastAsia="宋体" w:cs="Times New Roman"/>
                      <w:color w:val="000000" w:themeColor="text1"/>
                      <w:szCs w:val="21"/>
                      <w:lang w:val="en-US" w:eastAsia="zh-CN" w:bidi="ar"/>
                      <w14:textFill>
                        <w14:solidFill>
                          <w14:schemeClr w14:val="tx1"/>
                        </w14:solidFill>
                      </w14:textFill>
                    </w:rPr>
                    <w:t>在</w:t>
                  </w:r>
                  <w:r>
                    <w:rPr>
                      <w:rFonts w:hint="default" w:ascii="Times New Roman" w:hAnsi="Times New Roman" w:eastAsia="宋体" w:cs="Times New Roman"/>
                      <w:color w:val="000000" w:themeColor="text1"/>
                      <w:szCs w:val="21"/>
                      <w:lang w:bidi="ar"/>
                      <w14:textFill>
                        <w14:solidFill>
                          <w14:schemeClr w14:val="tx1"/>
                        </w14:solidFill>
                      </w14:textFill>
                    </w:rPr>
                    <w:t>水产种质保护区及国家湿地公园的岸线和河段范围内</w:t>
                  </w:r>
                </w:p>
              </w:tc>
              <w:tc>
                <w:tcPr>
                  <w:tcW w:w="474" w:type="pct"/>
                  <w:tcBorders>
                    <w:tl2br w:val="nil"/>
                    <w:tr2bl w:val="nil"/>
                  </w:tcBorders>
                  <w:shd w:val="clear" w:color="auto" w:fill="auto"/>
                  <w:vAlign w:val="center"/>
                </w:tcPr>
                <w:p w14:paraId="30C96BCD">
                  <w:pPr>
                    <w:pStyle w:val="85"/>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textAlignment w:val="auto"/>
                    <w:rPr>
                      <w:rFonts w:hint="default" w:ascii="Times New Roman" w:hAnsi="Times New Roman" w:eastAsia="宋体" w:cs="Times New Roman"/>
                      <w:color w:val="000000" w:themeColor="text1"/>
                      <w:sz w:val="21"/>
                      <w:szCs w:val="21"/>
                      <w:lang w:val="en-US" w:eastAsia="zh-CN" w:bidi="ar"/>
                      <w14:textFill>
                        <w14:solidFill>
                          <w14:schemeClr w14:val="tx1"/>
                        </w14:solidFill>
                      </w14:textFill>
                    </w:rPr>
                  </w:pPr>
                  <w:r>
                    <w:rPr>
                      <w:rFonts w:hint="eastAsia" w:cs="Times New Roman"/>
                      <w:color w:val="000000" w:themeColor="text1"/>
                      <w:szCs w:val="21"/>
                      <w:lang w:val="en-US" w:eastAsia="zh-CN" w:bidi="ar"/>
                      <w14:textFill>
                        <w14:solidFill>
                          <w14:schemeClr w14:val="tx1"/>
                        </w14:solidFill>
                      </w14:textFill>
                    </w:rPr>
                    <w:t>不涉及</w:t>
                  </w:r>
                </w:p>
              </w:tc>
            </w:tr>
            <w:tr w14:paraId="742D5BC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71" w:type="pct"/>
                  <w:tcBorders>
                    <w:tl2br w:val="nil"/>
                    <w:tr2bl w:val="nil"/>
                  </w:tcBorders>
                  <w:shd w:val="clear" w:color="auto" w:fill="auto"/>
                  <w:vAlign w:val="center"/>
                </w:tcPr>
                <w:p w14:paraId="4E18FC78">
                  <w:pPr>
                    <w:pStyle w:val="85"/>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000000" w:themeColor="text1"/>
                      <w:szCs w:val="21"/>
                      <w:lang w:val="en-US" w:eastAsia="zh-CN" w:bidi="ar"/>
                      <w14:textFill>
                        <w14:solidFill>
                          <w14:schemeClr w14:val="tx1"/>
                        </w14:solidFill>
                      </w14:textFill>
                    </w:rPr>
                  </w:pPr>
                  <w:r>
                    <w:rPr>
                      <w:rFonts w:hint="eastAsia" w:cs="Times New Roman"/>
                      <w:color w:val="000000" w:themeColor="text1"/>
                      <w:szCs w:val="21"/>
                      <w:lang w:val="en-US" w:eastAsia="zh-CN" w:bidi="ar"/>
                      <w14:textFill>
                        <w14:solidFill>
                          <w14:schemeClr w14:val="tx1"/>
                        </w14:solidFill>
                      </w14:textFill>
                    </w:rPr>
                    <w:t>5</w:t>
                  </w:r>
                </w:p>
              </w:tc>
              <w:tc>
                <w:tcPr>
                  <w:tcW w:w="3042" w:type="pct"/>
                  <w:tcBorders>
                    <w:tl2br w:val="nil"/>
                    <w:tr2bl w:val="nil"/>
                  </w:tcBorders>
                  <w:shd w:val="clear" w:color="auto" w:fill="auto"/>
                  <w:vAlign w:val="center"/>
                </w:tcPr>
                <w:p w14:paraId="50B98CDC">
                  <w:pPr>
                    <w:pStyle w:val="85"/>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default" w:ascii="Times New Roman" w:hAnsi="Times New Roman" w:eastAsia="宋体" w:cs="Times New Roman"/>
                      <w:b/>
                      <w:bCs/>
                      <w:color w:val="000000" w:themeColor="text1"/>
                      <w:sz w:val="21"/>
                      <w:szCs w:val="21"/>
                      <w:highlight w:val="lightGray"/>
                      <w:lang w:val="zh-CN"/>
                      <w14:textFill>
                        <w14:solidFill>
                          <w14:schemeClr w14:val="tx1"/>
                        </w14:solidFill>
                      </w14:textFill>
                    </w:rPr>
                  </w:pPr>
                  <w:r>
                    <w:rPr>
                      <w:rFonts w:hint="default" w:ascii="Times New Roman" w:hAnsi="Times New Roman" w:eastAsia="宋体" w:cs="Times New Roman"/>
                      <w:color w:val="000000" w:themeColor="text1"/>
                      <w:szCs w:val="21"/>
                      <w:lang w:bidi="ar"/>
                      <w14:textFill>
                        <w14:solidFill>
                          <w14:schemeClr w14:val="tx1"/>
                        </w14:solidFill>
                      </w14:textFill>
                    </w:rPr>
                    <w:t>禁止在《长江岸线保护和开发利用总体规划》划定的岸线保护区内投资建设除保障防洪安全、河势稳定、供水安全以及保护生态环境、已建重要枢纽工程以外的项目，禁止在岸</w:t>
                  </w:r>
                  <w:r>
                    <w:rPr>
                      <w:rFonts w:hint="eastAsia" w:cs="Times New Roman"/>
                      <w:color w:val="000000" w:themeColor="text1"/>
                      <w:szCs w:val="21"/>
                      <w:lang w:val="en-US" w:eastAsia="zh-CN" w:bidi="ar"/>
                      <w14:textFill>
                        <w14:solidFill>
                          <w14:schemeClr w14:val="tx1"/>
                        </w14:solidFill>
                      </w14:textFill>
                    </w:rPr>
                    <w:t>线</w:t>
                  </w:r>
                  <w:r>
                    <w:rPr>
                      <w:rFonts w:hint="default" w:ascii="Times New Roman" w:hAnsi="Times New Roman" w:eastAsia="宋体" w:cs="Times New Roman"/>
                      <w:color w:val="000000" w:themeColor="text1"/>
                      <w:szCs w:val="21"/>
                      <w:lang w:bidi="ar"/>
                      <w14:textFill>
                        <w14:solidFill>
                          <w14:schemeClr w14:val="tx1"/>
                        </w14:solidFill>
                      </w14:textFill>
                    </w:rPr>
                    <w:t>保留区内投资建设除保障防洪安全、河势稳定、供水安全、航道</w:t>
                  </w:r>
                  <w:r>
                    <w:rPr>
                      <w:rFonts w:hint="eastAsia" w:cs="Times New Roman"/>
                      <w:color w:val="000000" w:themeColor="text1"/>
                      <w:szCs w:val="21"/>
                      <w:lang w:val="en-US" w:eastAsia="zh-CN" w:bidi="ar"/>
                      <w14:textFill>
                        <w14:solidFill>
                          <w14:schemeClr w14:val="tx1"/>
                        </w14:solidFill>
                      </w14:textFill>
                    </w:rPr>
                    <w:t>稳</w:t>
                  </w:r>
                  <w:r>
                    <w:rPr>
                      <w:rFonts w:hint="default" w:ascii="Times New Roman" w:hAnsi="Times New Roman" w:eastAsia="宋体" w:cs="Times New Roman"/>
                      <w:color w:val="000000" w:themeColor="text1"/>
                      <w:szCs w:val="21"/>
                      <w:lang w:bidi="ar"/>
                      <w14:textFill>
                        <w14:solidFill>
                          <w14:schemeClr w14:val="tx1"/>
                        </w14:solidFill>
                      </w14:textFill>
                    </w:rPr>
                    <w:t>定以及</w:t>
                  </w:r>
                  <w:r>
                    <w:rPr>
                      <w:rFonts w:hint="eastAsia" w:cs="Times New Roman"/>
                      <w:color w:val="000000" w:themeColor="text1"/>
                      <w:szCs w:val="21"/>
                      <w:lang w:val="en-US" w:eastAsia="zh-CN" w:bidi="ar"/>
                      <w14:textFill>
                        <w14:solidFill>
                          <w14:schemeClr w14:val="tx1"/>
                        </w14:solidFill>
                      </w14:textFill>
                    </w:rPr>
                    <w:t>保</w:t>
                  </w:r>
                  <w:r>
                    <w:rPr>
                      <w:rFonts w:hint="default" w:ascii="Times New Roman" w:hAnsi="Times New Roman" w:eastAsia="宋体" w:cs="Times New Roman"/>
                      <w:color w:val="000000" w:themeColor="text1"/>
                      <w:szCs w:val="21"/>
                      <w:lang w:bidi="ar"/>
                      <w14:textFill>
                        <w14:solidFill>
                          <w14:schemeClr w14:val="tx1"/>
                        </w14:solidFill>
                      </w14:textFill>
                    </w:rPr>
                    <w:t>护生态环境以外的项目。禁止在《全国重要江河湖泊水功能区划》划定的河段保护区、保留区内投资建设不利于水资源及自然生态保护的项目。</w:t>
                  </w:r>
                </w:p>
              </w:tc>
              <w:tc>
                <w:tcPr>
                  <w:tcW w:w="1111" w:type="pct"/>
                  <w:tcBorders>
                    <w:tl2br w:val="nil"/>
                    <w:tr2bl w:val="nil"/>
                  </w:tcBorders>
                  <w:vAlign w:val="center"/>
                </w:tcPr>
                <w:p w14:paraId="2ACAED72">
                  <w:pPr>
                    <w:pStyle w:val="85"/>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default" w:ascii="Times New Roman" w:hAnsi="Times New Roman" w:eastAsia="宋体" w:cs="Times New Roman"/>
                      <w:b/>
                      <w:bCs/>
                      <w:color w:val="000000" w:themeColor="text1"/>
                      <w:sz w:val="21"/>
                      <w:szCs w:val="21"/>
                      <w:highlight w:val="lightGray"/>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bidi="ar"/>
                      <w14:textFill>
                        <w14:solidFill>
                          <w14:schemeClr w14:val="tx1"/>
                        </w14:solidFill>
                      </w14:textFill>
                    </w:rPr>
                    <w:t>本项目不在</w:t>
                  </w:r>
                  <w:r>
                    <w:rPr>
                      <w:rFonts w:hint="default" w:ascii="Times New Roman" w:hAnsi="Times New Roman" w:eastAsia="宋体" w:cs="Times New Roman"/>
                      <w:color w:val="000000" w:themeColor="text1"/>
                      <w:szCs w:val="21"/>
                      <w:lang w:bidi="ar"/>
                      <w14:textFill>
                        <w14:solidFill>
                          <w14:schemeClr w14:val="tx1"/>
                        </w14:solidFill>
                      </w14:textFill>
                    </w:rPr>
                    <w:t>《长江岸线保护和开发利用总体规划》</w:t>
                  </w:r>
                  <w:r>
                    <w:rPr>
                      <w:rFonts w:hint="eastAsia" w:cs="Times New Roman"/>
                      <w:color w:val="000000" w:themeColor="text1"/>
                      <w:szCs w:val="21"/>
                      <w:lang w:val="en-US" w:eastAsia="zh-CN" w:bidi="ar"/>
                      <w14:textFill>
                        <w14:solidFill>
                          <w14:schemeClr w14:val="tx1"/>
                        </w14:solidFill>
                      </w14:textFill>
                    </w:rPr>
                    <w:t>规划</w:t>
                  </w:r>
                  <w:r>
                    <w:rPr>
                      <w:rFonts w:hint="default" w:ascii="Times New Roman" w:hAnsi="Times New Roman" w:eastAsia="宋体" w:cs="Times New Roman"/>
                      <w:color w:val="000000" w:themeColor="text1"/>
                      <w:szCs w:val="21"/>
                      <w:lang w:val="en-US" w:eastAsia="zh-CN" w:bidi="ar"/>
                      <w14:textFill>
                        <w14:solidFill>
                          <w14:schemeClr w14:val="tx1"/>
                        </w14:solidFill>
                      </w14:textFill>
                    </w:rPr>
                    <w:t>范围内</w:t>
                  </w:r>
                </w:p>
              </w:tc>
              <w:tc>
                <w:tcPr>
                  <w:tcW w:w="474" w:type="pct"/>
                  <w:tcBorders>
                    <w:tl2br w:val="nil"/>
                    <w:tr2bl w:val="nil"/>
                  </w:tcBorders>
                  <w:shd w:val="clear" w:color="auto" w:fill="auto"/>
                  <w:vAlign w:val="center"/>
                </w:tcPr>
                <w:p w14:paraId="4CF77AEB">
                  <w:pPr>
                    <w:pStyle w:val="85"/>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textAlignment w:val="auto"/>
                    <w:rPr>
                      <w:rFonts w:hint="default" w:ascii="Times New Roman" w:hAnsi="Times New Roman" w:eastAsia="宋体" w:cs="Times New Roman"/>
                      <w:color w:val="000000" w:themeColor="text1"/>
                      <w:sz w:val="21"/>
                      <w:szCs w:val="21"/>
                      <w:lang w:val="en-US" w:eastAsia="zh-CN" w:bidi="ar"/>
                      <w14:textFill>
                        <w14:solidFill>
                          <w14:schemeClr w14:val="tx1"/>
                        </w14:solidFill>
                      </w14:textFill>
                    </w:rPr>
                  </w:pPr>
                  <w:r>
                    <w:rPr>
                      <w:rFonts w:hint="eastAsia" w:cs="Times New Roman"/>
                      <w:color w:val="000000" w:themeColor="text1"/>
                      <w:szCs w:val="21"/>
                      <w:lang w:val="en-US" w:eastAsia="zh-CN" w:bidi="ar"/>
                      <w14:textFill>
                        <w14:solidFill>
                          <w14:schemeClr w14:val="tx1"/>
                        </w14:solidFill>
                      </w14:textFill>
                    </w:rPr>
                    <w:t>不涉及</w:t>
                  </w:r>
                </w:p>
              </w:tc>
            </w:tr>
            <w:tr w14:paraId="06EC91A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71" w:type="pct"/>
                  <w:tcBorders>
                    <w:tl2br w:val="nil"/>
                    <w:tr2bl w:val="nil"/>
                  </w:tcBorders>
                  <w:shd w:val="clear" w:color="auto" w:fill="auto"/>
                  <w:vAlign w:val="center"/>
                </w:tcPr>
                <w:p w14:paraId="40E08916">
                  <w:pPr>
                    <w:pStyle w:val="85"/>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eastAsia" w:cs="Times New Roman"/>
                      <w:b w:val="0"/>
                      <w:bCs w:val="0"/>
                      <w:color w:val="000000" w:themeColor="text1"/>
                      <w:sz w:val="21"/>
                      <w:szCs w:val="21"/>
                      <w:highlight w:val="none"/>
                      <w:lang w:val="en-US" w:eastAsia="zh-CN"/>
                      <w14:textFill>
                        <w14:solidFill>
                          <w14:schemeClr w14:val="tx1"/>
                        </w14:solidFill>
                      </w14:textFill>
                    </w:rPr>
                    <w:t>6</w:t>
                  </w:r>
                </w:p>
              </w:tc>
              <w:tc>
                <w:tcPr>
                  <w:tcW w:w="3042" w:type="pct"/>
                  <w:tcBorders>
                    <w:tl2br w:val="nil"/>
                    <w:tr2bl w:val="nil"/>
                  </w:tcBorders>
                  <w:shd w:val="clear" w:color="auto" w:fill="auto"/>
                  <w:vAlign w:val="center"/>
                </w:tcPr>
                <w:p w14:paraId="3EB02A2C">
                  <w:pPr>
                    <w:pStyle w:val="85"/>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default" w:ascii="Times New Roman" w:hAnsi="Times New Roman" w:eastAsia="宋体" w:cs="Times New Roman"/>
                      <w:b w:val="0"/>
                      <w:bCs w:val="0"/>
                      <w:color w:val="000000" w:themeColor="text1"/>
                      <w:sz w:val="21"/>
                      <w:szCs w:val="21"/>
                      <w:highlight w:val="none"/>
                      <w:lang w:val="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zh-CN"/>
                      <w14:textFill>
                        <w14:solidFill>
                          <w14:schemeClr w14:val="tx1"/>
                        </w14:solidFill>
                      </w14:textFill>
                    </w:rPr>
                    <w:t>禁止在生态保护红线和永久基本农田范围内投资建设除国家重大战略资源勘查项目、生态保护修复和环境治理项目、重大基础设施项目、军事国防项目以及农牧民基本生产生活等必要的民生项目以外的项目。</w:t>
                  </w:r>
                </w:p>
              </w:tc>
              <w:tc>
                <w:tcPr>
                  <w:tcW w:w="1111" w:type="pct"/>
                  <w:tcBorders>
                    <w:tl2br w:val="nil"/>
                    <w:tr2bl w:val="nil"/>
                  </w:tcBorders>
                  <w:vAlign w:val="center"/>
                </w:tcPr>
                <w:p w14:paraId="6CE1BAA3">
                  <w:pPr>
                    <w:pStyle w:val="85"/>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本项目不在生态红线</w:t>
                  </w:r>
                  <w:r>
                    <w:rPr>
                      <w:rFonts w:hint="eastAsia" w:cs="Times New Roman"/>
                      <w:b w:val="0"/>
                      <w:bCs w:val="0"/>
                      <w:color w:val="000000" w:themeColor="text1"/>
                      <w:sz w:val="21"/>
                      <w:szCs w:val="21"/>
                      <w:highlight w:val="none"/>
                      <w:lang w:val="en-US" w:eastAsia="zh-CN"/>
                      <w14:textFill>
                        <w14:solidFill>
                          <w14:schemeClr w14:val="tx1"/>
                        </w14:solidFill>
                      </w14:textFill>
                    </w:rPr>
                    <w:t>内且不涉及</w:t>
                  </w: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基本农田</w:t>
                  </w:r>
                </w:p>
              </w:tc>
              <w:tc>
                <w:tcPr>
                  <w:tcW w:w="474" w:type="pct"/>
                  <w:tcBorders>
                    <w:tl2br w:val="nil"/>
                    <w:tr2bl w:val="nil"/>
                  </w:tcBorders>
                  <w:vAlign w:val="center"/>
                </w:tcPr>
                <w:p w14:paraId="0981199D">
                  <w:pPr>
                    <w:pStyle w:val="85"/>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textAlignment w:val="auto"/>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eastAsia" w:cs="Times New Roman"/>
                      <w:color w:val="000000" w:themeColor="text1"/>
                      <w:szCs w:val="21"/>
                      <w:lang w:val="en-US" w:eastAsia="zh-CN" w:bidi="ar"/>
                      <w14:textFill>
                        <w14:solidFill>
                          <w14:schemeClr w14:val="tx1"/>
                        </w14:solidFill>
                      </w14:textFill>
                    </w:rPr>
                    <w:t>不涉及</w:t>
                  </w:r>
                </w:p>
              </w:tc>
            </w:tr>
            <w:tr w14:paraId="04EE737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71" w:type="pct"/>
                  <w:tcBorders>
                    <w:tl2br w:val="nil"/>
                    <w:tr2bl w:val="nil"/>
                  </w:tcBorders>
                  <w:shd w:val="clear" w:color="auto" w:fill="auto"/>
                  <w:vAlign w:val="center"/>
                </w:tcPr>
                <w:p w14:paraId="30D1C5DA">
                  <w:pPr>
                    <w:keepNext w:val="0"/>
                    <w:keepLines w:val="0"/>
                    <w:pageBreakBefore w:val="0"/>
                    <w:suppressLineNumbers w:val="0"/>
                    <w:kinsoku/>
                    <w:wordWrap/>
                    <w:overflowPunct/>
                    <w:topLinePunct w:val="0"/>
                    <w:autoSpaceDE w:val="0"/>
                    <w:autoSpaceDN w:val="0"/>
                    <w:bidi w:val="0"/>
                    <w:adjustRightInd w:val="0"/>
                    <w:spacing w:before="0" w:beforeAutospacing="0" w:after="0" w:afterAutospacing="0" w:line="240" w:lineRule="auto"/>
                    <w:ind w:left="0" w:leftChars="0" w:right="0" w:firstLine="0" w:firstLineChars="0"/>
                    <w:jc w:val="center"/>
                    <w:textAlignment w:val="baseline"/>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pPr>
                  <w:r>
                    <w:rPr>
                      <w:rFonts w:hint="eastAsia" w:cs="Times New Roman"/>
                      <w:bCs/>
                      <w:color w:val="000000" w:themeColor="text1"/>
                      <w:sz w:val="21"/>
                      <w:szCs w:val="21"/>
                      <w:highlight w:val="none"/>
                      <w:lang w:val="en-US" w:eastAsia="zh-CN"/>
                      <w14:textFill>
                        <w14:solidFill>
                          <w14:schemeClr w14:val="tx1"/>
                        </w14:solidFill>
                      </w14:textFill>
                    </w:rPr>
                    <w:t>7</w:t>
                  </w:r>
                </w:p>
              </w:tc>
              <w:tc>
                <w:tcPr>
                  <w:tcW w:w="3042" w:type="pct"/>
                  <w:tcBorders>
                    <w:tl2br w:val="nil"/>
                    <w:tr2bl w:val="nil"/>
                  </w:tcBorders>
                  <w:shd w:val="clear" w:color="auto" w:fill="auto"/>
                  <w:vAlign w:val="center"/>
                </w:tcPr>
                <w:p w14:paraId="5A83C3A7">
                  <w:pPr>
                    <w:keepNext w:val="0"/>
                    <w:keepLines w:val="0"/>
                    <w:pageBreakBefore w:val="0"/>
                    <w:suppressLineNumbers w:val="0"/>
                    <w:kinsoku/>
                    <w:wordWrap/>
                    <w:overflowPunct/>
                    <w:topLinePunct w:val="0"/>
                    <w:autoSpaceDE w:val="0"/>
                    <w:autoSpaceDN w:val="0"/>
                    <w:bidi w:val="0"/>
                    <w:adjustRightInd w:val="0"/>
                    <w:spacing w:before="0" w:beforeAutospacing="0" w:after="0" w:afterAutospacing="0" w:line="240" w:lineRule="auto"/>
                    <w:ind w:left="0" w:leftChars="0" w:right="0" w:firstLine="0" w:firstLineChars="0"/>
                    <w:jc w:val="both"/>
                    <w:textAlignment w:val="baseline"/>
                    <w:rPr>
                      <w:rFonts w:hint="default" w:ascii="Times New Roman" w:hAnsi="Times New Roman" w:eastAsia="宋体" w:cs="Times New Roman"/>
                      <w:bCs/>
                      <w:color w:val="000000" w:themeColor="text1"/>
                      <w:sz w:val="21"/>
                      <w:szCs w:val="21"/>
                      <w:highlight w:val="lightGray"/>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t>禁止在长江干支流1公里范围内新建、扩建化工园区和化工项目。禁止在合规园区外新建、扩建钢铁、石化、化工、焦化、建材、有色等高污染项目。</w:t>
                  </w:r>
                </w:p>
              </w:tc>
              <w:tc>
                <w:tcPr>
                  <w:tcW w:w="1111" w:type="pct"/>
                  <w:tcBorders>
                    <w:tl2br w:val="nil"/>
                    <w:tr2bl w:val="nil"/>
                  </w:tcBorders>
                  <w:vAlign w:val="center"/>
                </w:tcPr>
                <w:p w14:paraId="54C081F5">
                  <w:pPr>
                    <w:keepNext w:val="0"/>
                    <w:keepLines w:val="0"/>
                    <w:pageBreakBefore w:val="0"/>
                    <w:suppressLineNumbers w:val="0"/>
                    <w:kinsoku/>
                    <w:wordWrap/>
                    <w:overflowPunct/>
                    <w:topLinePunct w:val="0"/>
                    <w:autoSpaceDE w:val="0"/>
                    <w:autoSpaceDN w:val="0"/>
                    <w:bidi w:val="0"/>
                    <w:adjustRightInd w:val="0"/>
                    <w:spacing w:before="0" w:beforeAutospacing="0" w:after="0" w:afterAutospacing="0" w:line="240" w:lineRule="auto"/>
                    <w:ind w:left="0" w:leftChars="0" w:right="0" w:firstLine="0" w:firstLineChars="0"/>
                    <w:jc w:val="both"/>
                    <w:textAlignment w:val="baseline"/>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t>本项目不在长江干支流1公里范围内</w:t>
                  </w:r>
                </w:p>
              </w:tc>
              <w:tc>
                <w:tcPr>
                  <w:tcW w:w="474" w:type="pct"/>
                  <w:tcBorders>
                    <w:tl2br w:val="nil"/>
                    <w:tr2bl w:val="nil"/>
                  </w:tcBorders>
                  <w:shd w:val="clear" w:color="auto" w:fill="auto"/>
                  <w:vAlign w:val="center"/>
                </w:tcPr>
                <w:p w14:paraId="23BBB686">
                  <w:pPr>
                    <w:pStyle w:val="85"/>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textAlignment w:val="auto"/>
                    <w:rPr>
                      <w:rFonts w:hint="default" w:ascii="Times New Roman" w:hAnsi="Times New Roman" w:eastAsia="宋体" w:cs="Times New Roman"/>
                      <w:color w:val="000000" w:themeColor="text1"/>
                      <w:sz w:val="21"/>
                      <w:szCs w:val="21"/>
                      <w:lang w:val="en-US" w:eastAsia="zh-CN" w:bidi="ar"/>
                      <w14:textFill>
                        <w14:solidFill>
                          <w14:schemeClr w14:val="tx1"/>
                        </w14:solidFill>
                      </w14:textFill>
                    </w:rPr>
                  </w:pPr>
                  <w:r>
                    <w:rPr>
                      <w:rFonts w:hint="eastAsia" w:cs="Times New Roman"/>
                      <w:color w:val="000000" w:themeColor="text1"/>
                      <w:szCs w:val="21"/>
                      <w:lang w:val="en-US" w:eastAsia="zh-CN" w:bidi="ar"/>
                      <w14:textFill>
                        <w14:solidFill>
                          <w14:schemeClr w14:val="tx1"/>
                        </w14:solidFill>
                      </w14:textFill>
                    </w:rPr>
                    <w:t>不涉及</w:t>
                  </w:r>
                </w:p>
              </w:tc>
            </w:tr>
            <w:tr w14:paraId="0717165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882" w:hRule="atLeast"/>
                <w:jc w:val="center"/>
              </w:trPr>
              <w:tc>
                <w:tcPr>
                  <w:tcW w:w="371" w:type="pct"/>
                  <w:tcBorders>
                    <w:tl2br w:val="nil"/>
                    <w:tr2bl w:val="nil"/>
                  </w:tcBorders>
                  <w:shd w:val="clear" w:color="auto" w:fill="auto"/>
                  <w:vAlign w:val="center"/>
                </w:tcPr>
                <w:p w14:paraId="776979F3">
                  <w:pPr>
                    <w:keepNext w:val="0"/>
                    <w:keepLines w:val="0"/>
                    <w:pageBreakBefore w:val="0"/>
                    <w:suppressLineNumbers w:val="0"/>
                    <w:kinsoku/>
                    <w:wordWrap/>
                    <w:overflowPunct/>
                    <w:topLinePunct w:val="0"/>
                    <w:autoSpaceDE w:val="0"/>
                    <w:autoSpaceDN w:val="0"/>
                    <w:bidi w:val="0"/>
                    <w:adjustRightInd w:val="0"/>
                    <w:spacing w:before="0" w:beforeAutospacing="0" w:after="0" w:afterAutospacing="0" w:line="240" w:lineRule="auto"/>
                    <w:ind w:left="0" w:leftChars="0" w:right="0" w:firstLine="0" w:firstLineChars="0"/>
                    <w:jc w:val="center"/>
                    <w:textAlignment w:val="baseline"/>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pPr>
                  <w:r>
                    <w:rPr>
                      <w:rFonts w:hint="eastAsia" w:cs="Times New Roman"/>
                      <w:bCs/>
                      <w:color w:val="000000" w:themeColor="text1"/>
                      <w:sz w:val="21"/>
                      <w:szCs w:val="21"/>
                      <w:highlight w:val="none"/>
                      <w:lang w:val="en-US" w:eastAsia="zh-CN"/>
                      <w14:textFill>
                        <w14:solidFill>
                          <w14:schemeClr w14:val="tx1"/>
                        </w14:solidFill>
                      </w14:textFill>
                    </w:rPr>
                    <w:t>8</w:t>
                  </w:r>
                </w:p>
              </w:tc>
              <w:tc>
                <w:tcPr>
                  <w:tcW w:w="3042" w:type="pct"/>
                  <w:tcBorders>
                    <w:tl2br w:val="nil"/>
                    <w:tr2bl w:val="nil"/>
                  </w:tcBorders>
                  <w:shd w:val="clear" w:color="auto" w:fill="auto"/>
                  <w:vAlign w:val="center"/>
                </w:tcPr>
                <w:p w14:paraId="30B696FA">
                  <w:pPr>
                    <w:keepNext w:val="0"/>
                    <w:keepLines w:val="0"/>
                    <w:pageBreakBefore w:val="0"/>
                    <w:suppressLineNumbers w:val="0"/>
                    <w:kinsoku/>
                    <w:wordWrap/>
                    <w:overflowPunct/>
                    <w:topLinePunct w:val="0"/>
                    <w:autoSpaceDE w:val="0"/>
                    <w:autoSpaceDN w:val="0"/>
                    <w:bidi w:val="0"/>
                    <w:adjustRightInd w:val="0"/>
                    <w:spacing w:before="0" w:beforeAutospacing="0" w:after="0" w:afterAutospacing="0" w:line="240" w:lineRule="auto"/>
                    <w:ind w:left="0" w:leftChars="0" w:right="0" w:firstLine="0" w:firstLineChars="0"/>
                    <w:jc w:val="both"/>
                    <w:textAlignment w:val="baseline"/>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t>禁止新建、扩建不符合国家石化、现代煤化工等产业</w:t>
                  </w:r>
                  <w:r>
                    <w:rPr>
                      <w:rFonts w:hint="eastAsia" w:cs="Times New Roman"/>
                      <w:bCs/>
                      <w:color w:val="000000" w:themeColor="text1"/>
                      <w:sz w:val="21"/>
                      <w:szCs w:val="21"/>
                      <w:highlight w:val="none"/>
                      <w:lang w:val="en-US" w:eastAsia="zh-CN"/>
                      <w14:textFill>
                        <w14:solidFill>
                          <w14:schemeClr w14:val="tx1"/>
                        </w14:solidFill>
                      </w14:textFill>
                    </w:rPr>
                    <w:t>布</w:t>
                  </w:r>
                  <w: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t>局规划的项目。</w:t>
                  </w:r>
                </w:p>
              </w:tc>
              <w:tc>
                <w:tcPr>
                  <w:tcW w:w="1111" w:type="pct"/>
                  <w:tcBorders>
                    <w:tl2br w:val="nil"/>
                    <w:tr2bl w:val="nil"/>
                  </w:tcBorders>
                  <w:vAlign w:val="center"/>
                </w:tcPr>
                <w:p w14:paraId="695CA945">
                  <w:pPr>
                    <w:keepNext w:val="0"/>
                    <w:keepLines w:val="0"/>
                    <w:pageBreakBefore w:val="0"/>
                    <w:suppressLineNumbers w:val="0"/>
                    <w:kinsoku/>
                    <w:wordWrap/>
                    <w:overflowPunct/>
                    <w:topLinePunct w:val="0"/>
                    <w:autoSpaceDE w:val="0"/>
                    <w:autoSpaceDN w:val="0"/>
                    <w:bidi w:val="0"/>
                    <w:adjustRightInd w:val="0"/>
                    <w:spacing w:before="0" w:beforeAutospacing="0" w:after="0" w:afterAutospacing="0" w:line="240" w:lineRule="auto"/>
                    <w:ind w:left="0" w:leftChars="0" w:right="0" w:firstLine="0" w:firstLineChars="0"/>
                    <w:jc w:val="both"/>
                    <w:textAlignment w:val="baseline"/>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t>本项目不属于国家石化、现代煤化工等产业</w:t>
                  </w:r>
                  <w:r>
                    <w:rPr>
                      <w:rFonts w:hint="eastAsia" w:cs="Times New Roman"/>
                      <w:bCs/>
                      <w:color w:val="000000" w:themeColor="text1"/>
                      <w:sz w:val="21"/>
                      <w:szCs w:val="21"/>
                      <w:highlight w:val="none"/>
                      <w:lang w:val="en-US" w:eastAsia="zh-CN"/>
                      <w14:textFill>
                        <w14:solidFill>
                          <w14:schemeClr w14:val="tx1"/>
                        </w14:solidFill>
                      </w14:textFill>
                    </w:rPr>
                    <w:t>。</w:t>
                  </w:r>
                </w:p>
              </w:tc>
              <w:tc>
                <w:tcPr>
                  <w:tcW w:w="474" w:type="pct"/>
                  <w:tcBorders>
                    <w:tl2br w:val="nil"/>
                    <w:tr2bl w:val="nil"/>
                  </w:tcBorders>
                  <w:vAlign w:val="center"/>
                </w:tcPr>
                <w:p w14:paraId="7CAC9864">
                  <w:pPr>
                    <w:pStyle w:val="85"/>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textAlignment w:val="auto"/>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pPr>
                  <w:r>
                    <w:rPr>
                      <w:rFonts w:hint="eastAsia" w:cs="Times New Roman"/>
                      <w:color w:val="000000" w:themeColor="text1"/>
                      <w:szCs w:val="21"/>
                      <w:lang w:val="en-US" w:eastAsia="zh-CN" w:bidi="ar"/>
                      <w14:textFill>
                        <w14:solidFill>
                          <w14:schemeClr w14:val="tx1"/>
                        </w14:solidFill>
                      </w14:textFill>
                    </w:rPr>
                    <w:t>不涉及</w:t>
                  </w:r>
                </w:p>
              </w:tc>
            </w:tr>
            <w:tr w14:paraId="098107A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71" w:type="pct"/>
                  <w:tcBorders>
                    <w:tl2br w:val="nil"/>
                    <w:tr2bl w:val="nil"/>
                  </w:tcBorders>
                  <w:shd w:val="clear" w:color="auto" w:fill="auto"/>
                  <w:vAlign w:val="center"/>
                </w:tcPr>
                <w:p w14:paraId="051465E7">
                  <w:pPr>
                    <w:keepNext w:val="0"/>
                    <w:keepLines w:val="0"/>
                    <w:pageBreakBefore w:val="0"/>
                    <w:suppressLineNumbers w:val="0"/>
                    <w:kinsoku/>
                    <w:wordWrap/>
                    <w:overflowPunct/>
                    <w:topLinePunct w:val="0"/>
                    <w:autoSpaceDE w:val="0"/>
                    <w:autoSpaceDN w:val="0"/>
                    <w:bidi w:val="0"/>
                    <w:adjustRightInd w:val="0"/>
                    <w:spacing w:before="0" w:beforeAutospacing="0" w:after="0" w:afterAutospacing="0" w:line="240" w:lineRule="auto"/>
                    <w:ind w:left="0" w:leftChars="0" w:right="0" w:firstLine="0" w:firstLineChars="0"/>
                    <w:jc w:val="center"/>
                    <w:textAlignment w:val="baseline"/>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pPr>
                  <w:r>
                    <w:rPr>
                      <w:rFonts w:hint="eastAsia" w:cs="Times New Roman"/>
                      <w:bCs/>
                      <w:color w:val="000000" w:themeColor="text1"/>
                      <w:sz w:val="21"/>
                      <w:szCs w:val="21"/>
                      <w:highlight w:val="none"/>
                      <w:lang w:val="en-US" w:eastAsia="zh-CN"/>
                      <w14:textFill>
                        <w14:solidFill>
                          <w14:schemeClr w14:val="tx1"/>
                        </w14:solidFill>
                      </w14:textFill>
                    </w:rPr>
                    <w:t>9</w:t>
                  </w:r>
                </w:p>
              </w:tc>
              <w:tc>
                <w:tcPr>
                  <w:tcW w:w="3042" w:type="pct"/>
                  <w:tcBorders>
                    <w:tl2br w:val="nil"/>
                    <w:tr2bl w:val="nil"/>
                  </w:tcBorders>
                  <w:shd w:val="clear" w:color="auto" w:fill="auto"/>
                  <w:vAlign w:val="center"/>
                </w:tcPr>
                <w:p w14:paraId="155BF028">
                  <w:pPr>
                    <w:keepNext w:val="0"/>
                    <w:keepLines w:val="0"/>
                    <w:pageBreakBefore w:val="0"/>
                    <w:suppressLineNumbers w:val="0"/>
                    <w:kinsoku/>
                    <w:wordWrap/>
                    <w:overflowPunct/>
                    <w:topLinePunct w:val="0"/>
                    <w:autoSpaceDE w:val="0"/>
                    <w:autoSpaceDN w:val="0"/>
                    <w:bidi w:val="0"/>
                    <w:adjustRightInd w:val="0"/>
                    <w:spacing w:before="0" w:beforeAutospacing="0" w:after="0" w:afterAutospacing="0" w:line="240" w:lineRule="auto"/>
                    <w:ind w:left="0" w:leftChars="0" w:right="0" w:firstLine="0" w:firstLineChars="0"/>
                    <w:jc w:val="both"/>
                    <w:textAlignment w:val="baseline"/>
                    <w:rPr>
                      <w:rFonts w:hint="default" w:ascii="Times New Roman" w:hAnsi="Times New Roman" w:eastAsia="宋体" w:cs="Times New Roman"/>
                      <w:bCs/>
                      <w:color w:val="000000" w:themeColor="text1"/>
                      <w:sz w:val="21"/>
                      <w:szCs w:val="21"/>
                      <w:highlight w:val="lightGray"/>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t>禁止新建、扩建法律法规和相关政策明令禁止的落后产能项目。</w:t>
                  </w:r>
                </w:p>
              </w:tc>
              <w:tc>
                <w:tcPr>
                  <w:tcW w:w="1111" w:type="pct"/>
                  <w:tcBorders>
                    <w:tl2br w:val="nil"/>
                    <w:tr2bl w:val="nil"/>
                  </w:tcBorders>
                  <w:vAlign w:val="center"/>
                </w:tcPr>
                <w:p w14:paraId="0A5786C5">
                  <w:pPr>
                    <w:keepNext w:val="0"/>
                    <w:keepLines w:val="0"/>
                    <w:pageBreakBefore w:val="0"/>
                    <w:suppressLineNumbers w:val="0"/>
                    <w:kinsoku/>
                    <w:wordWrap/>
                    <w:overflowPunct/>
                    <w:topLinePunct w:val="0"/>
                    <w:autoSpaceDE w:val="0"/>
                    <w:autoSpaceDN w:val="0"/>
                    <w:bidi w:val="0"/>
                    <w:adjustRightInd w:val="0"/>
                    <w:spacing w:before="0" w:beforeAutospacing="0" w:after="0" w:afterAutospacing="0" w:line="240" w:lineRule="auto"/>
                    <w:ind w:left="0" w:leftChars="0" w:right="0" w:firstLine="0" w:firstLineChars="0"/>
                    <w:jc w:val="both"/>
                    <w:textAlignment w:val="baseline"/>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t>本项目不属于禁止</w:t>
                  </w:r>
                  <w:r>
                    <w:rPr>
                      <w:rFonts w:hint="eastAsia" w:cs="Times New Roman"/>
                      <w:bCs/>
                      <w:color w:val="000000" w:themeColor="text1"/>
                      <w:sz w:val="21"/>
                      <w:szCs w:val="21"/>
                      <w:highlight w:val="none"/>
                      <w:lang w:val="en-US" w:eastAsia="zh-CN"/>
                      <w14:textFill>
                        <w14:solidFill>
                          <w14:schemeClr w14:val="tx1"/>
                        </w14:solidFill>
                      </w14:textFill>
                    </w:rPr>
                    <w:t>的</w:t>
                  </w:r>
                  <w: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t>落后产能项目</w:t>
                  </w:r>
                </w:p>
              </w:tc>
              <w:tc>
                <w:tcPr>
                  <w:tcW w:w="474" w:type="pct"/>
                  <w:tcBorders>
                    <w:tl2br w:val="nil"/>
                    <w:tr2bl w:val="nil"/>
                  </w:tcBorders>
                  <w:shd w:val="clear" w:color="auto" w:fill="auto"/>
                  <w:vAlign w:val="center"/>
                </w:tcPr>
                <w:p w14:paraId="58022FD5">
                  <w:pPr>
                    <w:pStyle w:val="85"/>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textAlignment w:val="auto"/>
                    <w:rPr>
                      <w:rFonts w:hint="default" w:ascii="Times New Roman" w:hAnsi="Times New Roman" w:eastAsia="宋体" w:cs="Times New Roman"/>
                      <w:color w:val="000000" w:themeColor="text1"/>
                      <w:sz w:val="21"/>
                      <w:szCs w:val="21"/>
                      <w:lang w:val="en-US" w:eastAsia="zh-CN" w:bidi="ar"/>
                      <w14:textFill>
                        <w14:solidFill>
                          <w14:schemeClr w14:val="tx1"/>
                        </w14:solidFill>
                      </w14:textFill>
                    </w:rPr>
                  </w:pPr>
                  <w:r>
                    <w:rPr>
                      <w:rFonts w:hint="eastAsia" w:cs="Times New Roman"/>
                      <w:color w:val="000000" w:themeColor="text1"/>
                      <w:szCs w:val="21"/>
                      <w:lang w:val="en-US" w:eastAsia="zh-CN" w:bidi="ar"/>
                      <w14:textFill>
                        <w14:solidFill>
                          <w14:schemeClr w14:val="tx1"/>
                        </w14:solidFill>
                      </w14:textFill>
                    </w:rPr>
                    <w:t>不涉及</w:t>
                  </w:r>
                </w:p>
              </w:tc>
            </w:tr>
            <w:tr w14:paraId="7F3E27D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371" w:type="pct"/>
                  <w:tcBorders>
                    <w:tl2br w:val="nil"/>
                    <w:tr2bl w:val="nil"/>
                  </w:tcBorders>
                  <w:shd w:val="clear" w:color="auto" w:fill="auto"/>
                  <w:vAlign w:val="center"/>
                </w:tcPr>
                <w:p w14:paraId="206D5788">
                  <w:pPr>
                    <w:keepNext w:val="0"/>
                    <w:keepLines w:val="0"/>
                    <w:pageBreakBefore w:val="0"/>
                    <w:suppressLineNumbers w:val="0"/>
                    <w:kinsoku/>
                    <w:wordWrap/>
                    <w:overflowPunct/>
                    <w:topLinePunct w:val="0"/>
                    <w:autoSpaceDE w:val="0"/>
                    <w:autoSpaceDN w:val="0"/>
                    <w:bidi w:val="0"/>
                    <w:adjustRightInd w:val="0"/>
                    <w:spacing w:before="0" w:beforeAutospacing="0" w:after="0" w:afterAutospacing="0" w:line="240" w:lineRule="auto"/>
                    <w:ind w:left="0" w:leftChars="0" w:right="0" w:firstLine="0" w:firstLineChars="0"/>
                    <w:jc w:val="center"/>
                    <w:textAlignment w:val="baseline"/>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pPr>
                  <w:r>
                    <w:rPr>
                      <w:rFonts w:hint="eastAsia" w:cs="Times New Roman"/>
                      <w:bCs/>
                      <w:color w:val="000000" w:themeColor="text1"/>
                      <w:sz w:val="21"/>
                      <w:szCs w:val="21"/>
                      <w:highlight w:val="none"/>
                      <w:lang w:val="en-US" w:eastAsia="zh-CN"/>
                      <w14:textFill>
                        <w14:solidFill>
                          <w14:schemeClr w14:val="tx1"/>
                        </w14:solidFill>
                      </w14:textFill>
                    </w:rPr>
                    <w:t>10</w:t>
                  </w:r>
                </w:p>
              </w:tc>
              <w:tc>
                <w:tcPr>
                  <w:tcW w:w="3042" w:type="pct"/>
                  <w:tcBorders>
                    <w:tl2br w:val="nil"/>
                    <w:tr2bl w:val="nil"/>
                  </w:tcBorders>
                  <w:shd w:val="clear" w:color="auto" w:fill="auto"/>
                  <w:vAlign w:val="center"/>
                </w:tcPr>
                <w:p w14:paraId="5D5365EF">
                  <w:pPr>
                    <w:keepNext w:val="0"/>
                    <w:keepLines w:val="0"/>
                    <w:pageBreakBefore w:val="0"/>
                    <w:suppressLineNumbers w:val="0"/>
                    <w:kinsoku/>
                    <w:wordWrap/>
                    <w:overflowPunct/>
                    <w:topLinePunct w:val="0"/>
                    <w:autoSpaceDE w:val="0"/>
                    <w:autoSpaceDN w:val="0"/>
                    <w:bidi w:val="0"/>
                    <w:adjustRightInd w:val="0"/>
                    <w:spacing w:before="0" w:beforeAutospacing="0" w:after="0" w:afterAutospacing="0" w:line="240" w:lineRule="auto"/>
                    <w:ind w:left="0" w:leftChars="0" w:right="0" w:firstLine="0" w:firstLineChars="0"/>
                    <w:jc w:val="both"/>
                    <w:textAlignment w:val="baseline"/>
                    <w:rPr>
                      <w:rFonts w:hint="default" w:ascii="Times New Roman" w:hAnsi="Times New Roman" w:eastAsia="宋体" w:cs="Times New Roman"/>
                      <w:bCs/>
                      <w:color w:val="000000" w:themeColor="text1"/>
                      <w:sz w:val="21"/>
                      <w:szCs w:val="21"/>
                      <w:highlight w:val="lightGray"/>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t>禁止新建、扩建不符合国家产能置换要求的严重过剩产能行业的项目。</w:t>
                  </w:r>
                </w:p>
              </w:tc>
              <w:tc>
                <w:tcPr>
                  <w:tcW w:w="1111" w:type="pct"/>
                  <w:tcBorders>
                    <w:tl2br w:val="nil"/>
                    <w:tr2bl w:val="nil"/>
                  </w:tcBorders>
                  <w:vAlign w:val="center"/>
                </w:tcPr>
                <w:p w14:paraId="0A8A593F">
                  <w:pPr>
                    <w:keepNext w:val="0"/>
                    <w:keepLines w:val="0"/>
                    <w:pageBreakBefore w:val="0"/>
                    <w:suppressLineNumbers w:val="0"/>
                    <w:kinsoku/>
                    <w:wordWrap/>
                    <w:overflowPunct/>
                    <w:topLinePunct w:val="0"/>
                    <w:autoSpaceDE w:val="0"/>
                    <w:autoSpaceDN w:val="0"/>
                    <w:bidi w:val="0"/>
                    <w:adjustRightInd w:val="0"/>
                    <w:spacing w:before="0" w:beforeAutospacing="0" w:after="0" w:afterAutospacing="0" w:line="240" w:lineRule="auto"/>
                    <w:ind w:left="0" w:leftChars="0" w:right="0" w:firstLine="0" w:firstLineChars="0"/>
                    <w:jc w:val="both"/>
                    <w:textAlignment w:val="baseline"/>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highlight w:val="none"/>
                      <w14:textFill>
                        <w14:solidFill>
                          <w14:schemeClr w14:val="tx1"/>
                        </w14:solidFill>
                      </w14:textFill>
                    </w:rPr>
                    <w:t>本项目不属于国家产能置换要求的严重</w:t>
                  </w:r>
                  <w: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t>过剩产能行业的项目</w:t>
                  </w:r>
                </w:p>
              </w:tc>
              <w:tc>
                <w:tcPr>
                  <w:tcW w:w="474" w:type="pct"/>
                  <w:tcBorders>
                    <w:tl2br w:val="nil"/>
                    <w:tr2bl w:val="nil"/>
                  </w:tcBorders>
                  <w:shd w:val="clear" w:color="auto" w:fill="auto"/>
                  <w:vAlign w:val="center"/>
                </w:tcPr>
                <w:p w14:paraId="30B6DE33">
                  <w:pPr>
                    <w:pStyle w:val="85"/>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textAlignment w:val="auto"/>
                    <w:rPr>
                      <w:rFonts w:hint="default" w:ascii="Times New Roman" w:hAnsi="Times New Roman" w:eastAsia="宋体" w:cs="Times New Roman"/>
                      <w:color w:val="000000" w:themeColor="text1"/>
                      <w:sz w:val="21"/>
                      <w:szCs w:val="21"/>
                      <w:lang w:val="en-US" w:eastAsia="zh-CN" w:bidi="ar"/>
                      <w14:textFill>
                        <w14:solidFill>
                          <w14:schemeClr w14:val="tx1"/>
                        </w14:solidFill>
                      </w14:textFill>
                    </w:rPr>
                  </w:pPr>
                  <w:r>
                    <w:rPr>
                      <w:rFonts w:hint="eastAsia" w:cs="Times New Roman"/>
                      <w:color w:val="000000" w:themeColor="text1"/>
                      <w:szCs w:val="21"/>
                      <w:lang w:val="en-US" w:eastAsia="zh-CN" w:bidi="ar"/>
                      <w14:textFill>
                        <w14:solidFill>
                          <w14:schemeClr w14:val="tx1"/>
                        </w14:solidFill>
                      </w14:textFill>
                    </w:rPr>
                    <w:t>不涉及</w:t>
                  </w:r>
                </w:p>
              </w:tc>
            </w:tr>
          </w:tbl>
          <w:p w14:paraId="7F25CD89">
            <w:pPr>
              <w:pStyle w:val="9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根据长江经济带发展负面清单</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实施细则</w:t>
            </w:r>
            <w:r>
              <w:rPr>
                <w:rFonts w:hint="default" w:ascii="Times New Roman" w:hAnsi="Times New Roman" w:eastAsia="宋体" w:cs="Times New Roman"/>
                <w:color w:val="000000" w:themeColor="text1"/>
                <w:sz w:val="24"/>
                <w:szCs w:val="24"/>
                <w14:textFill>
                  <w14:solidFill>
                    <w14:schemeClr w14:val="tx1"/>
                  </w14:solidFill>
                </w14:textFill>
              </w:rPr>
              <w:t>可知，本项目不在长江经济带发展负面清单内。</w:t>
            </w:r>
          </w:p>
          <w:p w14:paraId="3AD8E570">
            <w:pPr>
              <w:pStyle w:val="9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2" w:firstLineChars="200"/>
              <w:textAlignment w:val="auto"/>
              <w:rPr>
                <w:rFonts w:hint="default"/>
                <w:b/>
                <w:bCs/>
                <w:color w:val="000000" w:themeColor="text1"/>
                <w:kern w:val="2"/>
                <w:sz w:val="24"/>
                <w:szCs w:val="24"/>
                <w14:textFill>
                  <w14:solidFill>
                    <w14:schemeClr w14:val="tx1"/>
                  </w14:solidFill>
                </w14:textFill>
              </w:rPr>
            </w:pPr>
            <w:r>
              <w:rPr>
                <w:rFonts w:hint="eastAsia" w:cs="Times New Roman"/>
                <w:b/>
                <w:bCs/>
                <w:color w:val="000000" w:themeColor="text1"/>
                <w:sz w:val="24"/>
                <w:szCs w:val="24"/>
                <w:lang w:val="en-US" w:eastAsia="zh-CN"/>
                <w14:textFill>
                  <w14:solidFill>
                    <w14:schemeClr w14:val="tx1"/>
                  </w14:solidFill>
                </w14:textFill>
              </w:rPr>
              <w:t>6、项目与《鄱阳湖生态经济区环境保护条例》</w:t>
            </w:r>
            <w:r>
              <w:rPr>
                <w:rFonts w:hint="default"/>
                <w:b/>
                <w:bCs/>
                <w:color w:val="000000" w:themeColor="text1"/>
                <w:kern w:val="2"/>
                <w:sz w:val="24"/>
                <w:szCs w:val="24"/>
                <w14:textFill>
                  <w14:solidFill>
                    <w14:schemeClr w14:val="tx1"/>
                  </w14:solidFill>
                </w14:textFill>
              </w:rPr>
              <w:t>相符性</w:t>
            </w:r>
          </w:p>
          <w:p w14:paraId="7DDA7670">
            <w:pPr>
              <w:pStyle w:val="9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rPr>
                <w:rFonts w:hint="eastAsia"/>
                <w:b/>
                <w:bCs w:val="0"/>
                <w:color w:val="000000" w:themeColor="text1"/>
                <w:kern w:val="2"/>
                <w:sz w:val="24"/>
                <w:szCs w:val="24"/>
                <w:lang w:val="en-US" w:eastAsia="zh-CN"/>
                <w14:textFill>
                  <w14:solidFill>
                    <w14:schemeClr w14:val="tx1"/>
                  </w14:solidFill>
                </w14:textFill>
              </w:rPr>
            </w:pPr>
            <w:r>
              <w:rPr>
                <w:rFonts w:hint="default" w:ascii="Times New Roman" w:hAnsi="Times New Roman"/>
                <w:b/>
                <w:bCs w:val="0"/>
                <w:color w:val="000000" w:themeColor="text1"/>
                <w:sz w:val="24"/>
                <w:szCs w:val="24"/>
                <w14:textFill>
                  <w14:solidFill>
                    <w14:schemeClr w14:val="tx1"/>
                  </w14:solidFill>
                </w14:textFill>
              </w:rPr>
              <w:t>表1-</w:t>
            </w:r>
            <w:r>
              <w:rPr>
                <w:rFonts w:hint="eastAsia"/>
                <w:b/>
                <w:bCs w:val="0"/>
                <w:color w:val="FF0000"/>
                <w:sz w:val="24"/>
                <w:szCs w:val="24"/>
                <w:lang w:val="en-US" w:eastAsia="zh-CN"/>
              </w:rPr>
              <w:t>7</w:t>
            </w:r>
            <w:r>
              <w:rPr>
                <w:rFonts w:hint="eastAsia"/>
                <w:b/>
                <w:bCs w:val="0"/>
                <w:color w:val="000000" w:themeColor="text1"/>
                <w:sz w:val="24"/>
                <w:szCs w:val="24"/>
                <w:lang w:val="en-US" w:eastAsia="zh-CN"/>
                <w14:textFill>
                  <w14:solidFill>
                    <w14:schemeClr w14:val="tx1"/>
                  </w14:solidFill>
                </w14:textFill>
              </w:rPr>
              <w:t xml:space="preserve">  </w:t>
            </w:r>
            <w:r>
              <w:rPr>
                <w:rFonts w:hint="eastAsia" w:cs="Times New Roman"/>
                <w:b/>
                <w:bCs w:val="0"/>
                <w:color w:val="000000" w:themeColor="text1"/>
                <w:sz w:val="24"/>
                <w:szCs w:val="24"/>
                <w:lang w:val="en-US" w:eastAsia="zh-CN"/>
                <w14:textFill>
                  <w14:solidFill>
                    <w14:schemeClr w14:val="tx1"/>
                  </w14:solidFill>
                </w14:textFill>
              </w:rPr>
              <w:t>项目与《鄱阳湖生态经济区环境保护条例》</w:t>
            </w:r>
            <w:r>
              <w:rPr>
                <w:rFonts w:hint="default"/>
                <w:b/>
                <w:bCs w:val="0"/>
                <w:color w:val="000000" w:themeColor="text1"/>
                <w:kern w:val="2"/>
                <w:sz w:val="24"/>
                <w:szCs w:val="24"/>
                <w14:textFill>
                  <w14:solidFill>
                    <w14:schemeClr w14:val="tx1"/>
                  </w14:solidFill>
                </w14:textFill>
              </w:rPr>
              <w:t>相符性</w:t>
            </w:r>
            <w:r>
              <w:rPr>
                <w:rFonts w:hint="eastAsia"/>
                <w:b/>
                <w:bCs w:val="0"/>
                <w:color w:val="000000" w:themeColor="text1"/>
                <w:kern w:val="2"/>
                <w:sz w:val="24"/>
                <w:szCs w:val="24"/>
                <w:lang w:val="en-US" w:eastAsia="zh-CN"/>
                <w14:textFill>
                  <w14:solidFill>
                    <w14:schemeClr w14:val="tx1"/>
                  </w14:solidFill>
                </w14:textFill>
              </w:rPr>
              <w:t>分析</w:t>
            </w:r>
          </w:p>
          <w:tbl>
            <w:tblPr>
              <w:tblStyle w:val="28"/>
              <w:tblW w:w="4998"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68"/>
              <w:gridCol w:w="5020"/>
              <w:gridCol w:w="1329"/>
              <w:gridCol w:w="957"/>
            </w:tblGrid>
            <w:tr w14:paraId="1470682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98" w:type="pct"/>
                  <w:vAlign w:val="center"/>
                </w:tcPr>
                <w:p w14:paraId="6D59C85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bCs w:val="0"/>
                      <w:color w:val="000000" w:themeColor="text1"/>
                      <w:kern w:val="2"/>
                      <w:sz w:val="21"/>
                      <w:szCs w:val="21"/>
                      <w:vertAlign w:val="baseline"/>
                      <w:lang w:val="en-US" w:eastAsia="zh-CN"/>
                      <w14:textFill>
                        <w14:solidFill>
                          <w14:schemeClr w14:val="tx1"/>
                        </w14:solidFill>
                      </w14:textFill>
                    </w:rPr>
                  </w:pPr>
                  <w:r>
                    <w:rPr>
                      <w:rFonts w:hint="eastAsia" w:eastAsia="宋体"/>
                      <w:b/>
                      <w:bCs w:val="0"/>
                      <w:color w:val="000000" w:themeColor="text1"/>
                      <w:kern w:val="2"/>
                      <w:sz w:val="21"/>
                      <w:szCs w:val="21"/>
                      <w:vertAlign w:val="baseline"/>
                      <w:lang w:val="en-US" w:eastAsia="zh-CN"/>
                      <w14:textFill>
                        <w14:solidFill>
                          <w14:schemeClr w14:val="tx1"/>
                        </w14:solidFill>
                      </w14:textFill>
                    </w:rPr>
                    <w:t>序号</w:t>
                  </w:r>
                </w:p>
              </w:tc>
              <w:tc>
                <w:tcPr>
                  <w:tcW w:w="3229" w:type="pct"/>
                  <w:vAlign w:val="center"/>
                </w:tcPr>
                <w:p w14:paraId="68B85D7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bCs w:val="0"/>
                      <w:color w:val="000000" w:themeColor="text1"/>
                      <w:kern w:val="2"/>
                      <w:sz w:val="21"/>
                      <w:szCs w:val="21"/>
                      <w:vertAlign w:val="baseline"/>
                      <w:lang w:val="en-US" w:eastAsia="zh-CN"/>
                      <w14:textFill>
                        <w14:solidFill>
                          <w14:schemeClr w14:val="tx1"/>
                        </w14:solidFill>
                      </w14:textFill>
                    </w:rPr>
                  </w:pPr>
                  <w:r>
                    <w:rPr>
                      <w:rFonts w:hint="eastAsia" w:eastAsia="宋体"/>
                      <w:b/>
                      <w:bCs w:val="0"/>
                      <w:color w:val="000000" w:themeColor="text1"/>
                      <w:kern w:val="2"/>
                      <w:sz w:val="21"/>
                      <w:szCs w:val="21"/>
                      <w:vertAlign w:val="baseline"/>
                      <w:lang w:val="en-US" w:eastAsia="zh-CN"/>
                      <w14:textFill>
                        <w14:solidFill>
                          <w14:schemeClr w14:val="tx1"/>
                        </w14:solidFill>
                      </w14:textFill>
                    </w:rPr>
                    <w:t>文件要求</w:t>
                  </w:r>
                </w:p>
              </w:tc>
              <w:tc>
                <w:tcPr>
                  <w:tcW w:w="854" w:type="pct"/>
                  <w:vAlign w:val="center"/>
                </w:tcPr>
                <w:p w14:paraId="264A2AF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bCs w:val="0"/>
                      <w:color w:val="000000" w:themeColor="text1"/>
                      <w:kern w:val="2"/>
                      <w:sz w:val="21"/>
                      <w:szCs w:val="21"/>
                      <w:vertAlign w:val="baseline"/>
                      <w:lang w:val="en-US" w:eastAsia="zh-CN"/>
                      <w14:textFill>
                        <w14:solidFill>
                          <w14:schemeClr w14:val="tx1"/>
                        </w14:solidFill>
                      </w14:textFill>
                    </w:rPr>
                  </w:pPr>
                  <w:r>
                    <w:rPr>
                      <w:rFonts w:hint="eastAsia"/>
                      <w:b/>
                      <w:bCs w:val="0"/>
                      <w:color w:val="000000" w:themeColor="text1"/>
                      <w:kern w:val="2"/>
                      <w:sz w:val="21"/>
                      <w:szCs w:val="21"/>
                      <w:vertAlign w:val="baseline"/>
                      <w:lang w:val="en-US" w:eastAsia="zh-CN"/>
                      <w14:textFill>
                        <w14:solidFill>
                          <w14:schemeClr w14:val="tx1"/>
                        </w14:solidFill>
                      </w14:textFill>
                    </w:rPr>
                    <w:t>本项目情况</w:t>
                  </w:r>
                </w:p>
              </w:tc>
              <w:tc>
                <w:tcPr>
                  <w:tcW w:w="617" w:type="pct"/>
                  <w:vAlign w:val="center"/>
                </w:tcPr>
                <w:p w14:paraId="74DCF53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bCs w:val="0"/>
                      <w:color w:val="000000" w:themeColor="text1"/>
                      <w:kern w:val="2"/>
                      <w:sz w:val="21"/>
                      <w:szCs w:val="21"/>
                      <w:vertAlign w:val="baseline"/>
                      <w:lang w:val="en-US" w:eastAsia="zh-CN"/>
                      <w14:textFill>
                        <w14:solidFill>
                          <w14:schemeClr w14:val="tx1"/>
                        </w14:solidFill>
                      </w14:textFill>
                    </w:rPr>
                  </w:pPr>
                  <w:r>
                    <w:rPr>
                      <w:rFonts w:hint="eastAsia" w:eastAsia="宋体"/>
                      <w:b/>
                      <w:bCs w:val="0"/>
                      <w:color w:val="000000" w:themeColor="text1"/>
                      <w:kern w:val="2"/>
                      <w:sz w:val="21"/>
                      <w:szCs w:val="21"/>
                      <w:vertAlign w:val="baseline"/>
                      <w:lang w:val="en-US" w:eastAsia="zh-CN"/>
                      <w14:textFill>
                        <w14:solidFill>
                          <w14:schemeClr w14:val="tx1"/>
                        </w14:solidFill>
                      </w14:textFill>
                    </w:rPr>
                    <w:t>相符性</w:t>
                  </w:r>
                </w:p>
              </w:tc>
            </w:tr>
            <w:tr w14:paraId="3E6DE80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98" w:type="pct"/>
                  <w:vAlign w:val="center"/>
                </w:tcPr>
                <w:p w14:paraId="2D8C23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val="0"/>
                      <w:bCs/>
                      <w:color w:val="000000" w:themeColor="text1"/>
                      <w:kern w:val="2"/>
                      <w:sz w:val="21"/>
                      <w:szCs w:val="21"/>
                      <w:vertAlign w:val="baseline"/>
                      <w:lang w:val="en-US" w:eastAsia="zh-CN"/>
                      <w14:textFill>
                        <w14:solidFill>
                          <w14:schemeClr w14:val="tx1"/>
                        </w14:solidFill>
                      </w14:textFill>
                    </w:rPr>
                  </w:pPr>
                  <w:r>
                    <w:rPr>
                      <w:rFonts w:hint="eastAsia" w:eastAsia="宋体"/>
                      <w:b w:val="0"/>
                      <w:bCs/>
                      <w:color w:val="000000" w:themeColor="text1"/>
                      <w:kern w:val="2"/>
                      <w:sz w:val="21"/>
                      <w:szCs w:val="21"/>
                      <w:vertAlign w:val="baseline"/>
                      <w:lang w:val="en-US" w:eastAsia="zh-CN"/>
                      <w14:textFill>
                        <w14:solidFill>
                          <w14:schemeClr w14:val="tx1"/>
                        </w14:solidFill>
                      </w14:textFill>
                    </w:rPr>
                    <w:t>1</w:t>
                  </w:r>
                </w:p>
              </w:tc>
              <w:tc>
                <w:tcPr>
                  <w:tcW w:w="3229" w:type="pct"/>
                  <w:vAlign w:val="center"/>
                </w:tcPr>
                <w:p w14:paraId="7A5867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eastAsia="宋体"/>
                      <w:b/>
                      <w:bCs w:val="0"/>
                      <w:color w:val="000000" w:themeColor="text1"/>
                      <w:kern w:val="2"/>
                      <w:sz w:val="21"/>
                      <w:szCs w:val="21"/>
                      <w:vertAlign w:val="baseline"/>
                      <w:lang w:val="en-US" w:eastAsia="zh-CN"/>
                      <w14:textFill>
                        <w14:solidFill>
                          <w14:schemeClr w14:val="tx1"/>
                        </w14:solidFill>
                      </w14:textFill>
                    </w:rPr>
                  </w:pPr>
                  <w:r>
                    <w:rPr>
                      <w:rFonts w:hint="eastAsia" w:eastAsia="宋体"/>
                      <w:b w:val="0"/>
                      <w:bCs/>
                      <w:color w:val="000000" w:themeColor="text1"/>
                      <w:kern w:val="2"/>
                      <w:sz w:val="21"/>
                      <w:szCs w:val="21"/>
                      <w:vertAlign w:val="baseline"/>
                      <w:lang w:val="en-US" w:eastAsia="zh-CN"/>
                      <w14:textFill>
                        <w14:solidFill>
                          <w14:schemeClr w14:val="tx1"/>
                        </w14:solidFill>
                      </w14:textFill>
                    </w:rPr>
                    <w:t>在鄱阳湖内从事采砂活动，应当依法办理采砂许可证。依法取得采砂许可证的单位和个人必须按照批准的开采时间、种类、作业方式以及开采范围、深度和开采量进行开采；在鄱阳湖内从事采砂活动不得危害水利、交通等工程设施安全，不得破坏河湖岸线和生态环境;造成损害的，应当依法承担赔偿责任；在鄱阳湖禁采期内，采砂船舶应当按照所在地县级人民政府指定的地点集中停放。无正当理由，不得擅自驶离指定停放地点禁采区内不得滞留采砂船舶。</w:t>
                  </w:r>
                </w:p>
              </w:tc>
              <w:tc>
                <w:tcPr>
                  <w:tcW w:w="854" w:type="pct"/>
                  <w:vAlign w:val="center"/>
                </w:tcPr>
                <w:p w14:paraId="22707C0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eastAsia="宋体"/>
                      <w:b w:val="0"/>
                      <w:bCs/>
                      <w:color w:val="000000" w:themeColor="text1"/>
                      <w:kern w:val="2"/>
                      <w:sz w:val="21"/>
                      <w:szCs w:val="21"/>
                      <w:vertAlign w:val="baseline"/>
                      <w:lang w:val="en-US" w:eastAsia="zh-CN"/>
                      <w14:textFill>
                        <w14:solidFill>
                          <w14:schemeClr w14:val="tx1"/>
                        </w14:solidFill>
                      </w14:textFill>
                    </w:rPr>
                  </w:pPr>
                  <w:r>
                    <w:rPr>
                      <w:rFonts w:hint="eastAsia" w:eastAsia="宋体"/>
                      <w:b w:val="0"/>
                      <w:bCs/>
                      <w:color w:val="000000" w:themeColor="text1"/>
                      <w:kern w:val="2"/>
                      <w:sz w:val="21"/>
                      <w:szCs w:val="21"/>
                      <w:vertAlign w:val="baseline"/>
                      <w:lang w:val="en-US" w:eastAsia="zh-CN"/>
                      <w14:textFill>
                        <w14:solidFill>
                          <w14:schemeClr w14:val="tx1"/>
                        </w14:solidFill>
                      </w14:textFill>
                    </w:rPr>
                    <w:t>本项目不涉及采砂活动</w:t>
                  </w:r>
                </w:p>
              </w:tc>
              <w:tc>
                <w:tcPr>
                  <w:tcW w:w="617" w:type="pct"/>
                  <w:vAlign w:val="center"/>
                </w:tcPr>
                <w:p w14:paraId="028793E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val="0"/>
                      <w:bCs/>
                      <w:color w:val="000000" w:themeColor="text1"/>
                      <w:kern w:val="2"/>
                      <w:sz w:val="21"/>
                      <w:szCs w:val="21"/>
                      <w:vertAlign w:val="baseline"/>
                      <w:lang w:val="en-US" w:eastAsia="zh-CN"/>
                      <w14:textFill>
                        <w14:solidFill>
                          <w14:schemeClr w14:val="tx1"/>
                        </w14:solidFill>
                      </w14:textFill>
                    </w:rPr>
                  </w:pPr>
                  <w:r>
                    <w:rPr>
                      <w:rFonts w:hint="eastAsia"/>
                      <w:b w:val="0"/>
                      <w:bCs/>
                      <w:color w:val="000000" w:themeColor="text1"/>
                      <w:kern w:val="2"/>
                      <w:sz w:val="21"/>
                      <w:szCs w:val="21"/>
                      <w:vertAlign w:val="baseline"/>
                      <w:lang w:val="en-US" w:eastAsia="zh-CN"/>
                      <w14:textFill>
                        <w14:solidFill>
                          <w14:schemeClr w14:val="tx1"/>
                        </w14:solidFill>
                      </w14:textFill>
                    </w:rPr>
                    <w:t>不涉及</w:t>
                  </w:r>
                </w:p>
              </w:tc>
            </w:tr>
            <w:tr w14:paraId="4870227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98" w:type="pct"/>
                  <w:vAlign w:val="center"/>
                </w:tcPr>
                <w:p w14:paraId="246829C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bCs w:val="0"/>
                      <w:color w:val="000000" w:themeColor="text1"/>
                      <w:kern w:val="2"/>
                      <w:sz w:val="21"/>
                      <w:szCs w:val="21"/>
                      <w:vertAlign w:val="baseline"/>
                      <w:lang w:val="en-US" w:eastAsia="zh-CN"/>
                      <w14:textFill>
                        <w14:solidFill>
                          <w14:schemeClr w14:val="tx1"/>
                        </w14:solidFill>
                      </w14:textFill>
                    </w:rPr>
                  </w:pPr>
                  <w:r>
                    <w:rPr>
                      <w:rFonts w:hint="eastAsia" w:eastAsia="宋体"/>
                      <w:b w:val="0"/>
                      <w:bCs/>
                      <w:color w:val="000000" w:themeColor="text1"/>
                      <w:kern w:val="2"/>
                      <w:sz w:val="21"/>
                      <w:szCs w:val="21"/>
                      <w:vertAlign w:val="baseline"/>
                      <w:lang w:val="en-US" w:eastAsia="zh-CN"/>
                      <w14:textFill>
                        <w14:solidFill>
                          <w14:schemeClr w14:val="tx1"/>
                        </w14:solidFill>
                      </w14:textFill>
                    </w:rPr>
                    <w:t>2</w:t>
                  </w:r>
                </w:p>
              </w:tc>
              <w:tc>
                <w:tcPr>
                  <w:tcW w:w="3229" w:type="pct"/>
                  <w:vAlign w:val="center"/>
                </w:tcPr>
                <w:p w14:paraId="0B9FDC5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eastAsia="宋体"/>
                      <w:b w:val="0"/>
                      <w:bCs/>
                      <w:color w:val="000000" w:themeColor="text1"/>
                      <w:kern w:val="2"/>
                      <w:sz w:val="21"/>
                      <w:szCs w:val="21"/>
                      <w:vertAlign w:val="baseline"/>
                      <w:lang w:val="en-US" w:eastAsia="zh-CN"/>
                      <w14:textFill>
                        <w14:solidFill>
                          <w14:schemeClr w14:val="tx1"/>
                        </w14:solidFill>
                      </w14:textFill>
                    </w:rPr>
                  </w:pPr>
                  <w:r>
                    <w:rPr>
                      <w:rFonts w:hint="eastAsia" w:eastAsia="宋体"/>
                      <w:b w:val="0"/>
                      <w:bCs/>
                      <w:color w:val="000000" w:themeColor="text1"/>
                      <w:kern w:val="2"/>
                      <w:sz w:val="21"/>
                      <w:szCs w:val="21"/>
                      <w:vertAlign w:val="baseline"/>
                      <w:lang w:val="en-US" w:eastAsia="zh-CN"/>
                      <w14:textFill>
                        <w14:solidFill>
                          <w14:schemeClr w14:val="tx1"/>
                        </w14:solidFill>
                      </w14:textFill>
                    </w:rPr>
                    <w:t>湖体核心保护区内禁止下列行为：</w:t>
                  </w:r>
                </w:p>
                <w:p w14:paraId="61C4102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eastAsia="宋体"/>
                      <w:b w:val="0"/>
                      <w:bCs/>
                      <w:color w:val="000000" w:themeColor="text1"/>
                      <w:kern w:val="2"/>
                      <w:sz w:val="21"/>
                      <w:szCs w:val="21"/>
                      <w:vertAlign w:val="baseline"/>
                      <w:lang w:val="en-US" w:eastAsia="zh-CN"/>
                      <w14:textFill>
                        <w14:solidFill>
                          <w14:schemeClr w14:val="tx1"/>
                        </w14:solidFill>
                      </w14:textFill>
                    </w:rPr>
                  </w:pPr>
                  <w:r>
                    <w:rPr>
                      <w:rFonts w:hint="eastAsia" w:eastAsia="宋体"/>
                      <w:b w:val="0"/>
                      <w:bCs/>
                      <w:color w:val="000000" w:themeColor="text1"/>
                      <w:kern w:val="2"/>
                      <w:sz w:val="21"/>
                      <w:szCs w:val="21"/>
                      <w:vertAlign w:val="baseline"/>
                      <w:lang w:val="en-US" w:eastAsia="zh-CN"/>
                      <w14:textFill>
                        <w14:solidFill>
                          <w14:schemeClr w14:val="tx1"/>
                        </w14:solidFill>
                      </w14:textFill>
                    </w:rPr>
                    <w:t>(一)围湖造地、围湖养殖；</w:t>
                  </w:r>
                </w:p>
                <w:p w14:paraId="1E21388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eastAsia="宋体"/>
                      <w:b w:val="0"/>
                      <w:bCs/>
                      <w:color w:val="000000" w:themeColor="text1"/>
                      <w:kern w:val="2"/>
                      <w:sz w:val="21"/>
                      <w:szCs w:val="21"/>
                      <w:vertAlign w:val="baseline"/>
                      <w:lang w:val="en-US" w:eastAsia="zh-CN"/>
                      <w14:textFill>
                        <w14:solidFill>
                          <w14:schemeClr w14:val="tx1"/>
                        </w14:solidFill>
                      </w14:textFill>
                    </w:rPr>
                  </w:pPr>
                  <w:r>
                    <w:rPr>
                      <w:rFonts w:hint="eastAsia" w:eastAsia="宋体"/>
                      <w:b w:val="0"/>
                      <w:bCs/>
                      <w:color w:val="000000" w:themeColor="text1"/>
                      <w:kern w:val="2"/>
                      <w:sz w:val="21"/>
                      <w:szCs w:val="21"/>
                      <w:vertAlign w:val="baseline"/>
                      <w:lang w:val="en-US" w:eastAsia="zh-CN"/>
                      <w14:textFill>
                        <w14:solidFill>
                          <w14:schemeClr w14:val="tx1"/>
                        </w14:solidFill>
                      </w14:textFill>
                    </w:rPr>
                    <w:t>(二)非法围(开)垦、填埋湿地，烧荒，采矿，排放湿地水资源，或者修建阻水、排水设施；</w:t>
                  </w:r>
                </w:p>
                <w:p w14:paraId="3C795C8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eastAsia="宋体"/>
                      <w:b w:val="0"/>
                      <w:bCs/>
                      <w:color w:val="000000" w:themeColor="text1"/>
                      <w:kern w:val="2"/>
                      <w:sz w:val="21"/>
                      <w:szCs w:val="21"/>
                      <w:vertAlign w:val="baseline"/>
                      <w:lang w:val="en-US" w:eastAsia="zh-CN"/>
                      <w14:textFill>
                        <w14:solidFill>
                          <w14:schemeClr w14:val="tx1"/>
                        </w14:solidFill>
                      </w14:textFill>
                    </w:rPr>
                  </w:pPr>
                  <w:r>
                    <w:rPr>
                      <w:rFonts w:hint="eastAsia" w:eastAsia="宋体"/>
                      <w:b w:val="0"/>
                      <w:bCs/>
                      <w:color w:val="000000" w:themeColor="text1"/>
                      <w:kern w:val="2"/>
                      <w:sz w:val="21"/>
                      <w:szCs w:val="21"/>
                      <w:vertAlign w:val="baseline"/>
                      <w:lang w:val="en-US" w:eastAsia="zh-CN"/>
                      <w14:textFill>
                        <w14:solidFill>
                          <w14:schemeClr w14:val="tx1"/>
                        </w14:solidFill>
                      </w14:textFill>
                    </w:rPr>
                    <w:t>(三)向鄱阳湖水体排放、倾倒工业废渣、城镇垃圾或者其他废弃物，或者在鄱阳湖最高水位线以下的滩地、岸坡堆放、存贮固体废弃物或者其他污染物；</w:t>
                  </w:r>
                </w:p>
                <w:p w14:paraId="110A617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eastAsia="宋体"/>
                      <w:b w:val="0"/>
                      <w:bCs/>
                      <w:color w:val="000000" w:themeColor="text1"/>
                      <w:kern w:val="2"/>
                      <w:sz w:val="21"/>
                      <w:szCs w:val="21"/>
                      <w:vertAlign w:val="baseline"/>
                      <w:lang w:val="en-US" w:eastAsia="zh-CN"/>
                      <w14:textFill>
                        <w14:solidFill>
                          <w14:schemeClr w14:val="tx1"/>
                        </w14:solidFill>
                      </w14:textFill>
                    </w:rPr>
                  </w:pPr>
                  <w:r>
                    <w:rPr>
                      <w:rFonts w:hint="eastAsia" w:eastAsia="宋体"/>
                      <w:b w:val="0"/>
                      <w:bCs/>
                      <w:color w:val="000000" w:themeColor="text1"/>
                      <w:kern w:val="2"/>
                      <w:sz w:val="21"/>
                      <w:szCs w:val="21"/>
                      <w:vertAlign w:val="baseline"/>
                      <w:lang w:val="en-US" w:eastAsia="zh-CN"/>
                      <w14:textFill>
                        <w14:solidFill>
                          <w14:schemeClr w14:val="tx1"/>
                        </w14:solidFill>
                      </w14:textFill>
                    </w:rPr>
                    <w:t>(四)破坏鱼类等水生动物洄游通道，采用炸鱼、电鱼、毒鱼、耙网、定置网、机动底拖网等破坏渔业资源的方式和渔具捕捞鱼类、螺蚌及其他水生动物和底栖动物，或者在禁渔区、禁渔期内进行捕捞；</w:t>
                  </w:r>
                </w:p>
                <w:p w14:paraId="6CF5F70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eastAsia="宋体"/>
                      <w:b w:val="0"/>
                      <w:bCs/>
                      <w:color w:val="000000" w:themeColor="text1"/>
                      <w:kern w:val="2"/>
                      <w:sz w:val="21"/>
                      <w:szCs w:val="21"/>
                      <w:vertAlign w:val="baseline"/>
                      <w:lang w:val="en-US" w:eastAsia="zh-CN"/>
                      <w14:textFill>
                        <w14:solidFill>
                          <w14:schemeClr w14:val="tx1"/>
                        </w14:solidFill>
                      </w14:textFill>
                    </w:rPr>
                  </w:pPr>
                  <w:r>
                    <w:rPr>
                      <w:rFonts w:hint="eastAsia" w:eastAsia="宋体"/>
                      <w:b w:val="0"/>
                      <w:bCs/>
                      <w:color w:val="000000" w:themeColor="text1"/>
                      <w:kern w:val="2"/>
                      <w:sz w:val="21"/>
                      <w:szCs w:val="21"/>
                      <w:vertAlign w:val="baseline"/>
                      <w:lang w:val="en-US" w:eastAsia="zh-CN"/>
                      <w14:textFill>
                        <w14:solidFill>
                          <w14:schemeClr w14:val="tx1"/>
                        </w14:solidFill>
                      </w14:textFill>
                    </w:rPr>
                    <w:t>(五)投放无机肥、有机肥和生物复合肥进行水产养殖；</w:t>
                  </w:r>
                </w:p>
                <w:p w14:paraId="3E14AA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eastAsia="宋体"/>
                      <w:b w:val="0"/>
                      <w:bCs/>
                      <w:color w:val="000000" w:themeColor="text1"/>
                      <w:kern w:val="2"/>
                      <w:sz w:val="21"/>
                      <w:szCs w:val="21"/>
                      <w:vertAlign w:val="baseline"/>
                      <w:lang w:val="en-US" w:eastAsia="zh-CN"/>
                      <w14:textFill>
                        <w14:solidFill>
                          <w14:schemeClr w14:val="tx1"/>
                        </w14:solidFill>
                      </w14:textFill>
                    </w:rPr>
                  </w:pPr>
                  <w:r>
                    <w:rPr>
                      <w:rFonts w:hint="eastAsia" w:eastAsia="宋体"/>
                      <w:b w:val="0"/>
                      <w:bCs/>
                      <w:color w:val="000000" w:themeColor="text1"/>
                      <w:kern w:val="2"/>
                      <w:sz w:val="21"/>
                      <w:szCs w:val="21"/>
                      <w:vertAlign w:val="baseline"/>
                      <w:lang w:val="en-US" w:eastAsia="zh-CN"/>
                      <w14:textFill>
                        <w14:solidFill>
                          <w14:schemeClr w14:val="tx1"/>
                        </w14:solidFill>
                      </w14:textFill>
                    </w:rPr>
                    <w:t>(六)采用天网、投毒、强光、仿声等方式非法猎捕以及非法出售、收购、运输、携带候鸟及其他受保护的野生动物；</w:t>
                  </w:r>
                </w:p>
                <w:p w14:paraId="56A0E6C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eastAsia="宋体"/>
                      <w:b/>
                      <w:bCs w:val="0"/>
                      <w:color w:val="000000" w:themeColor="text1"/>
                      <w:kern w:val="2"/>
                      <w:sz w:val="21"/>
                      <w:szCs w:val="21"/>
                      <w:vertAlign w:val="baseline"/>
                      <w:lang w:val="en-US" w:eastAsia="zh-CN"/>
                      <w14:textFill>
                        <w14:solidFill>
                          <w14:schemeClr w14:val="tx1"/>
                        </w14:solidFill>
                      </w14:textFill>
                    </w:rPr>
                  </w:pPr>
                  <w:r>
                    <w:rPr>
                      <w:rFonts w:hint="eastAsia" w:eastAsia="宋体"/>
                      <w:b w:val="0"/>
                      <w:bCs/>
                      <w:color w:val="000000" w:themeColor="text1"/>
                      <w:kern w:val="2"/>
                      <w:sz w:val="21"/>
                      <w:szCs w:val="21"/>
                      <w:vertAlign w:val="baseline"/>
                      <w:lang w:val="en-US" w:eastAsia="zh-CN"/>
                      <w14:textFill>
                        <w14:solidFill>
                          <w14:schemeClr w14:val="tx1"/>
                        </w14:solidFill>
                      </w14:textFill>
                    </w:rPr>
                    <w:t>(七)种植有碍湿地保护或者阻碍行洪的林木和高秆作物；</w:t>
                  </w:r>
                </w:p>
              </w:tc>
              <w:tc>
                <w:tcPr>
                  <w:tcW w:w="854" w:type="pct"/>
                  <w:vAlign w:val="center"/>
                </w:tcPr>
                <w:p w14:paraId="2F24168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eastAsia="宋体"/>
                      <w:b w:val="0"/>
                      <w:bCs/>
                      <w:color w:val="000000" w:themeColor="text1"/>
                      <w:kern w:val="2"/>
                      <w:sz w:val="21"/>
                      <w:szCs w:val="21"/>
                      <w:vertAlign w:val="baseline"/>
                      <w:lang w:val="en-US" w:eastAsia="zh-CN"/>
                      <w14:textFill>
                        <w14:solidFill>
                          <w14:schemeClr w14:val="tx1"/>
                        </w14:solidFill>
                      </w14:textFill>
                    </w:rPr>
                  </w:pPr>
                  <w:r>
                    <w:rPr>
                      <w:rFonts w:hint="eastAsia" w:eastAsia="宋体"/>
                      <w:b w:val="0"/>
                      <w:bCs/>
                      <w:color w:val="000000" w:themeColor="text1"/>
                      <w:kern w:val="2"/>
                      <w:sz w:val="21"/>
                      <w:szCs w:val="21"/>
                      <w:vertAlign w:val="baseline"/>
                      <w:lang w:val="en-US" w:eastAsia="zh-CN"/>
                      <w14:textFill>
                        <w14:solidFill>
                          <w14:schemeClr w14:val="tx1"/>
                        </w14:solidFill>
                      </w14:textFill>
                    </w:rPr>
                    <w:t>本项目不在湖体核心保护区内</w:t>
                  </w:r>
                </w:p>
              </w:tc>
              <w:tc>
                <w:tcPr>
                  <w:tcW w:w="968" w:type="dxa"/>
                  <w:vAlign w:val="center"/>
                </w:tcPr>
                <w:p w14:paraId="1714F55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eastAsia="宋体"/>
                      <w:b w:val="0"/>
                      <w:bCs/>
                      <w:color w:val="000000" w:themeColor="text1"/>
                      <w:kern w:val="2"/>
                      <w:sz w:val="21"/>
                      <w:szCs w:val="21"/>
                      <w:vertAlign w:val="baseline"/>
                      <w:lang w:val="en-US" w:eastAsia="zh-CN"/>
                      <w14:textFill>
                        <w14:solidFill>
                          <w14:schemeClr w14:val="tx1"/>
                        </w14:solidFill>
                      </w14:textFill>
                    </w:rPr>
                  </w:pPr>
                  <w:r>
                    <w:rPr>
                      <w:rFonts w:hint="eastAsia"/>
                      <w:b w:val="0"/>
                      <w:bCs/>
                      <w:color w:val="000000" w:themeColor="text1"/>
                      <w:kern w:val="2"/>
                      <w:sz w:val="21"/>
                      <w:szCs w:val="21"/>
                      <w:vertAlign w:val="baseline"/>
                      <w:lang w:val="en-US" w:eastAsia="zh-CN"/>
                      <w14:textFill>
                        <w14:solidFill>
                          <w14:schemeClr w14:val="tx1"/>
                        </w14:solidFill>
                      </w14:textFill>
                    </w:rPr>
                    <w:t>不涉及</w:t>
                  </w:r>
                </w:p>
              </w:tc>
            </w:tr>
            <w:tr w14:paraId="6278CF3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98" w:type="pct"/>
                  <w:vAlign w:val="center"/>
                </w:tcPr>
                <w:p w14:paraId="7FF4E6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val="0"/>
                      <w:bCs/>
                      <w:color w:val="000000" w:themeColor="text1"/>
                      <w:kern w:val="2"/>
                      <w:sz w:val="21"/>
                      <w:szCs w:val="21"/>
                      <w:vertAlign w:val="baseline"/>
                      <w:lang w:val="en-US" w:eastAsia="zh-CN"/>
                      <w14:textFill>
                        <w14:solidFill>
                          <w14:schemeClr w14:val="tx1"/>
                        </w14:solidFill>
                      </w14:textFill>
                    </w:rPr>
                  </w:pPr>
                  <w:r>
                    <w:rPr>
                      <w:rFonts w:hint="eastAsia" w:eastAsia="宋体"/>
                      <w:b w:val="0"/>
                      <w:bCs/>
                      <w:color w:val="000000" w:themeColor="text1"/>
                      <w:kern w:val="2"/>
                      <w:sz w:val="21"/>
                      <w:szCs w:val="21"/>
                      <w:vertAlign w:val="baseline"/>
                      <w:lang w:val="en-US" w:eastAsia="zh-CN"/>
                      <w14:textFill>
                        <w14:solidFill>
                          <w14:schemeClr w14:val="tx1"/>
                        </w14:solidFill>
                      </w14:textFill>
                    </w:rPr>
                    <w:t>3</w:t>
                  </w:r>
                </w:p>
              </w:tc>
              <w:tc>
                <w:tcPr>
                  <w:tcW w:w="3229" w:type="pct"/>
                </w:tcPr>
                <w:p w14:paraId="1FA8B29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eastAsia="宋体"/>
                      <w:b/>
                      <w:bCs w:val="0"/>
                      <w:color w:val="000000" w:themeColor="text1"/>
                      <w:kern w:val="2"/>
                      <w:sz w:val="21"/>
                      <w:szCs w:val="21"/>
                      <w:vertAlign w:val="baseline"/>
                      <w:lang w:val="en-US" w:eastAsia="zh-CN"/>
                      <w14:textFill>
                        <w14:solidFill>
                          <w14:schemeClr w14:val="tx1"/>
                        </w14:solidFill>
                      </w14:textFill>
                    </w:rPr>
                  </w:pPr>
                  <w:r>
                    <w:rPr>
                      <w:rFonts w:hint="eastAsia" w:eastAsia="宋体"/>
                      <w:b w:val="0"/>
                      <w:bCs/>
                      <w:color w:val="000000" w:themeColor="text1"/>
                      <w:kern w:val="2"/>
                      <w:sz w:val="21"/>
                      <w:szCs w:val="21"/>
                      <w:vertAlign w:val="baseline"/>
                      <w:lang w:val="en-US" w:eastAsia="zh-CN"/>
                      <w14:textFill>
                        <w14:solidFill>
                          <w14:schemeClr w14:val="tx1"/>
                        </w14:solidFill>
                      </w14:textFill>
                    </w:rPr>
                    <w:t>滨湖控制开发带内建设项目应当符合国家和省产业政策以及沿湖岸线资源保护与利用规划。禁止新建、改建扩建化学制浆造纸、印染、制革、电镀等排放含磷、氮、重金属等污染物的企业和项目。</w:t>
                  </w:r>
                </w:p>
              </w:tc>
              <w:tc>
                <w:tcPr>
                  <w:tcW w:w="854" w:type="pct"/>
                  <w:vAlign w:val="center"/>
                </w:tcPr>
                <w:p w14:paraId="4DB57AF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eastAsia="宋体"/>
                      <w:b w:val="0"/>
                      <w:bCs/>
                      <w:color w:val="000000" w:themeColor="text1"/>
                      <w:kern w:val="2"/>
                      <w:sz w:val="21"/>
                      <w:szCs w:val="21"/>
                      <w:vertAlign w:val="baseline"/>
                      <w:lang w:val="en-US" w:eastAsia="zh-CN"/>
                      <w14:textFill>
                        <w14:solidFill>
                          <w14:schemeClr w14:val="tx1"/>
                        </w14:solidFill>
                      </w14:textFill>
                    </w:rPr>
                  </w:pPr>
                  <w:r>
                    <w:rPr>
                      <w:rFonts w:hint="eastAsia" w:eastAsia="宋体"/>
                      <w:b w:val="0"/>
                      <w:bCs/>
                      <w:color w:val="000000" w:themeColor="text1"/>
                      <w:kern w:val="2"/>
                      <w:sz w:val="21"/>
                      <w:szCs w:val="21"/>
                      <w:vertAlign w:val="baseline"/>
                      <w:lang w:val="en-US" w:eastAsia="zh-CN"/>
                      <w14:textFill>
                        <w14:solidFill>
                          <w14:schemeClr w14:val="tx1"/>
                        </w14:solidFill>
                      </w14:textFill>
                    </w:rPr>
                    <w:t>本项目不在滨湖控制开发带内</w:t>
                  </w:r>
                </w:p>
              </w:tc>
              <w:tc>
                <w:tcPr>
                  <w:tcW w:w="968" w:type="dxa"/>
                  <w:vAlign w:val="center"/>
                </w:tcPr>
                <w:p w14:paraId="204D0D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eastAsia="宋体"/>
                      <w:b w:val="0"/>
                      <w:bCs/>
                      <w:color w:val="000000" w:themeColor="text1"/>
                      <w:kern w:val="2"/>
                      <w:sz w:val="21"/>
                      <w:szCs w:val="21"/>
                      <w:vertAlign w:val="baseline"/>
                      <w:lang w:val="en-US" w:eastAsia="zh-CN"/>
                      <w14:textFill>
                        <w14:solidFill>
                          <w14:schemeClr w14:val="tx1"/>
                        </w14:solidFill>
                      </w14:textFill>
                    </w:rPr>
                  </w:pPr>
                  <w:r>
                    <w:rPr>
                      <w:rFonts w:hint="eastAsia"/>
                      <w:b w:val="0"/>
                      <w:bCs/>
                      <w:color w:val="000000" w:themeColor="text1"/>
                      <w:kern w:val="2"/>
                      <w:sz w:val="21"/>
                      <w:szCs w:val="21"/>
                      <w:vertAlign w:val="baseline"/>
                      <w:lang w:val="en-US" w:eastAsia="zh-CN"/>
                      <w14:textFill>
                        <w14:solidFill>
                          <w14:schemeClr w14:val="tx1"/>
                        </w14:solidFill>
                      </w14:textFill>
                    </w:rPr>
                    <w:t>不涉及</w:t>
                  </w:r>
                </w:p>
              </w:tc>
            </w:tr>
            <w:tr w14:paraId="3C4DBBA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98" w:type="pct"/>
                  <w:vAlign w:val="center"/>
                </w:tcPr>
                <w:p w14:paraId="0943FD5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val="0"/>
                      <w:bCs/>
                      <w:color w:val="000000" w:themeColor="text1"/>
                      <w:kern w:val="2"/>
                      <w:sz w:val="21"/>
                      <w:szCs w:val="21"/>
                      <w:vertAlign w:val="baseline"/>
                      <w:lang w:val="en-US" w:eastAsia="zh-CN"/>
                      <w14:textFill>
                        <w14:solidFill>
                          <w14:schemeClr w14:val="tx1"/>
                        </w14:solidFill>
                      </w14:textFill>
                    </w:rPr>
                  </w:pPr>
                  <w:r>
                    <w:rPr>
                      <w:rFonts w:hint="eastAsia" w:eastAsia="宋体"/>
                      <w:b w:val="0"/>
                      <w:bCs/>
                      <w:color w:val="000000" w:themeColor="text1"/>
                      <w:kern w:val="2"/>
                      <w:sz w:val="21"/>
                      <w:szCs w:val="21"/>
                      <w:vertAlign w:val="baseline"/>
                      <w:lang w:val="en-US" w:eastAsia="zh-CN"/>
                      <w14:textFill>
                        <w14:solidFill>
                          <w14:schemeClr w14:val="tx1"/>
                        </w14:solidFill>
                      </w14:textFill>
                    </w:rPr>
                    <w:t>4</w:t>
                  </w:r>
                </w:p>
              </w:tc>
              <w:tc>
                <w:tcPr>
                  <w:tcW w:w="3229" w:type="pct"/>
                </w:tcPr>
                <w:p w14:paraId="01DFE2F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eastAsia="宋体"/>
                      <w:b/>
                      <w:bCs w:val="0"/>
                      <w:color w:val="000000" w:themeColor="text1"/>
                      <w:kern w:val="2"/>
                      <w:sz w:val="21"/>
                      <w:szCs w:val="21"/>
                      <w:vertAlign w:val="baseline"/>
                      <w:lang w:val="en-US" w:eastAsia="zh-CN"/>
                      <w14:textFill>
                        <w14:solidFill>
                          <w14:schemeClr w14:val="tx1"/>
                        </w14:solidFill>
                      </w14:textFill>
                    </w:rPr>
                  </w:pPr>
                  <w:r>
                    <w:rPr>
                      <w:rFonts w:hint="eastAsia" w:eastAsia="宋体"/>
                      <w:b w:val="0"/>
                      <w:bCs/>
                      <w:color w:val="000000" w:themeColor="text1"/>
                      <w:kern w:val="2"/>
                      <w:sz w:val="21"/>
                      <w:szCs w:val="21"/>
                      <w:vertAlign w:val="baseline"/>
                      <w:lang w:val="en-US" w:eastAsia="zh-CN"/>
                      <w14:textFill>
                        <w14:solidFill>
                          <w14:schemeClr w14:val="tx1"/>
                        </w14:solidFill>
                      </w14:textFill>
                    </w:rPr>
                    <w:t>重点排污单位应当按照有关规定，在环境保护主管部门的指导和监督下，安装、使用在线监测装置或者视频监控系统，且不得擅自拆除、闲置、改变或者损毁。</w:t>
                  </w:r>
                </w:p>
              </w:tc>
              <w:tc>
                <w:tcPr>
                  <w:tcW w:w="854" w:type="pct"/>
                  <w:vAlign w:val="center"/>
                </w:tcPr>
                <w:p w14:paraId="0EFF96E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eastAsia="宋体"/>
                      <w:b w:val="0"/>
                      <w:bCs/>
                      <w:color w:val="000000" w:themeColor="text1"/>
                      <w:kern w:val="2"/>
                      <w:sz w:val="21"/>
                      <w:szCs w:val="21"/>
                      <w:vertAlign w:val="baseline"/>
                      <w:lang w:val="en-US" w:eastAsia="zh-CN"/>
                      <w14:textFill>
                        <w14:solidFill>
                          <w14:schemeClr w14:val="tx1"/>
                        </w14:solidFill>
                      </w14:textFill>
                    </w:rPr>
                  </w:pPr>
                  <w:r>
                    <w:rPr>
                      <w:rFonts w:hint="eastAsia" w:eastAsia="宋体"/>
                      <w:b w:val="0"/>
                      <w:bCs/>
                      <w:color w:val="000000" w:themeColor="text1"/>
                      <w:kern w:val="2"/>
                      <w:sz w:val="21"/>
                      <w:szCs w:val="21"/>
                      <w:vertAlign w:val="baseline"/>
                      <w:lang w:val="en-US" w:eastAsia="zh-CN"/>
                      <w14:textFill>
                        <w14:solidFill>
                          <w14:schemeClr w14:val="tx1"/>
                        </w14:solidFill>
                      </w14:textFill>
                    </w:rPr>
                    <w:t>本项目不属于重点排污单位</w:t>
                  </w:r>
                </w:p>
              </w:tc>
              <w:tc>
                <w:tcPr>
                  <w:tcW w:w="968" w:type="dxa"/>
                  <w:vAlign w:val="center"/>
                </w:tcPr>
                <w:p w14:paraId="7149EBA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eastAsia="宋体"/>
                      <w:b w:val="0"/>
                      <w:bCs/>
                      <w:color w:val="000000" w:themeColor="text1"/>
                      <w:kern w:val="2"/>
                      <w:sz w:val="21"/>
                      <w:szCs w:val="21"/>
                      <w:vertAlign w:val="baseline"/>
                      <w:lang w:val="en-US" w:eastAsia="zh-CN"/>
                      <w14:textFill>
                        <w14:solidFill>
                          <w14:schemeClr w14:val="tx1"/>
                        </w14:solidFill>
                      </w14:textFill>
                    </w:rPr>
                  </w:pPr>
                  <w:r>
                    <w:rPr>
                      <w:rFonts w:hint="eastAsia"/>
                      <w:b w:val="0"/>
                      <w:bCs/>
                      <w:color w:val="000000" w:themeColor="text1"/>
                      <w:kern w:val="2"/>
                      <w:sz w:val="21"/>
                      <w:szCs w:val="21"/>
                      <w:vertAlign w:val="baseline"/>
                      <w:lang w:val="en-US" w:eastAsia="zh-CN"/>
                      <w14:textFill>
                        <w14:solidFill>
                          <w14:schemeClr w14:val="tx1"/>
                        </w14:solidFill>
                      </w14:textFill>
                    </w:rPr>
                    <w:t>不涉及</w:t>
                  </w:r>
                </w:p>
              </w:tc>
            </w:tr>
            <w:tr w14:paraId="66817C0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98" w:type="pct"/>
                  <w:vAlign w:val="center"/>
                </w:tcPr>
                <w:p w14:paraId="437D386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val="0"/>
                      <w:bCs/>
                      <w:color w:val="000000" w:themeColor="text1"/>
                      <w:kern w:val="2"/>
                      <w:sz w:val="21"/>
                      <w:szCs w:val="21"/>
                      <w:vertAlign w:val="baseline"/>
                      <w:lang w:val="en-US" w:eastAsia="zh-CN"/>
                      <w14:textFill>
                        <w14:solidFill>
                          <w14:schemeClr w14:val="tx1"/>
                        </w14:solidFill>
                      </w14:textFill>
                    </w:rPr>
                  </w:pPr>
                  <w:r>
                    <w:rPr>
                      <w:rFonts w:hint="eastAsia" w:eastAsia="宋体"/>
                      <w:b w:val="0"/>
                      <w:bCs/>
                      <w:color w:val="000000" w:themeColor="text1"/>
                      <w:kern w:val="2"/>
                      <w:sz w:val="21"/>
                      <w:szCs w:val="21"/>
                      <w:vertAlign w:val="baseline"/>
                      <w:lang w:val="en-US" w:eastAsia="zh-CN"/>
                      <w14:textFill>
                        <w14:solidFill>
                          <w14:schemeClr w14:val="tx1"/>
                        </w14:solidFill>
                      </w14:textFill>
                    </w:rPr>
                    <w:t>5</w:t>
                  </w:r>
                </w:p>
              </w:tc>
              <w:tc>
                <w:tcPr>
                  <w:tcW w:w="3229" w:type="pct"/>
                </w:tcPr>
                <w:p w14:paraId="46B59E8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eastAsia="宋体"/>
                      <w:b w:val="0"/>
                      <w:bCs/>
                      <w:color w:val="000000" w:themeColor="text1"/>
                      <w:kern w:val="2"/>
                      <w:sz w:val="21"/>
                      <w:szCs w:val="21"/>
                      <w:vertAlign w:val="baseline"/>
                      <w:lang w:val="en-US" w:eastAsia="zh-CN"/>
                      <w14:textFill>
                        <w14:solidFill>
                          <w14:schemeClr w14:val="tx1"/>
                        </w14:solidFill>
                      </w14:textFill>
                    </w:rPr>
                  </w:pPr>
                  <w:r>
                    <w:rPr>
                      <w:rFonts w:hint="eastAsia" w:eastAsia="宋体"/>
                      <w:b w:val="0"/>
                      <w:bCs/>
                      <w:color w:val="000000" w:themeColor="text1"/>
                      <w:kern w:val="2"/>
                      <w:sz w:val="21"/>
                      <w:szCs w:val="21"/>
                      <w:vertAlign w:val="baseline"/>
                      <w:lang w:val="en-US" w:eastAsia="zh-CN"/>
                      <w14:textFill>
                        <w14:solidFill>
                          <w14:schemeClr w14:val="tx1"/>
                        </w14:solidFill>
                      </w14:textFill>
                    </w:rPr>
                    <w:t>在鄱阳湖生态经济区的核心保护区和滨湖控制开发带内新建、改建、扩建畜禽养殖场(区)的，应当按照建设项目环境保护法律、法规的规定，编制环境影响报告书，并办理相关审批手续。</w:t>
                  </w:r>
                </w:p>
              </w:tc>
              <w:tc>
                <w:tcPr>
                  <w:tcW w:w="854" w:type="pct"/>
                  <w:vAlign w:val="center"/>
                </w:tcPr>
                <w:p w14:paraId="0950BCA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eastAsia="宋体"/>
                      <w:b w:val="0"/>
                      <w:bCs/>
                      <w:color w:val="000000" w:themeColor="text1"/>
                      <w:kern w:val="2"/>
                      <w:sz w:val="21"/>
                      <w:szCs w:val="21"/>
                      <w:vertAlign w:val="baseline"/>
                      <w:lang w:val="en-US" w:eastAsia="zh-CN"/>
                      <w14:textFill>
                        <w14:solidFill>
                          <w14:schemeClr w14:val="tx1"/>
                        </w14:solidFill>
                      </w14:textFill>
                    </w:rPr>
                  </w:pPr>
                  <w:r>
                    <w:rPr>
                      <w:rFonts w:hint="eastAsia" w:eastAsia="宋体"/>
                      <w:b w:val="0"/>
                      <w:bCs/>
                      <w:color w:val="000000" w:themeColor="text1"/>
                      <w:kern w:val="2"/>
                      <w:sz w:val="21"/>
                      <w:szCs w:val="21"/>
                      <w:vertAlign w:val="baseline"/>
                      <w:lang w:val="en-US" w:eastAsia="zh-CN"/>
                      <w14:textFill>
                        <w14:solidFill>
                          <w14:schemeClr w14:val="tx1"/>
                        </w14:solidFill>
                      </w14:textFill>
                    </w:rPr>
                    <w:t>项目所在地不涉及鄱阳湖生态经济区的核心保护区和滨湖控制开发带</w:t>
                  </w:r>
                </w:p>
              </w:tc>
              <w:tc>
                <w:tcPr>
                  <w:tcW w:w="968" w:type="dxa"/>
                  <w:vAlign w:val="center"/>
                </w:tcPr>
                <w:p w14:paraId="31542FF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eastAsia="宋体"/>
                      <w:b w:val="0"/>
                      <w:bCs/>
                      <w:color w:val="000000" w:themeColor="text1"/>
                      <w:kern w:val="2"/>
                      <w:sz w:val="21"/>
                      <w:szCs w:val="21"/>
                      <w:vertAlign w:val="baseline"/>
                      <w:lang w:val="en-US" w:eastAsia="zh-CN"/>
                      <w14:textFill>
                        <w14:solidFill>
                          <w14:schemeClr w14:val="tx1"/>
                        </w14:solidFill>
                      </w14:textFill>
                    </w:rPr>
                  </w:pPr>
                  <w:r>
                    <w:rPr>
                      <w:rFonts w:hint="eastAsia"/>
                      <w:b w:val="0"/>
                      <w:bCs/>
                      <w:color w:val="000000" w:themeColor="text1"/>
                      <w:kern w:val="2"/>
                      <w:sz w:val="21"/>
                      <w:szCs w:val="21"/>
                      <w:vertAlign w:val="baseline"/>
                      <w:lang w:val="en-US" w:eastAsia="zh-CN"/>
                      <w14:textFill>
                        <w14:solidFill>
                          <w14:schemeClr w14:val="tx1"/>
                        </w14:solidFill>
                      </w14:textFill>
                    </w:rPr>
                    <w:t>不涉及</w:t>
                  </w:r>
                </w:p>
              </w:tc>
            </w:tr>
            <w:tr w14:paraId="0949ABD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98" w:type="pct"/>
                  <w:vAlign w:val="center"/>
                </w:tcPr>
                <w:p w14:paraId="03FA9B3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val="0"/>
                      <w:bCs/>
                      <w:color w:val="000000" w:themeColor="text1"/>
                      <w:kern w:val="2"/>
                      <w:sz w:val="21"/>
                      <w:szCs w:val="21"/>
                      <w:vertAlign w:val="baseline"/>
                      <w:lang w:val="en-US" w:eastAsia="zh-CN"/>
                      <w14:textFill>
                        <w14:solidFill>
                          <w14:schemeClr w14:val="tx1"/>
                        </w14:solidFill>
                      </w14:textFill>
                    </w:rPr>
                  </w:pPr>
                  <w:r>
                    <w:rPr>
                      <w:rFonts w:hint="eastAsia" w:eastAsia="宋体"/>
                      <w:b w:val="0"/>
                      <w:bCs/>
                      <w:color w:val="000000" w:themeColor="text1"/>
                      <w:kern w:val="2"/>
                      <w:sz w:val="21"/>
                      <w:szCs w:val="21"/>
                      <w:vertAlign w:val="baseline"/>
                      <w:lang w:val="en-US" w:eastAsia="zh-CN"/>
                      <w14:textFill>
                        <w14:solidFill>
                          <w14:schemeClr w14:val="tx1"/>
                        </w14:solidFill>
                      </w14:textFill>
                    </w:rPr>
                    <w:t>6</w:t>
                  </w:r>
                </w:p>
              </w:tc>
              <w:tc>
                <w:tcPr>
                  <w:tcW w:w="3229" w:type="pct"/>
                </w:tcPr>
                <w:p w14:paraId="68B0AD5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eastAsia="宋体"/>
                      <w:b/>
                      <w:bCs w:val="0"/>
                      <w:color w:val="000000" w:themeColor="text1"/>
                      <w:kern w:val="2"/>
                      <w:sz w:val="21"/>
                      <w:szCs w:val="21"/>
                      <w:vertAlign w:val="baseline"/>
                      <w:lang w:val="en-US" w:eastAsia="zh-CN"/>
                      <w14:textFill>
                        <w14:solidFill>
                          <w14:schemeClr w14:val="tx1"/>
                        </w14:solidFill>
                      </w14:textFill>
                    </w:rPr>
                  </w:pPr>
                  <w:r>
                    <w:rPr>
                      <w:rFonts w:hint="eastAsia" w:eastAsia="宋体"/>
                      <w:b w:val="0"/>
                      <w:bCs/>
                      <w:color w:val="000000" w:themeColor="text1"/>
                      <w:kern w:val="2"/>
                      <w:sz w:val="21"/>
                      <w:szCs w:val="21"/>
                      <w:vertAlign w:val="baseline"/>
                      <w:lang w:val="en-US" w:eastAsia="zh-CN"/>
                      <w14:textFill>
                        <w14:solidFill>
                          <w14:schemeClr w14:val="tx1"/>
                        </w14:solidFill>
                      </w14:textFill>
                    </w:rPr>
                    <w:t>在鄱阳湖生态经济区内实行矿产资源勘查、开采规划分区制度。在禁止勘查、开采规划区内，不得新设固体矿产探矿权、采矿权；已取得固体矿产探矿权、采矿权的采矿企业，应当逐步有序退出。</w:t>
                  </w:r>
                </w:p>
              </w:tc>
              <w:tc>
                <w:tcPr>
                  <w:tcW w:w="854" w:type="pct"/>
                  <w:vAlign w:val="center"/>
                </w:tcPr>
                <w:p w14:paraId="4DF77BF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eastAsia="宋体"/>
                      <w:b w:val="0"/>
                      <w:bCs/>
                      <w:color w:val="000000" w:themeColor="text1"/>
                      <w:kern w:val="2"/>
                      <w:sz w:val="21"/>
                      <w:szCs w:val="21"/>
                      <w:vertAlign w:val="baseline"/>
                      <w:lang w:val="en-US" w:eastAsia="zh-CN"/>
                      <w14:textFill>
                        <w14:solidFill>
                          <w14:schemeClr w14:val="tx1"/>
                        </w14:solidFill>
                      </w14:textFill>
                    </w:rPr>
                  </w:pPr>
                  <w:r>
                    <w:rPr>
                      <w:rFonts w:hint="eastAsia" w:eastAsia="宋体"/>
                      <w:b w:val="0"/>
                      <w:bCs/>
                      <w:color w:val="000000" w:themeColor="text1"/>
                      <w:kern w:val="2"/>
                      <w:sz w:val="21"/>
                      <w:szCs w:val="21"/>
                      <w:vertAlign w:val="baseline"/>
                      <w:lang w:val="en-US" w:eastAsia="zh-CN"/>
                      <w14:textFill>
                        <w14:solidFill>
                          <w14:schemeClr w14:val="tx1"/>
                        </w14:solidFill>
                      </w14:textFill>
                    </w:rPr>
                    <w:t>本项目不涉及采矿</w:t>
                  </w:r>
                </w:p>
              </w:tc>
              <w:tc>
                <w:tcPr>
                  <w:tcW w:w="968" w:type="dxa"/>
                  <w:vAlign w:val="center"/>
                </w:tcPr>
                <w:p w14:paraId="5B84F14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eastAsia="宋体"/>
                      <w:b w:val="0"/>
                      <w:bCs/>
                      <w:color w:val="000000" w:themeColor="text1"/>
                      <w:kern w:val="2"/>
                      <w:sz w:val="21"/>
                      <w:szCs w:val="21"/>
                      <w:vertAlign w:val="baseline"/>
                      <w:lang w:val="en-US" w:eastAsia="zh-CN"/>
                      <w14:textFill>
                        <w14:solidFill>
                          <w14:schemeClr w14:val="tx1"/>
                        </w14:solidFill>
                      </w14:textFill>
                    </w:rPr>
                  </w:pPr>
                  <w:r>
                    <w:rPr>
                      <w:rFonts w:hint="eastAsia"/>
                      <w:b w:val="0"/>
                      <w:bCs/>
                      <w:color w:val="000000" w:themeColor="text1"/>
                      <w:kern w:val="2"/>
                      <w:sz w:val="21"/>
                      <w:szCs w:val="21"/>
                      <w:vertAlign w:val="baseline"/>
                      <w:lang w:val="en-US" w:eastAsia="zh-CN"/>
                      <w14:textFill>
                        <w14:solidFill>
                          <w14:schemeClr w14:val="tx1"/>
                        </w14:solidFill>
                      </w14:textFill>
                    </w:rPr>
                    <w:t>不涉及</w:t>
                  </w:r>
                </w:p>
              </w:tc>
            </w:tr>
          </w:tbl>
          <w:p w14:paraId="211FD40C">
            <w:pPr>
              <w:pStyle w:val="9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2" w:firstLineChars="200"/>
              <w:textAlignment w:val="auto"/>
              <w:rPr>
                <w:rFonts w:hint="default"/>
                <w:b/>
                <w:bCs/>
                <w:color w:val="FF0000"/>
                <w:kern w:val="2"/>
                <w:sz w:val="24"/>
                <w:szCs w:val="24"/>
              </w:rPr>
            </w:pPr>
            <w:r>
              <w:rPr>
                <w:rFonts w:hint="eastAsia" w:cs="Times New Roman"/>
                <w:b/>
                <w:bCs/>
                <w:color w:val="FF0000"/>
                <w:sz w:val="24"/>
                <w:szCs w:val="24"/>
                <w:lang w:val="en-US" w:eastAsia="zh-CN"/>
              </w:rPr>
              <w:t>7、项目与《锅炉绿色低碳高质量发展行动方案》</w:t>
            </w:r>
            <w:r>
              <w:rPr>
                <w:rFonts w:hint="default"/>
                <w:b/>
                <w:bCs/>
                <w:color w:val="FF0000"/>
                <w:kern w:val="2"/>
                <w:sz w:val="24"/>
                <w:szCs w:val="24"/>
              </w:rPr>
              <w:t>相符性</w:t>
            </w:r>
          </w:p>
          <w:p w14:paraId="063FE290">
            <w:pPr>
              <w:pStyle w:val="9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rPr>
                <w:rFonts w:hint="eastAsia"/>
                <w:b/>
                <w:bCs w:val="0"/>
                <w:color w:val="FF0000"/>
                <w:kern w:val="2"/>
                <w:sz w:val="24"/>
                <w:szCs w:val="24"/>
                <w:lang w:val="en-US" w:eastAsia="zh-CN"/>
              </w:rPr>
            </w:pPr>
            <w:r>
              <w:rPr>
                <w:rFonts w:hint="default" w:ascii="Times New Roman" w:hAnsi="Times New Roman"/>
                <w:b/>
                <w:bCs w:val="0"/>
                <w:color w:val="FF0000"/>
                <w:sz w:val="24"/>
                <w:szCs w:val="24"/>
              </w:rPr>
              <w:t>表1-</w:t>
            </w:r>
            <w:r>
              <w:rPr>
                <w:rFonts w:hint="eastAsia"/>
                <w:b/>
                <w:bCs w:val="0"/>
                <w:color w:val="FF0000"/>
                <w:sz w:val="24"/>
                <w:szCs w:val="24"/>
                <w:lang w:val="en-US" w:eastAsia="zh-CN"/>
              </w:rPr>
              <w:t xml:space="preserve">8  </w:t>
            </w:r>
            <w:r>
              <w:rPr>
                <w:rFonts w:hint="eastAsia" w:cs="Times New Roman"/>
                <w:b/>
                <w:bCs w:val="0"/>
                <w:color w:val="FF0000"/>
                <w:sz w:val="24"/>
                <w:szCs w:val="24"/>
                <w:lang w:val="en-US" w:eastAsia="zh-CN"/>
              </w:rPr>
              <w:t>项目与《锅炉绿色低碳高质量发展行动方案》</w:t>
            </w:r>
            <w:r>
              <w:rPr>
                <w:rFonts w:hint="default"/>
                <w:b/>
                <w:bCs w:val="0"/>
                <w:color w:val="FF0000"/>
                <w:kern w:val="2"/>
                <w:sz w:val="24"/>
                <w:szCs w:val="24"/>
              </w:rPr>
              <w:t>相符性</w:t>
            </w:r>
            <w:r>
              <w:rPr>
                <w:rFonts w:hint="eastAsia"/>
                <w:b/>
                <w:bCs w:val="0"/>
                <w:color w:val="FF0000"/>
                <w:kern w:val="2"/>
                <w:sz w:val="24"/>
                <w:szCs w:val="24"/>
                <w:lang w:val="en-US" w:eastAsia="zh-CN"/>
              </w:rPr>
              <w:t>分析</w:t>
            </w:r>
          </w:p>
          <w:tbl>
            <w:tblPr>
              <w:tblStyle w:val="28"/>
              <w:tblW w:w="4998"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68"/>
              <w:gridCol w:w="5020"/>
              <w:gridCol w:w="1329"/>
              <w:gridCol w:w="957"/>
            </w:tblGrid>
            <w:tr w14:paraId="69B0BBC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98" w:type="pct"/>
                  <w:vAlign w:val="center"/>
                </w:tcPr>
                <w:p w14:paraId="655A40A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bCs w:val="0"/>
                      <w:color w:val="FF0000"/>
                      <w:kern w:val="2"/>
                      <w:sz w:val="21"/>
                      <w:szCs w:val="21"/>
                      <w:vertAlign w:val="baseline"/>
                      <w:lang w:val="en-US" w:eastAsia="zh-CN"/>
                    </w:rPr>
                  </w:pPr>
                  <w:r>
                    <w:rPr>
                      <w:rFonts w:hint="eastAsia" w:eastAsia="宋体"/>
                      <w:b/>
                      <w:bCs w:val="0"/>
                      <w:color w:val="FF0000"/>
                      <w:kern w:val="2"/>
                      <w:sz w:val="21"/>
                      <w:szCs w:val="21"/>
                      <w:vertAlign w:val="baseline"/>
                      <w:lang w:val="en-US" w:eastAsia="zh-CN"/>
                    </w:rPr>
                    <w:t>序号</w:t>
                  </w:r>
                </w:p>
              </w:tc>
              <w:tc>
                <w:tcPr>
                  <w:tcW w:w="3229" w:type="pct"/>
                  <w:vAlign w:val="center"/>
                </w:tcPr>
                <w:p w14:paraId="47AF77D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bCs w:val="0"/>
                      <w:color w:val="FF0000"/>
                      <w:kern w:val="2"/>
                      <w:sz w:val="21"/>
                      <w:szCs w:val="21"/>
                      <w:vertAlign w:val="baseline"/>
                      <w:lang w:val="en-US" w:eastAsia="zh-CN"/>
                    </w:rPr>
                  </w:pPr>
                  <w:r>
                    <w:rPr>
                      <w:rFonts w:hint="eastAsia" w:eastAsia="宋体"/>
                      <w:b/>
                      <w:bCs w:val="0"/>
                      <w:color w:val="FF0000"/>
                      <w:kern w:val="2"/>
                      <w:sz w:val="21"/>
                      <w:szCs w:val="21"/>
                      <w:vertAlign w:val="baseline"/>
                      <w:lang w:val="en-US" w:eastAsia="zh-CN"/>
                    </w:rPr>
                    <w:t>文件要求</w:t>
                  </w:r>
                </w:p>
              </w:tc>
              <w:tc>
                <w:tcPr>
                  <w:tcW w:w="854" w:type="pct"/>
                  <w:vAlign w:val="center"/>
                </w:tcPr>
                <w:p w14:paraId="09676A9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bCs w:val="0"/>
                      <w:color w:val="FF0000"/>
                      <w:kern w:val="2"/>
                      <w:sz w:val="21"/>
                      <w:szCs w:val="21"/>
                      <w:vertAlign w:val="baseline"/>
                      <w:lang w:val="en-US" w:eastAsia="zh-CN"/>
                    </w:rPr>
                  </w:pPr>
                  <w:r>
                    <w:rPr>
                      <w:rFonts w:hint="eastAsia"/>
                      <w:b/>
                      <w:bCs w:val="0"/>
                      <w:color w:val="FF0000"/>
                      <w:kern w:val="2"/>
                      <w:sz w:val="21"/>
                      <w:szCs w:val="21"/>
                      <w:vertAlign w:val="baseline"/>
                      <w:lang w:val="en-US" w:eastAsia="zh-CN"/>
                    </w:rPr>
                    <w:t>本项目情况</w:t>
                  </w:r>
                </w:p>
              </w:tc>
              <w:tc>
                <w:tcPr>
                  <w:tcW w:w="617" w:type="pct"/>
                  <w:vAlign w:val="center"/>
                </w:tcPr>
                <w:p w14:paraId="190A0E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bCs w:val="0"/>
                      <w:color w:val="FF0000"/>
                      <w:kern w:val="2"/>
                      <w:sz w:val="21"/>
                      <w:szCs w:val="21"/>
                      <w:vertAlign w:val="baseline"/>
                      <w:lang w:val="en-US" w:eastAsia="zh-CN"/>
                    </w:rPr>
                  </w:pPr>
                  <w:r>
                    <w:rPr>
                      <w:rFonts w:hint="eastAsia" w:eastAsia="宋体"/>
                      <w:b/>
                      <w:bCs w:val="0"/>
                      <w:color w:val="FF0000"/>
                      <w:kern w:val="2"/>
                      <w:sz w:val="21"/>
                      <w:szCs w:val="21"/>
                      <w:vertAlign w:val="baseline"/>
                      <w:lang w:val="en-US" w:eastAsia="zh-CN"/>
                    </w:rPr>
                    <w:t>相符性</w:t>
                  </w:r>
                </w:p>
              </w:tc>
            </w:tr>
            <w:tr w14:paraId="613AE7E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98" w:type="pct"/>
                  <w:vAlign w:val="center"/>
                </w:tcPr>
                <w:p w14:paraId="7FF55F3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val="0"/>
                      <w:bCs/>
                      <w:color w:val="FF0000"/>
                      <w:kern w:val="2"/>
                      <w:sz w:val="21"/>
                      <w:szCs w:val="21"/>
                      <w:vertAlign w:val="baseline"/>
                      <w:lang w:val="en-US" w:eastAsia="zh-CN"/>
                    </w:rPr>
                  </w:pPr>
                  <w:r>
                    <w:rPr>
                      <w:rFonts w:hint="eastAsia" w:eastAsia="宋体"/>
                      <w:b w:val="0"/>
                      <w:bCs/>
                      <w:color w:val="FF0000"/>
                      <w:kern w:val="2"/>
                      <w:sz w:val="21"/>
                      <w:szCs w:val="21"/>
                      <w:vertAlign w:val="baseline"/>
                      <w:lang w:val="en-US" w:eastAsia="zh-CN"/>
                    </w:rPr>
                    <w:t>1</w:t>
                  </w:r>
                </w:p>
              </w:tc>
              <w:tc>
                <w:tcPr>
                  <w:tcW w:w="3229" w:type="pct"/>
                  <w:vAlign w:val="center"/>
                </w:tcPr>
                <w:p w14:paraId="76A5CED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eastAsia="宋体"/>
                      <w:b/>
                      <w:bCs w:val="0"/>
                      <w:color w:val="FF0000"/>
                      <w:kern w:val="2"/>
                      <w:sz w:val="21"/>
                      <w:szCs w:val="21"/>
                      <w:vertAlign w:val="baseline"/>
                      <w:lang w:val="en-US" w:eastAsia="zh-CN"/>
                    </w:rPr>
                  </w:pPr>
                  <w:r>
                    <w:rPr>
                      <w:rFonts w:hint="eastAsia" w:eastAsia="宋体"/>
                      <w:b w:val="0"/>
                      <w:bCs/>
                      <w:color w:val="FF0000"/>
                      <w:kern w:val="2"/>
                      <w:sz w:val="21"/>
                      <w:szCs w:val="21"/>
                      <w:vertAlign w:val="baseline"/>
                      <w:lang w:val="en-US" w:eastAsia="zh-CN"/>
                    </w:rPr>
                    <w:t>新建燃煤电站锅炉全部按照超低排放要求建设，采用清洁运输方式，能效达到先进水平。进一步限制在县级及以上城市建成区、国家大气污染防治重点区域(以下简称重点区域)等新建小型燃煤锅炉。在集中供热管网覆盖范围内，禁止新建、扩建分散燃煤供热锅炉，限制新建分散化石燃料锅炉。新建容量在10蒸吨/小时及以下工业锅炉优先选用蓄热式电加热锅炉、冷凝式燃气锅炉。推动燃气锅炉全面采用低氮燃烧技术，严格限制排烟温度，适时禁止非冷凝式燃气锅炉进入市场，优先使用低噪声工艺和设备。</w:t>
                  </w:r>
                </w:p>
              </w:tc>
              <w:tc>
                <w:tcPr>
                  <w:tcW w:w="854" w:type="pct"/>
                  <w:vAlign w:val="center"/>
                </w:tcPr>
                <w:p w14:paraId="51E96F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eastAsia="宋体"/>
                      <w:b w:val="0"/>
                      <w:bCs/>
                      <w:color w:val="FF0000"/>
                      <w:kern w:val="2"/>
                      <w:sz w:val="21"/>
                      <w:szCs w:val="21"/>
                      <w:vertAlign w:val="baseline"/>
                      <w:lang w:val="en-US" w:eastAsia="zh-CN"/>
                    </w:rPr>
                  </w:pPr>
                  <w:r>
                    <w:rPr>
                      <w:rFonts w:hint="eastAsia"/>
                      <w:b w:val="0"/>
                      <w:bCs/>
                      <w:color w:val="FF0000"/>
                      <w:kern w:val="2"/>
                      <w:sz w:val="21"/>
                      <w:szCs w:val="21"/>
                      <w:vertAlign w:val="baseline"/>
                      <w:lang w:val="en-US" w:eastAsia="zh-CN"/>
                    </w:rPr>
                    <w:t>本项目锅炉为生物质燃烧锅炉，不属于燃煤、石化燃料、电加热、燃气锅炉。</w:t>
                  </w:r>
                </w:p>
              </w:tc>
              <w:tc>
                <w:tcPr>
                  <w:tcW w:w="617" w:type="pct"/>
                  <w:vAlign w:val="center"/>
                </w:tcPr>
                <w:p w14:paraId="31AEF5B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val="0"/>
                      <w:bCs/>
                      <w:color w:val="FF0000"/>
                      <w:kern w:val="2"/>
                      <w:sz w:val="21"/>
                      <w:szCs w:val="21"/>
                      <w:vertAlign w:val="baseline"/>
                      <w:lang w:val="en-US" w:eastAsia="zh-CN"/>
                    </w:rPr>
                  </w:pPr>
                  <w:r>
                    <w:rPr>
                      <w:rFonts w:hint="eastAsia"/>
                      <w:b w:val="0"/>
                      <w:bCs/>
                      <w:color w:val="FF0000"/>
                      <w:kern w:val="2"/>
                      <w:sz w:val="21"/>
                      <w:szCs w:val="21"/>
                      <w:vertAlign w:val="baseline"/>
                      <w:lang w:val="en-US" w:eastAsia="zh-CN"/>
                    </w:rPr>
                    <w:t>不涉及</w:t>
                  </w:r>
                </w:p>
              </w:tc>
            </w:tr>
            <w:tr w14:paraId="12097A0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98" w:type="pct"/>
                  <w:vAlign w:val="center"/>
                </w:tcPr>
                <w:p w14:paraId="2B047E6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bCs w:val="0"/>
                      <w:color w:val="FF0000"/>
                      <w:kern w:val="2"/>
                      <w:sz w:val="21"/>
                      <w:szCs w:val="21"/>
                      <w:vertAlign w:val="baseline"/>
                      <w:lang w:val="en-US" w:eastAsia="zh-CN"/>
                    </w:rPr>
                  </w:pPr>
                  <w:r>
                    <w:rPr>
                      <w:rFonts w:hint="eastAsia" w:eastAsia="宋体"/>
                      <w:b w:val="0"/>
                      <w:bCs/>
                      <w:color w:val="FF0000"/>
                      <w:kern w:val="2"/>
                      <w:sz w:val="21"/>
                      <w:szCs w:val="21"/>
                      <w:vertAlign w:val="baseline"/>
                      <w:lang w:val="en-US" w:eastAsia="zh-CN"/>
                    </w:rPr>
                    <w:t>2</w:t>
                  </w:r>
                </w:p>
              </w:tc>
              <w:tc>
                <w:tcPr>
                  <w:tcW w:w="3229" w:type="pct"/>
                  <w:vAlign w:val="center"/>
                </w:tcPr>
                <w:p w14:paraId="348BF47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eastAsia="宋体"/>
                      <w:b/>
                      <w:bCs w:val="0"/>
                      <w:color w:val="FF0000"/>
                      <w:kern w:val="2"/>
                      <w:sz w:val="21"/>
                      <w:szCs w:val="21"/>
                      <w:vertAlign w:val="baseline"/>
                      <w:lang w:val="en-US" w:eastAsia="zh-CN"/>
                    </w:rPr>
                  </w:pPr>
                  <w:r>
                    <w:rPr>
                      <w:rFonts w:hint="eastAsia" w:eastAsia="宋体"/>
                      <w:b w:val="0"/>
                      <w:bCs/>
                      <w:color w:val="FF0000"/>
                      <w:kern w:val="2"/>
                      <w:sz w:val="21"/>
                      <w:szCs w:val="21"/>
                      <w:vertAlign w:val="baseline"/>
                      <w:lang w:val="en-US" w:eastAsia="zh-CN"/>
                    </w:rPr>
                    <w:t>鼓励各地区各有关企业因地制宜做好绿色低碳锅炉推广应用。在可再生能源电力充足地区，支持优先选用电加热锅炉。在太阳能资源丰富地区，鼓励发展耦合太阳能的蓄热式锅炉，探索构建多能耦合的供热模式。在工业余热富集地区，鼓励优先选用余热锅炉。有条件的地区可在确保达标排放前提下选用农林废弃物等为燃料的锅炉。鼓励电站锅炉配套建设碳捕集利用和封存(CCUS)系统</w:t>
                  </w:r>
                  <w:r>
                    <w:rPr>
                      <w:rFonts w:hint="eastAsia"/>
                      <w:b w:val="0"/>
                      <w:bCs/>
                      <w:color w:val="FF0000"/>
                      <w:kern w:val="2"/>
                      <w:sz w:val="21"/>
                      <w:szCs w:val="21"/>
                      <w:vertAlign w:val="baseline"/>
                      <w:lang w:val="en-US" w:eastAsia="zh-CN"/>
                    </w:rPr>
                    <w:t>。</w:t>
                  </w:r>
                </w:p>
              </w:tc>
              <w:tc>
                <w:tcPr>
                  <w:tcW w:w="854" w:type="pct"/>
                  <w:vAlign w:val="center"/>
                </w:tcPr>
                <w:p w14:paraId="52E6C98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eastAsia="宋体"/>
                      <w:b w:val="0"/>
                      <w:bCs/>
                      <w:color w:val="FF0000"/>
                      <w:kern w:val="2"/>
                      <w:sz w:val="21"/>
                      <w:szCs w:val="21"/>
                      <w:vertAlign w:val="baseline"/>
                      <w:lang w:val="en-US" w:eastAsia="zh-CN"/>
                    </w:rPr>
                  </w:pPr>
                  <w:r>
                    <w:rPr>
                      <w:rFonts w:hint="eastAsia" w:eastAsia="宋体"/>
                      <w:b w:val="0"/>
                      <w:bCs/>
                      <w:color w:val="FF0000"/>
                      <w:kern w:val="2"/>
                      <w:sz w:val="21"/>
                      <w:szCs w:val="21"/>
                      <w:vertAlign w:val="baseline"/>
                      <w:lang w:val="en-US" w:eastAsia="zh-CN"/>
                    </w:rPr>
                    <w:t>本项目</w:t>
                  </w:r>
                  <w:r>
                    <w:rPr>
                      <w:rFonts w:hint="eastAsia"/>
                      <w:b w:val="0"/>
                      <w:bCs/>
                      <w:color w:val="FF0000"/>
                      <w:kern w:val="2"/>
                      <w:sz w:val="21"/>
                      <w:szCs w:val="21"/>
                      <w:vertAlign w:val="baseline"/>
                      <w:lang w:val="en-US" w:eastAsia="zh-CN"/>
                    </w:rPr>
                    <w:t>生物质锅炉选用生物质成型燃料作为燃料，锅炉烟气经处理后可达标排放。</w:t>
                  </w:r>
                </w:p>
              </w:tc>
              <w:tc>
                <w:tcPr>
                  <w:tcW w:w="617" w:type="pct"/>
                  <w:vAlign w:val="center"/>
                </w:tcPr>
                <w:p w14:paraId="414C34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eastAsia="宋体"/>
                      <w:b w:val="0"/>
                      <w:bCs/>
                      <w:color w:val="FF0000"/>
                      <w:kern w:val="2"/>
                      <w:sz w:val="21"/>
                      <w:szCs w:val="21"/>
                      <w:vertAlign w:val="baseline"/>
                      <w:lang w:val="en-US" w:eastAsia="zh-CN"/>
                    </w:rPr>
                  </w:pPr>
                  <w:r>
                    <w:rPr>
                      <w:rFonts w:hint="eastAsia"/>
                      <w:b w:val="0"/>
                      <w:bCs/>
                      <w:color w:val="FF0000"/>
                      <w:kern w:val="2"/>
                      <w:sz w:val="21"/>
                      <w:szCs w:val="21"/>
                      <w:vertAlign w:val="baseline"/>
                      <w:lang w:val="en-US" w:eastAsia="zh-CN"/>
                    </w:rPr>
                    <w:t>不涉及</w:t>
                  </w:r>
                </w:p>
              </w:tc>
            </w:tr>
            <w:tr w14:paraId="18D6FFB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298" w:type="pct"/>
                  <w:vAlign w:val="center"/>
                </w:tcPr>
                <w:p w14:paraId="37A71D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val="0"/>
                      <w:bCs/>
                      <w:color w:val="FF0000"/>
                      <w:kern w:val="2"/>
                      <w:sz w:val="21"/>
                      <w:szCs w:val="21"/>
                      <w:vertAlign w:val="baseline"/>
                      <w:lang w:val="en-US" w:eastAsia="zh-CN"/>
                    </w:rPr>
                  </w:pPr>
                  <w:r>
                    <w:rPr>
                      <w:rFonts w:hint="eastAsia" w:eastAsia="宋体"/>
                      <w:b w:val="0"/>
                      <w:bCs/>
                      <w:color w:val="FF0000"/>
                      <w:kern w:val="2"/>
                      <w:sz w:val="21"/>
                      <w:szCs w:val="21"/>
                      <w:vertAlign w:val="baseline"/>
                      <w:lang w:val="en-US" w:eastAsia="zh-CN"/>
                    </w:rPr>
                    <w:t>3</w:t>
                  </w:r>
                </w:p>
              </w:tc>
              <w:tc>
                <w:tcPr>
                  <w:tcW w:w="3229" w:type="pct"/>
                </w:tcPr>
                <w:p w14:paraId="200D6C3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eastAsia="宋体"/>
                      <w:b/>
                      <w:bCs w:val="0"/>
                      <w:color w:val="FF0000"/>
                      <w:kern w:val="2"/>
                      <w:sz w:val="21"/>
                      <w:szCs w:val="21"/>
                      <w:vertAlign w:val="baseline"/>
                      <w:lang w:val="en-US" w:eastAsia="zh-CN"/>
                    </w:rPr>
                  </w:pPr>
                  <w:r>
                    <w:rPr>
                      <w:rFonts w:hint="eastAsia" w:eastAsia="宋体"/>
                      <w:b w:val="0"/>
                      <w:bCs/>
                      <w:color w:val="FF0000"/>
                      <w:kern w:val="2"/>
                      <w:sz w:val="21"/>
                      <w:szCs w:val="21"/>
                      <w:vertAlign w:val="baseline"/>
                      <w:lang w:val="en-US" w:eastAsia="zh-CN"/>
                    </w:rPr>
                    <w:t>有序推进小型电站锅炉和在役时间超过15年老旧低效工业锅炉淘汰工作。充分释放大型燃煤机组供热能力，推广中长距离供热，加快替代供热管网覆盖范围内的小型燃煤锅炉。对于纳入淘汰清单的锅炉，需在完成热负荷替代工作后方可拆除，替代的供热设备优先选择绿色低碳锅炉。到2025年，细颗粒物(PM25)未达标城市基本淘汰10蒸吨/小时及以下燃煤锅炉，重点区域全域以及东北地区、天山北坡城市群地级及以上城市建成区基本淘汰35蒸吨/小时及以下燃煤锅炉</w:t>
                  </w:r>
                  <w:r>
                    <w:rPr>
                      <w:rFonts w:hint="eastAsia"/>
                      <w:b w:val="0"/>
                      <w:bCs/>
                      <w:color w:val="FF0000"/>
                      <w:kern w:val="2"/>
                      <w:sz w:val="21"/>
                      <w:szCs w:val="21"/>
                      <w:vertAlign w:val="baseline"/>
                      <w:lang w:val="en-US" w:eastAsia="zh-CN"/>
                    </w:rPr>
                    <w:t>。</w:t>
                  </w:r>
                </w:p>
              </w:tc>
              <w:tc>
                <w:tcPr>
                  <w:tcW w:w="854" w:type="pct"/>
                  <w:vAlign w:val="center"/>
                </w:tcPr>
                <w:p w14:paraId="5C19BB9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eastAsia="宋体"/>
                      <w:b w:val="0"/>
                      <w:bCs/>
                      <w:color w:val="FF0000"/>
                      <w:kern w:val="2"/>
                      <w:sz w:val="21"/>
                      <w:szCs w:val="21"/>
                      <w:vertAlign w:val="baseline"/>
                      <w:lang w:val="en-US" w:eastAsia="zh-CN"/>
                    </w:rPr>
                  </w:pPr>
                  <w:r>
                    <w:rPr>
                      <w:rFonts w:hint="eastAsia"/>
                      <w:b w:val="0"/>
                      <w:bCs/>
                      <w:color w:val="FF0000"/>
                      <w:kern w:val="2"/>
                      <w:sz w:val="21"/>
                      <w:szCs w:val="21"/>
                      <w:vertAlign w:val="baseline"/>
                      <w:lang w:val="en-US" w:eastAsia="zh-CN"/>
                    </w:rPr>
                    <w:t>本项目锅炉为生物质锅炉</w:t>
                  </w:r>
                </w:p>
              </w:tc>
              <w:tc>
                <w:tcPr>
                  <w:tcW w:w="617" w:type="pct"/>
                  <w:vAlign w:val="center"/>
                </w:tcPr>
                <w:p w14:paraId="589A31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eastAsia="宋体"/>
                      <w:b w:val="0"/>
                      <w:bCs/>
                      <w:color w:val="FF0000"/>
                      <w:kern w:val="2"/>
                      <w:sz w:val="21"/>
                      <w:szCs w:val="21"/>
                      <w:vertAlign w:val="baseline"/>
                      <w:lang w:val="en-US" w:eastAsia="zh-CN"/>
                    </w:rPr>
                  </w:pPr>
                  <w:r>
                    <w:rPr>
                      <w:rFonts w:hint="eastAsia"/>
                      <w:b w:val="0"/>
                      <w:bCs/>
                      <w:color w:val="FF0000"/>
                      <w:kern w:val="2"/>
                      <w:sz w:val="21"/>
                      <w:szCs w:val="21"/>
                      <w:vertAlign w:val="baseline"/>
                      <w:lang w:val="en-US" w:eastAsia="zh-CN"/>
                    </w:rPr>
                    <w:t>不涉及</w:t>
                  </w:r>
                </w:p>
              </w:tc>
            </w:tr>
            <w:tr w14:paraId="7AF9CBA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98" w:type="pct"/>
                  <w:vAlign w:val="center"/>
                </w:tcPr>
                <w:p w14:paraId="494CF6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val="0"/>
                      <w:bCs/>
                      <w:color w:val="FF0000"/>
                      <w:kern w:val="2"/>
                      <w:sz w:val="21"/>
                      <w:szCs w:val="21"/>
                      <w:vertAlign w:val="baseline"/>
                      <w:lang w:val="en-US" w:eastAsia="zh-CN"/>
                    </w:rPr>
                  </w:pPr>
                  <w:r>
                    <w:rPr>
                      <w:rFonts w:hint="eastAsia" w:eastAsia="宋体"/>
                      <w:b w:val="0"/>
                      <w:bCs/>
                      <w:color w:val="FF0000"/>
                      <w:kern w:val="2"/>
                      <w:sz w:val="21"/>
                      <w:szCs w:val="21"/>
                      <w:vertAlign w:val="baseline"/>
                      <w:lang w:val="en-US" w:eastAsia="zh-CN"/>
                    </w:rPr>
                    <w:t>4</w:t>
                  </w:r>
                </w:p>
              </w:tc>
              <w:tc>
                <w:tcPr>
                  <w:tcW w:w="3229" w:type="pct"/>
                </w:tcPr>
                <w:p w14:paraId="30EB6B4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eastAsia="宋体"/>
                      <w:b/>
                      <w:bCs w:val="0"/>
                      <w:color w:val="FF0000"/>
                      <w:kern w:val="2"/>
                      <w:sz w:val="21"/>
                      <w:szCs w:val="21"/>
                      <w:vertAlign w:val="baseline"/>
                      <w:lang w:val="en-US" w:eastAsia="zh-CN"/>
                    </w:rPr>
                  </w:pPr>
                  <w:r>
                    <w:rPr>
                      <w:rFonts w:hint="eastAsia" w:eastAsia="宋体"/>
                      <w:b w:val="0"/>
                      <w:bCs/>
                      <w:color w:val="FF0000"/>
                      <w:kern w:val="2"/>
                      <w:sz w:val="21"/>
                      <w:szCs w:val="21"/>
                      <w:vertAlign w:val="baseline"/>
                      <w:lang w:val="en-US" w:eastAsia="zh-CN"/>
                    </w:rPr>
                    <w:t>统筹推进锅炉更新改造和回收利用，加强废钢等再生资源循环利用。严格实施回收及退役锅炉信息登记管理制度。旧锅炉移装、改造以及零部件回收利用，应符合相关法律法规、技术规范和标准要求。鼓励再生资源加工利用企业与废旧锅炉处置企业加强业务对接，提高废旧锅炉回收和再生资源加工利用能力。鼓励应用废钢破碎料提纯、制块、增加体密度等加工技术和超大超厚型废钢加工解体技术设备，提升废钢加工利用水平。用于再制造的废旧锅炉及零部件，应采用无损检测、增材制造、柔性加工等再制造技术进行处理，经检验符合要求后方可安装使用。再制造锅炉应符合新品的质量管理要求。</w:t>
                  </w:r>
                </w:p>
              </w:tc>
              <w:tc>
                <w:tcPr>
                  <w:tcW w:w="854" w:type="pct"/>
                  <w:vAlign w:val="center"/>
                </w:tcPr>
                <w:p w14:paraId="0B9E296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eastAsia="宋体"/>
                      <w:b w:val="0"/>
                      <w:bCs/>
                      <w:color w:val="FF0000"/>
                      <w:kern w:val="2"/>
                      <w:sz w:val="21"/>
                      <w:szCs w:val="21"/>
                      <w:vertAlign w:val="baseline"/>
                      <w:lang w:val="en-US" w:eastAsia="zh-CN"/>
                    </w:rPr>
                  </w:pPr>
                  <w:r>
                    <w:rPr>
                      <w:rFonts w:hint="eastAsia" w:eastAsia="宋体"/>
                      <w:b w:val="0"/>
                      <w:bCs/>
                      <w:color w:val="FF0000"/>
                      <w:kern w:val="2"/>
                      <w:sz w:val="21"/>
                      <w:szCs w:val="21"/>
                      <w:vertAlign w:val="baseline"/>
                      <w:lang w:val="en-US" w:eastAsia="zh-CN"/>
                    </w:rPr>
                    <w:t>本项目</w:t>
                  </w:r>
                  <w:r>
                    <w:rPr>
                      <w:rFonts w:hint="eastAsia"/>
                      <w:b w:val="0"/>
                      <w:bCs/>
                      <w:color w:val="FF0000"/>
                      <w:kern w:val="2"/>
                      <w:sz w:val="21"/>
                      <w:szCs w:val="21"/>
                      <w:vertAlign w:val="baseline"/>
                      <w:lang w:val="en-US" w:eastAsia="zh-CN"/>
                    </w:rPr>
                    <w:t>为锅炉技改项目，新增一台6t/h生物质锅炉，原有锅炉作为备用锅炉使用。</w:t>
                  </w:r>
                </w:p>
              </w:tc>
              <w:tc>
                <w:tcPr>
                  <w:tcW w:w="617" w:type="pct"/>
                  <w:vAlign w:val="center"/>
                </w:tcPr>
                <w:p w14:paraId="077FD1E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eastAsia="宋体"/>
                      <w:b w:val="0"/>
                      <w:bCs/>
                      <w:color w:val="FF0000"/>
                      <w:kern w:val="2"/>
                      <w:sz w:val="21"/>
                      <w:szCs w:val="21"/>
                      <w:vertAlign w:val="baseline"/>
                      <w:lang w:val="en-US" w:eastAsia="zh-CN"/>
                    </w:rPr>
                  </w:pPr>
                  <w:r>
                    <w:rPr>
                      <w:rFonts w:hint="eastAsia"/>
                      <w:b w:val="0"/>
                      <w:bCs/>
                      <w:color w:val="FF0000"/>
                      <w:kern w:val="2"/>
                      <w:sz w:val="21"/>
                      <w:szCs w:val="21"/>
                      <w:vertAlign w:val="baseline"/>
                      <w:lang w:val="en-US" w:eastAsia="zh-CN"/>
                    </w:rPr>
                    <w:t>符合</w:t>
                  </w:r>
                </w:p>
              </w:tc>
            </w:tr>
            <w:tr w14:paraId="4BCA30A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98" w:type="pct"/>
                  <w:vAlign w:val="center"/>
                </w:tcPr>
                <w:p w14:paraId="2AFA297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val="0"/>
                      <w:bCs/>
                      <w:color w:val="FF0000"/>
                      <w:kern w:val="2"/>
                      <w:sz w:val="21"/>
                      <w:szCs w:val="21"/>
                      <w:vertAlign w:val="baseline"/>
                      <w:lang w:val="en-US" w:eastAsia="zh-CN"/>
                    </w:rPr>
                  </w:pPr>
                  <w:r>
                    <w:rPr>
                      <w:rFonts w:hint="eastAsia" w:eastAsia="宋体"/>
                      <w:b w:val="0"/>
                      <w:bCs/>
                      <w:color w:val="FF0000"/>
                      <w:kern w:val="2"/>
                      <w:sz w:val="21"/>
                      <w:szCs w:val="21"/>
                      <w:vertAlign w:val="baseline"/>
                      <w:lang w:val="en-US" w:eastAsia="zh-CN"/>
                    </w:rPr>
                    <w:t>5</w:t>
                  </w:r>
                </w:p>
              </w:tc>
              <w:tc>
                <w:tcPr>
                  <w:tcW w:w="3229" w:type="pct"/>
                </w:tcPr>
                <w:p w14:paraId="2B50CFC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eastAsia="宋体"/>
                      <w:b w:val="0"/>
                      <w:bCs/>
                      <w:color w:val="FF0000"/>
                      <w:kern w:val="2"/>
                      <w:sz w:val="21"/>
                      <w:szCs w:val="21"/>
                      <w:vertAlign w:val="baseline"/>
                      <w:lang w:val="en-US" w:eastAsia="zh-CN"/>
                    </w:rPr>
                  </w:pPr>
                  <w:r>
                    <w:rPr>
                      <w:rFonts w:hint="eastAsia" w:eastAsia="宋体"/>
                      <w:b w:val="0"/>
                      <w:bCs/>
                      <w:color w:val="FF0000"/>
                      <w:kern w:val="2"/>
                      <w:sz w:val="21"/>
                      <w:szCs w:val="21"/>
                      <w:vertAlign w:val="baseline"/>
                      <w:lang w:val="en-US" w:eastAsia="zh-CN"/>
                    </w:rPr>
                    <w:t>结合煤电机组节能降碳改造供热改造和灵活性改造“三改联动”，对电站锅炉实施主辅机匹配换热系统优化、余热深度利用、提高温度参数等升级改造。在保证安全的前提下，稳妥推进超期服役煤电机组锅炉延寿提效改造。积极推进大型燃煤发电锅炉掺烧农林废弃物等耦合生物质燃烧技术改造。在做到超低排放、环境和安全风险可控前提下，探索利用大型燃煤发电锅炉协同处置大宗单一类别固体废弃物。因地制宜探索工业锅炉节能降碳减污相互协同改造升级方案，提升工业锅炉运行控制和诊断维护水平。积极实施燃气锅炉低氮改造。生物质锅炉应配套建设高效除尘设施，氮氧化物排放浓度难以稳定达标的应配套建设脱硝设施，禁止掺烧煤炭、垃圾等其他物料。到2025年，重点区域保留的燃煤锅炉、其他地区65蒸吨/小时以上的燃煤锅炉实现超低排放。</w:t>
                  </w:r>
                </w:p>
              </w:tc>
              <w:tc>
                <w:tcPr>
                  <w:tcW w:w="854" w:type="pct"/>
                  <w:vAlign w:val="center"/>
                </w:tcPr>
                <w:p w14:paraId="4A0C46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b w:val="0"/>
                      <w:bCs/>
                      <w:color w:val="FF0000"/>
                      <w:kern w:val="2"/>
                      <w:sz w:val="21"/>
                      <w:szCs w:val="21"/>
                      <w:vertAlign w:val="baseline"/>
                      <w:lang w:val="en-US" w:eastAsia="zh-CN"/>
                    </w:rPr>
                  </w:pPr>
                  <w:r>
                    <w:rPr>
                      <w:rFonts w:hint="eastAsia"/>
                      <w:b w:val="0"/>
                      <w:bCs/>
                      <w:color w:val="FF0000"/>
                      <w:kern w:val="2"/>
                      <w:sz w:val="21"/>
                      <w:szCs w:val="21"/>
                      <w:vertAlign w:val="baseline"/>
                      <w:lang w:val="en-US" w:eastAsia="zh-CN"/>
                    </w:rPr>
                    <w:t>本锅炉技改项目以生物质成型燃料为锅炉燃料，采用一台6t/h生物质锅炉为现有项目供热。</w:t>
                  </w:r>
                </w:p>
              </w:tc>
              <w:tc>
                <w:tcPr>
                  <w:tcW w:w="617" w:type="pct"/>
                  <w:vAlign w:val="center"/>
                </w:tcPr>
                <w:p w14:paraId="2EE390C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eastAsia="宋体"/>
                      <w:b w:val="0"/>
                      <w:bCs/>
                      <w:color w:val="FF0000"/>
                      <w:kern w:val="2"/>
                      <w:sz w:val="21"/>
                      <w:szCs w:val="21"/>
                      <w:vertAlign w:val="baseline"/>
                      <w:lang w:val="en-US" w:eastAsia="zh-CN"/>
                    </w:rPr>
                  </w:pPr>
                  <w:r>
                    <w:rPr>
                      <w:rFonts w:hint="eastAsia"/>
                      <w:b w:val="0"/>
                      <w:bCs/>
                      <w:color w:val="FF0000"/>
                      <w:kern w:val="2"/>
                      <w:sz w:val="21"/>
                      <w:szCs w:val="21"/>
                      <w:vertAlign w:val="baseline"/>
                      <w:lang w:val="en-US" w:eastAsia="zh-CN"/>
                    </w:rPr>
                    <w:t>符合</w:t>
                  </w:r>
                </w:p>
              </w:tc>
            </w:tr>
          </w:tbl>
          <w:p w14:paraId="173544D8">
            <w:pPr>
              <w:pStyle w:val="9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2" w:firstLineChars="200"/>
              <w:textAlignment w:val="auto"/>
              <w:rPr>
                <w:rFonts w:hint="default" w:ascii="Times New Roman" w:hAnsi="Times New Roman" w:eastAsia="宋体" w:cs="Times New Roman"/>
                <w:b/>
                <w:bCs/>
                <w:color w:val="FF0000"/>
                <w:kern w:val="2"/>
                <w:sz w:val="24"/>
                <w:szCs w:val="24"/>
              </w:rPr>
            </w:pPr>
            <w:r>
              <w:rPr>
                <w:rFonts w:hint="default" w:ascii="Times New Roman" w:hAnsi="Times New Roman" w:eastAsia="宋体" w:cs="Times New Roman"/>
                <w:b/>
                <w:bCs/>
                <w:color w:val="FF0000"/>
                <w:sz w:val="24"/>
                <w:szCs w:val="24"/>
                <w:lang w:val="en-US" w:eastAsia="zh-CN"/>
              </w:rPr>
              <w:t>8、与《关于严格高耗能高排放项目准入管理的实施意见》赣府厅发〔2021〕33号</w:t>
            </w:r>
            <w:r>
              <w:rPr>
                <w:rFonts w:hint="default" w:ascii="Times New Roman" w:hAnsi="Times New Roman" w:eastAsia="宋体" w:cs="Times New Roman"/>
                <w:b/>
                <w:bCs/>
                <w:color w:val="FF0000"/>
                <w:kern w:val="2"/>
                <w:sz w:val="24"/>
                <w:szCs w:val="24"/>
              </w:rPr>
              <w:t>相符性</w:t>
            </w:r>
          </w:p>
          <w:p w14:paraId="59367FDE">
            <w:pPr>
              <w:pStyle w:val="9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rPr>
                <w:rFonts w:hint="default" w:ascii="Times New Roman" w:hAnsi="Times New Roman" w:eastAsia="宋体" w:cs="Times New Roman"/>
                <w:b/>
                <w:bCs w:val="0"/>
                <w:color w:val="FF0000"/>
                <w:kern w:val="2"/>
                <w:sz w:val="24"/>
                <w:szCs w:val="24"/>
                <w:lang w:val="en-US" w:eastAsia="zh-CN"/>
              </w:rPr>
            </w:pPr>
            <w:r>
              <w:rPr>
                <w:rFonts w:hint="default" w:ascii="Times New Roman" w:hAnsi="Times New Roman" w:eastAsia="宋体" w:cs="Times New Roman"/>
                <w:b/>
                <w:bCs w:val="0"/>
                <w:color w:val="FF0000"/>
                <w:sz w:val="24"/>
                <w:szCs w:val="24"/>
              </w:rPr>
              <w:t>表1-</w:t>
            </w:r>
            <w:r>
              <w:rPr>
                <w:rFonts w:hint="default" w:ascii="Times New Roman" w:hAnsi="Times New Roman" w:eastAsia="宋体" w:cs="Times New Roman"/>
                <w:b/>
                <w:bCs w:val="0"/>
                <w:color w:val="FF0000"/>
                <w:sz w:val="24"/>
                <w:szCs w:val="24"/>
                <w:lang w:val="en-US" w:eastAsia="zh-CN"/>
              </w:rPr>
              <w:t>9  项目与《</w:t>
            </w:r>
            <w:r>
              <w:rPr>
                <w:rFonts w:hint="default" w:ascii="Times New Roman" w:hAnsi="Times New Roman" w:eastAsia="宋体" w:cs="Times New Roman"/>
                <w:b/>
                <w:bCs/>
                <w:color w:val="FF0000"/>
                <w:sz w:val="24"/>
                <w:szCs w:val="24"/>
                <w:lang w:val="en-US" w:eastAsia="zh-CN"/>
              </w:rPr>
              <w:t>关于严格高耗能高排放项目准入管理的实施意见</w:t>
            </w:r>
            <w:r>
              <w:rPr>
                <w:rFonts w:hint="default" w:ascii="Times New Roman" w:hAnsi="Times New Roman" w:eastAsia="宋体" w:cs="Times New Roman"/>
                <w:b/>
                <w:bCs w:val="0"/>
                <w:color w:val="FF0000"/>
                <w:sz w:val="24"/>
                <w:szCs w:val="24"/>
                <w:lang w:val="en-US" w:eastAsia="zh-CN"/>
              </w:rPr>
              <w:t>》</w:t>
            </w:r>
            <w:r>
              <w:rPr>
                <w:rFonts w:hint="default" w:ascii="Times New Roman" w:hAnsi="Times New Roman" w:eastAsia="宋体" w:cs="Times New Roman"/>
                <w:b/>
                <w:bCs/>
                <w:color w:val="FF0000"/>
                <w:sz w:val="24"/>
                <w:szCs w:val="24"/>
                <w:lang w:val="en-US" w:eastAsia="zh-CN"/>
              </w:rPr>
              <w:t>赣府厅发〔2021〕33号</w:t>
            </w:r>
            <w:r>
              <w:rPr>
                <w:rFonts w:hint="default" w:ascii="Times New Roman" w:hAnsi="Times New Roman" w:eastAsia="宋体" w:cs="Times New Roman"/>
                <w:b/>
                <w:bCs w:val="0"/>
                <w:color w:val="FF0000"/>
                <w:kern w:val="2"/>
                <w:sz w:val="24"/>
                <w:szCs w:val="24"/>
              </w:rPr>
              <w:t>相符性</w:t>
            </w:r>
            <w:r>
              <w:rPr>
                <w:rFonts w:hint="default" w:ascii="Times New Roman" w:hAnsi="Times New Roman" w:eastAsia="宋体" w:cs="Times New Roman"/>
                <w:b/>
                <w:bCs w:val="0"/>
                <w:color w:val="FF0000"/>
                <w:kern w:val="2"/>
                <w:sz w:val="24"/>
                <w:szCs w:val="24"/>
                <w:lang w:val="en-US" w:eastAsia="zh-CN"/>
              </w:rPr>
              <w:t>分析</w:t>
            </w:r>
          </w:p>
          <w:tbl>
            <w:tblPr>
              <w:tblStyle w:val="28"/>
              <w:tblW w:w="4998"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68"/>
              <w:gridCol w:w="5020"/>
              <w:gridCol w:w="1329"/>
              <w:gridCol w:w="957"/>
            </w:tblGrid>
            <w:tr w14:paraId="23D694D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99" w:type="pct"/>
                  <w:vAlign w:val="center"/>
                </w:tcPr>
                <w:p w14:paraId="5838F4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bCs w:val="0"/>
                      <w:color w:val="FF0000"/>
                      <w:kern w:val="2"/>
                      <w:sz w:val="21"/>
                      <w:szCs w:val="21"/>
                      <w:vertAlign w:val="baseline"/>
                      <w:lang w:val="en-US" w:eastAsia="zh-CN"/>
                    </w:rPr>
                  </w:pPr>
                  <w:r>
                    <w:rPr>
                      <w:rFonts w:hint="eastAsia" w:eastAsia="宋体"/>
                      <w:b/>
                      <w:bCs w:val="0"/>
                      <w:color w:val="FF0000"/>
                      <w:kern w:val="2"/>
                      <w:sz w:val="21"/>
                      <w:szCs w:val="21"/>
                      <w:vertAlign w:val="baseline"/>
                      <w:lang w:val="en-US" w:eastAsia="zh-CN"/>
                    </w:rPr>
                    <w:t>序号</w:t>
                  </w:r>
                </w:p>
              </w:tc>
              <w:tc>
                <w:tcPr>
                  <w:tcW w:w="3229" w:type="pct"/>
                  <w:vAlign w:val="center"/>
                </w:tcPr>
                <w:p w14:paraId="4B7FCD1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bCs w:val="0"/>
                      <w:color w:val="FF0000"/>
                      <w:kern w:val="2"/>
                      <w:sz w:val="21"/>
                      <w:szCs w:val="21"/>
                      <w:vertAlign w:val="baseline"/>
                      <w:lang w:val="en-US" w:eastAsia="zh-CN"/>
                    </w:rPr>
                  </w:pPr>
                  <w:r>
                    <w:rPr>
                      <w:rFonts w:hint="eastAsia" w:eastAsia="宋体"/>
                      <w:b/>
                      <w:bCs w:val="0"/>
                      <w:color w:val="FF0000"/>
                      <w:kern w:val="2"/>
                      <w:sz w:val="21"/>
                      <w:szCs w:val="21"/>
                      <w:vertAlign w:val="baseline"/>
                      <w:lang w:val="en-US" w:eastAsia="zh-CN"/>
                    </w:rPr>
                    <w:t>文件要求</w:t>
                  </w:r>
                </w:p>
              </w:tc>
              <w:tc>
                <w:tcPr>
                  <w:tcW w:w="854" w:type="pct"/>
                  <w:vAlign w:val="center"/>
                </w:tcPr>
                <w:p w14:paraId="2A60B12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bCs w:val="0"/>
                      <w:color w:val="FF0000"/>
                      <w:kern w:val="2"/>
                      <w:sz w:val="21"/>
                      <w:szCs w:val="21"/>
                      <w:vertAlign w:val="baseline"/>
                      <w:lang w:val="en-US" w:eastAsia="zh-CN"/>
                    </w:rPr>
                  </w:pPr>
                  <w:r>
                    <w:rPr>
                      <w:rFonts w:hint="eastAsia"/>
                      <w:b/>
                      <w:bCs w:val="0"/>
                      <w:color w:val="FF0000"/>
                      <w:kern w:val="2"/>
                      <w:sz w:val="21"/>
                      <w:szCs w:val="21"/>
                      <w:vertAlign w:val="baseline"/>
                      <w:lang w:val="en-US" w:eastAsia="zh-CN"/>
                    </w:rPr>
                    <w:t>本项目情况</w:t>
                  </w:r>
                </w:p>
              </w:tc>
              <w:tc>
                <w:tcPr>
                  <w:tcW w:w="616" w:type="pct"/>
                  <w:vAlign w:val="center"/>
                </w:tcPr>
                <w:p w14:paraId="093ABC7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bCs w:val="0"/>
                      <w:color w:val="FF0000"/>
                      <w:kern w:val="2"/>
                      <w:sz w:val="21"/>
                      <w:szCs w:val="21"/>
                      <w:vertAlign w:val="baseline"/>
                      <w:lang w:val="en-US" w:eastAsia="zh-CN"/>
                    </w:rPr>
                  </w:pPr>
                  <w:r>
                    <w:rPr>
                      <w:rFonts w:hint="eastAsia" w:eastAsia="宋体"/>
                      <w:b/>
                      <w:bCs w:val="0"/>
                      <w:color w:val="FF0000"/>
                      <w:kern w:val="2"/>
                      <w:sz w:val="21"/>
                      <w:szCs w:val="21"/>
                      <w:vertAlign w:val="baseline"/>
                      <w:lang w:val="en-US" w:eastAsia="zh-CN"/>
                    </w:rPr>
                    <w:t>相符性</w:t>
                  </w:r>
                </w:p>
              </w:tc>
            </w:tr>
            <w:tr w14:paraId="0D000A9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99" w:type="pct"/>
                  <w:vAlign w:val="center"/>
                </w:tcPr>
                <w:p w14:paraId="0751E88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val="0"/>
                      <w:bCs/>
                      <w:color w:val="FF0000"/>
                      <w:kern w:val="2"/>
                      <w:sz w:val="21"/>
                      <w:szCs w:val="21"/>
                      <w:vertAlign w:val="baseline"/>
                      <w:lang w:val="en-US" w:eastAsia="zh-CN"/>
                    </w:rPr>
                  </w:pPr>
                  <w:r>
                    <w:rPr>
                      <w:rFonts w:hint="eastAsia" w:eastAsia="宋体"/>
                      <w:b w:val="0"/>
                      <w:bCs/>
                      <w:color w:val="FF0000"/>
                      <w:kern w:val="2"/>
                      <w:sz w:val="21"/>
                      <w:szCs w:val="21"/>
                      <w:vertAlign w:val="baseline"/>
                      <w:lang w:val="en-US" w:eastAsia="zh-CN"/>
                    </w:rPr>
                    <w:t>1</w:t>
                  </w:r>
                </w:p>
              </w:tc>
              <w:tc>
                <w:tcPr>
                  <w:tcW w:w="3229" w:type="pct"/>
                  <w:vAlign w:val="center"/>
                </w:tcPr>
                <w:p w14:paraId="62378B4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eastAsia="宋体"/>
                      <w:b/>
                      <w:bCs w:val="0"/>
                      <w:color w:val="FF0000"/>
                      <w:kern w:val="2"/>
                      <w:sz w:val="21"/>
                      <w:szCs w:val="21"/>
                      <w:vertAlign w:val="baseline"/>
                      <w:lang w:val="en-US" w:eastAsia="zh-CN"/>
                    </w:rPr>
                  </w:pPr>
                  <w:r>
                    <w:rPr>
                      <w:rFonts w:hint="eastAsia" w:eastAsia="宋体"/>
                      <w:b w:val="0"/>
                      <w:bCs/>
                      <w:color w:val="FF0000"/>
                      <w:kern w:val="2"/>
                      <w:sz w:val="21"/>
                      <w:szCs w:val="21"/>
                      <w:vertAlign w:val="baseline"/>
                      <w:lang w:val="en-US" w:eastAsia="zh-CN"/>
                    </w:rPr>
                    <w:t>“两高”项目涉及行业多、覆盖面大，暂定石化、化工、煤化工、钢铁、焦化、建材、有色、煤电</w:t>
                  </w:r>
                  <w:r>
                    <w:rPr>
                      <w:rFonts w:hint="eastAsia"/>
                      <w:b w:val="0"/>
                      <w:bCs/>
                      <w:color w:val="FF0000"/>
                      <w:kern w:val="2"/>
                      <w:sz w:val="21"/>
                      <w:szCs w:val="21"/>
                      <w:vertAlign w:val="baseline"/>
                      <w:lang w:val="en-US" w:eastAsia="zh-CN"/>
                    </w:rPr>
                    <w:t>等</w:t>
                  </w:r>
                  <w:r>
                    <w:rPr>
                      <w:rFonts w:hint="eastAsia" w:eastAsia="宋体"/>
                      <w:b w:val="0"/>
                      <w:bCs/>
                      <w:color w:val="FF0000"/>
                      <w:kern w:val="2"/>
                      <w:sz w:val="21"/>
                      <w:szCs w:val="21"/>
                      <w:vertAlign w:val="baseline"/>
                      <w:lang w:val="en-US" w:eastAsia="zh-CN"/>
                    </w:rPr>
                    <w:t>8个行业年综合能源消费量5000吨标准煤</w:t>
                  </w:r>
                  <w:r>
                    <w:rPr>
                      <w:rFonts w:hint="eastAsia"/>
                      <w:b w:val="0"/>
                      <w:bCs/>
                      <w:color w:val="FF0000"/>
                      <w:kern w:val="2"/>
                      <w:sz w:val="21"/>
                      <w:szCs w:val="21"/>
                      <w:vertAlign w:val="baseline"/>
                      <w:lang w:val="en-US" w:eastAsia="zh-CN"/>
                    </w:rPr>
                    <w:t>（</w:t>
                  </w:r>
                  <w:r>
                    <w:rPr>
                      <w:rFonts w:hint="eastAsia" w:eastAsia="宋体"/>
                      <w:b w:val="0"/>
                      <w:bCs/>
                      <w:color w:val="FF0000"/>
                      <w:kern w:val="2"/>
                      <w:sz w:val="21"/>
                      <w:szCs w:val="21"/>
                      <w:vertAlign w:val="baseline"/>
                      <w:lang w:val="en-US" w:eastAsia="zh-CN"/>
                    </w:rPr>
                    <w:t>等价值</w:t>
                  </w:r>
                  <w:r>
                    <w:rPr>
                      <w:rFonts w:hint="eastAsia"/>
                      <w:b w:val="0"/>
                      <w:bCs/>
                      <w:color w:val="FF0000"/>
                      <w:kern w:val="2"/>
                      <w:sz w:val="21"/>
                      <w:szCs w:val="21"/>
                      <w:vertAlign w:val="baseline"/>
                      <w:lang w:val="en-US" w:eastAsia="zh-CN"/>
                    </w:rPr>
                    <w:t>）</w:t>
                  </w:r>
                  <w:r>
                    <w:rPr>
                      <w:rFonts w:hint="eastAsia" w:eastAsia="宋体"/>
                      <w:b w:val="0"/>
                      <w:bCs/>
                      <w:color w:val="FF0000"/>
                      <w:kern w:val="2"/>
                      <w:sz w:val="21"/>
                      <w:szCs w:val="21"/>
                      <w:vertAlign w:val="baseline"/>
                      <w:lang w:val="en-US" w:eastAsia="zh-CN"/>
                    </w:rPr>
                    <w:t>及以上的项目。具体包括但不限于</w:t>
                  </w:r>
                  <w:r>
                    <w:rPr>
                      <w:rFonts w:hint="eastAsia"/>
                      <w:b w:val="0"/>
                      <w:bCs/>
                      <w:color w:val="FF0000"/>
                      <w:kern w:val="2"/>
                      <w:sz w:val="21"/>
                      <w:szCs w:val="21"/>
                      <w:vertAlign w:val="baseline"/>
                      <w:lang w:val="en-US" w:eastAsia="zh-CN"/>
                    </w:rPr>
                    <w:t>：</w:t>
                  </w:r>
                  <w:r>
                    <w:rPr>
                      <w:rFonts w:hint="eastAsia" w:eastAsia="宋体"/>
                      <w:b w:val="0"/>
                      <w:bCs/>
                      <w:color w:val="FF0000"/>
                      <w:kern w:val="2"/>
                      <w:sz w:val="21"/>
                      <w:szCs w:val="21"/>
                      <w:vertAlign w:val="baseline"/>
                      <w:lang w:val="en-US" w:eastAsia="zh-CN"/>
                    </w:rPr>
                    <w:t>(1)以下行业领域新建、改建、扩建项目。石油炼制，石油化工，现代煤化工，集化</w:t>
                  </w:r>
                  <w:r>
                    <w:rPr>
                      <w:rFonts w:hint="eastAsia"/>
                      <w:b w:val="0"/>
                      <w:bCs/>
                      <w:color w:val="FF0000"/>
                      <w:kern w:val="2"/>
                      <w:sz w:val="21"/>
                      <w:szCs w:val="21"/>
                      <w:vertAlign w:val="baseline"/>
                      <w:lang w:val="en-US" w:eastAsia="zh-CN"/>
                    </w:rPr>
                    <w:t>（</w:t>
                  </w:r>
                  <w:r>
                    <w:rPr>
                      <w:rFonts w:hint="eastAsia" w:eastAsia="宋体"/>
                      <w:b w:val="0"/>
                      <w:bCs/>
                      <w:color w:val="FF0000"/>
                      <w:kern w:val="2"/>
                      <w:sz w:val="21"/>
                      <w:szCs w:val="21"/>
                      <w:vertAlign w:val="baseline"/>
                      <w:lang w:val="en-US" w:eastAsia="zh-CN"/>
                    </w:rPr>
                    <w:t>含兰炭</w:t>
                  </w:r>
                  <w:r>
                    <w:rPr>
                      <w:rFonts w:hint="eastAsia"/>
                      <w:b w:val="0"/>
                      <w:bCs/>
                      <w:color w:val="FF0000"/>
                      <w:kern w:val="2"/>
                      <w:sz w:val="21"/>
                      <w:szCs w:val="21"/>
                      <w:vertAlign w:val="baseline"/>
                      <w:lang w:val="en-US" w:eastAsia="zh-CN"/>
                    </w:rPr>
                    <w:t>）</w:t>
                  </w:r>
                  <w:r>
                    <w:rPr>
                      <w:rFonts w:hint="eastAsia" w:eastAsia="宋体"/>
                      <w:b w:val="0"/>
                      <w:bCs/>
                      <w:color w:val="FF0000"/>
                      <w:kern w:val="2"/>
                      <w:sz w:val="21"/>
                      <w:szCs w:val="21"/>
                      <w:vertAlign w:val="baseline"/>
                      <w:lang w:val="en-US" w:eastAsia="zh-CN"/>
                    </w:rPr>
                    <w:t>，煤电，长流程钢铁，独立烧结、球团，铁合金，合成氛，铜、铝 铅，锌 硅等治炼行业，水泥、玻璃、陶瓷、石灰、耐火材料、保温材料、砖瓦等建材行业，制药、农药等行业。(2)其他行业涉煤及煤制品、石油焦、渣油、重油等高污染燃料使用工业炉窑、锅炉的项目</w:t>
                  </w:r>
                  <w:r>
                    <w:rPr>
                      <w:rFonts w:hint="eastAsia"/>
                      <w:b w:val="0"/>
                      <w:bCs/>
                      <w:color w:val="FF0000"/>
                      <w:kern w:val="2"/>
                      <w:sz w:val="21"/>
                      <w:szCs w:val="21"/>
                      <w:vertAlign w:val="baseline"/>
                      <w:lang w:val="en-US" w:eastAsia="zh-CN"/>
                    </w:rPr>
                    <w:t>。</w:t>
                  </w:r>
                </w:p>
              </w:tc>
              <w:tc>
                <w:tcPr>
                  <w:tcW w:w="854" w:type="pct"/>
                  <w:vAlign w:val="center"/>
                </w:tcPr>
                <w:p w14:paraId="5F0533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eastAsia="宋体"/>
                      <w:b w:val="0"/>
                      <w:bCs/>
                      <w:color w:val="FF0000"/>
                      <w:kern w:val="2"/>
                      <w:sz w:val="21"/>
                      <w:szCs w:val="21"/>
                      <w:vertAlign w:val="baseline"/>
                      <w:lang w:val="en-US" w:eastAsia="zh-CN"/>
                    </w:rPr>
                  </w:pPr>
                  <w:r>
                    <w:rPr>
                      <w:rFonts w:hint="eastAsia"/>
                      <w:b w:val="0"/>
                      <w:bCs/>
                      <w:color w:val="FF0000"/>
                      <w:kern w:val="2"/>
                      <w:sz w:val="21"/>
                      <w:szCs w:val="21"/>
                      <w:vertAlign w:val="baseline"/>
                      <w:lang w:val="en-US" w:eastAsia="zh-CN"/>
                    </w:rPr>
                    <w:t>本项目为锅炉技改项目，为现有项目供热，不属于</w:t>
                  </w:r>
                  <w:r>
                    <w:rPr>
                      <w:rFonts w:hint="eastAsia" w:eastAsia="宋体"/>
                      <w:b w:val="0"/>
                      <w:bCs/>
                      <w:color w:val="FF0000"/>
                      <w:kern w:val="2"/>
                      <w:sz w:val="21"/>
                      <w:szCs w:val="21"/>
                      <w:vertAlign w:val="baseline"/>
                      <w:lang w:val="en-US" w:eastAsia="zh-CN"/>
                    </w:rPr>
                    <w:t>“两高”项目</w:t>
                  </w:r>
                  <w:r>
                    <w:rPr>
                      <w:rFonts w:hint="eastAsia"/>
                      <w:b w:val="0"/>
                      <w:bCs/>
                      <w:color w:val="FF0000"/>
                      <w:kern w:val="2"/>
                      <w:sz w:val="21"/>
                      <w:szCs w:val="21"/>
                      <w:vertAlign w:val="baseline"/>
                      <w:lang w:val="en-US" w:eastAsia="zh-CN"/>
                    </w:rPr>
                    <w:t>，锅炉类型为生物质烧锅炉，采用成型生物质作为锅炉燃料。</w:t>
                  </w:r>
                </w:p>
              </w:tc>
              <w:tc>
                <w:tcPr>
                  <w:tcW w:w="616" w:type="pct"/>
                  <w:vAlign w:val="center"/>
                </w:tcPr>
                <w:p w14:paraId="0DD4BEE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val="0"/>
                      <w:bCs/>
                      <w:color w:val="FF0000"/>
                      <w:kern w:val="2"/>
                      <w:sz w:val="21"/>
                      <w:szCs w:val="21"/>
                      <w:vertAlign w:val="baseline"/>
                      <w:lang w:val="en-US" w:eastAsia="zh-CN"/>
                    </w:rPr>
                  </w:pPr>
                  <w:r>
                    <w:rPr>
                      <w:rFonts w:hint="eastAsia"/>
                      <w:b w:val="0"/>
                      <w:bCs/>
                      <w:color w:val="FF0000"/>
                      <w:kern w:val="2"/>
                      <w:sz w:val="21"/>
                      <w:szCs w:val="21"/>
                      <w:vertAlign w:val="baseline"/>
                      <w:lang w:val="en-US" w:eastAsia="zh-CN"/>
                    </w:rPr>
                    <w:t>不涉及</w:t>
                  </w:r>
                </w:p>
              </w:tc>
            </w:tr>
            <w:tr w14:paraId="699E9E9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99" w:type="pct"/>
                  <w:vAlign w:val="center"/>
                </w:tcPr>
                <w:p w14:paraId="134BDD3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bCs w:val="0"/>
                      <w:color w:val="FF0000"/>
                      <w:kern w:val="2"/>
                      <w:sz w:val="21"/>
                      <w:szCs w:val="21"/>
                      <w:vertAlign w:val="baseline"/>
                      <w:lang w:val="en-US" w:eastAsia="zh-CN"/>
                    </w:rPr>
                  </w:pPr>
                  <w:r>
                    <w:rPr>
                      <w:rFonts w:hint="eastAsia" w:eastAsia="宋体"/>
                      <w:b w:val="0"/>
                      <w:bCs/>
                      <w:color w:val="FF0000"/>
                      <w:kern w:val="2"/>
                      <w:sz w:val="21"/>
                      <w:szCs w:val="21"/>
                      <w:vertAlign w:val="baseline"/>
                      <w:lang w:val="en-US" w:eastAsia="zh-CN"/>
                    </w:rPr>
                    <w:t>2</w:t>
                  </w:r>
                </w:p>
              </w:tc>
              <w:tc>
                <w:tcPr>
                  <w:tcW w:w="3229" w:type="pct"/>
                  <w:vAlign w:val="center"/>
                </w:tcPr>
                <w:p w14:paraId="479BB47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eastAsia="宋体"/>
                      <w:b/>
                      <w:bCs w:val="0"/>
                      <w:color w:val="FF0000"/>
                      <w:kern w:val="2"/>
                      <w:sz w:val="21"/>
                      <w:szCs w:val="21"/>
                      <w:vertAlign w:val="baseline"/>
                      <w:lang w:val="en-US" w:eastAsia="zh-CN"/>
                    </w:rPr>
                  </w:pPr>
                  <w:r>
                    <w:rPr>
                      <w:rFonts w:hint="eastAsia" w:eastAsia="宋体"/>
                      <w:b w:val="0"/>
                      <w:bCs/>
                      <w:color w:val="FF0000"/>
                      <w:kern w:val="2"/>
                      <w:sz w:val="21"/>
                      <w:szCs w:val="21"/>
                      <w:vertAlign w:val="baseline"/>
                      <w:lang w:val="en-US" w:eastAsia="zh-CN"/>
                    </w:rPr>
                    <w:t>“两高”项目建设必须符合国家《产业结构调整指导目录》要求，符合国家、省产业布局和管理有关规定。对工艺、技术、装备等属于限制类或淘汰类的“两高”项目，一律禁止投资新建、扩建，发展改革、生态环境、工业和信息化、自然资源、林业、住房城乡建设、行政审批等部门不得办理有关手续</w:t>
                  </w:r>
                  <w:r>
                    <w:rPr>
                      <w:rFonts w:hint="eastAsia"/>
                      <w:b w:val="0"/>
                      <w:bCs/>
                      <w:color w:val="FF0000"/>
                      <w:kern w:val="2"/>
                      <w:sz w:val="21"/>
                      <w:szCs w:val="21"/>
                      <w:vertAlign w:val="baseline"/>
                      <w:lang w:val="en-US" w:eastAsia="zh-CN"/>
                    </w:rPr>
                    <w:t>；</w:t>
                  </w:r>
                  <w:r>
                    <w:rPr>
                      <w:rFonts w:hint="eastAsia" w:eastAsia="宋体"/>
                      <w:b w:val="0"/>
                      <w:bCs/>
                      <w:color w:val="FF0000"/>
                      <w:kern w:val="2"/>
                      <w:sz w:val="21"/>
                      <w:szCs w:val="21"/>
                      <w:vertAlign w:val="baseline"/>
                      <w:lang w:val="en-US" w:eastAsia="zh-CN"/>
                    </w:rPr>
                    <w:t>属于技术</w:t>
                  </w:r>
                  <w:r>
                    <w:rPr>
                      <w:rFonts w:hint="eastAsia"/>
                      <w:b w:val="0"/>
                      <w:bCs/>
                      <w:color w:val="FF0000"/>
                      <w:kern w:val="2"/>
                      <w:sz w:val="21"/>
                      <w:szCs w:val="21"/>
                      <w:vertAlign w:val="baseline"/>
                      <w:lang w:val="en-US" w:eastAsia="zh-CN"/>
                    </w:rPr>
                    <w:t>改造</w:t>
                  </w:r>
                  <w:r>
                    <w:rPr>
                      <w:rFonts w:hint="eastAsia" w:eastAsia="宋体"/>
                      <w:b w:val="0"/>
                      <w:bCs/>
                      <w:color w:val="FF0000"/>
                      <w:kern w:val="2"/>
                      <w:sz w:val="21"/>
                      <w:szCs w:val="21"/>
                      <w:vertAlign w:val="baseline"/>
                      <w:lang w:val="en-US" w:eastAsia="zh-CN"/>
                    </w:rPr>
                    <w:t>的“两高”项目，确保技改后单位产品综合能耗和污染物排放量只减不增。</w:t>
                  </w:r>
                </w:p>
              </w:tc>
              <w:tc>
                <w:tcPr>
                  <w:tcW w:w="854" w:type="pct"/>
                  <w:vAlign w:val="center"/>
                </w:tcPr>
                <w:p w14:paraId="6A89B04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eastAsia="宋体"/>
                      <w:b w:val="0"/>
                      <w:bCs/>
                      <w:color w:val="FF0000"/>
                      <w:kern w:val="2"/>
                      <w:sz w:val="21"/>
                      <w:szCs w:val="21"/>
                      <w:vertAlign w:val="baseline"/>
                      <w:lang w:val="en-US" w:eastAsia="zh-CN"/>
                    </w:rPr>
                  </w:pPr>
                  <w:r>
                    <w:rPr>
                      <w:rFonts w:hint="eastAsia"/>
                      <w:b w:val="0"/>
                      <w:bCs/>
                      <w:color w:val="FF0000"/>
                      <w:kern w:val="2"/>
                      <w:sz w:val="21"/>
                      <w:szCs w:val="21"/>
                      <w:vertAlign w:val="baseline"/>
                      <w:lang w:val="en-US" w:eastAsia="zh-CN"/>
                    </w:rPr>
                    <w:t>本项目为锅炉技改项目，为现有项目供热，不属于</w:t>
                  </w:r>
                  <w:r>
                    <w:rPr>
                      <w:rFonts w:hint="eastAsia" w:eastAsia="宋体"/>
                      <w:b w:val="0"/>
                      <w:bCs/>
                      <w:color w:val="FF0000"/>
                      <w:kern w:val="2"/>
                      <w:sz w:val="21"/>
                      <w:szCs w:val="21"/>
                      <w:vertAlign w:val="baseline"/>
                      <w:lang w:val="en-US" w:eastAsia="zh-CN"/>
                    </w:rPr>
                    <w:t>“两高”项目</w:t>
                  </w:r>
                  <w:r>
                    <w:rPr>
                      <w:rFonts w:hint="eastAsia"/>
                      <w:b w:val="0"/>
                      <w:bCs/>
                      <w:color w:val="FF0000"/>
                      <w:kern w:val="2"/>
                      <w:sz w:val="21"/>
                      <w:szCs w:val="21"/>
                      <w:vertAlign w:val="baseline"/>
                      <w:lang w:val="en-US" w:eastAsia="zh-CN"/>
                    </w:rPr>
                    <w:t>。</w:t>
                  </w:r>
                </w:p>
              </w:tc>
              <w:tc>
                <w:tcPr>
                  <w:tcW w:w="616" w:type="pct"/>
                  <w:vAlign w:val="center"/>
                </w:tcPr>
                <w:p w14:paraId="5457383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eastAsia="宋体"/>
                      <w:b w:val="0"/>
                      <w:bCs/>
                      <w:color w:val="FF0000"/>
                      <w:kern w:val="2"/>
                      <w:sz w:val="21"/>
                      <w:szCs w:val="21"/>
                      <w:vertAlign w:val="baseline"/>
                      <w:lang w:val="en-US" w:eastAsia="zh-CN"/>
                    </w:rPr>
                  </w:pPr>
                  <w:r>
                    <w:rPr>
                      <w:rFonts w:hint="eastAsia"/>
                      <w:b w:val="0"/>
                      <w:bCs/>
                      <w:color w:val="FF0000"/>
                      <w:kern w:val="2"/>
                      <w:sz w:val="21"/>
                      <w:szCs w:val="21"/>
                      <w:vertAlign w:val="baseline"/>
                      <w:lang w:val="en-US" w:eastAsia="zh-CN"/>
                    </w:rPr>
                    <w:t>不涉及</w:t>
                  </w:r>
                </w:p>
              </w:tc>
            </w:tr>
            <w:tr w14:paraId="2F011DE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299" w:type="pct"/>
                  <w:vAlign w:val="center"/>
                </w:tcPr>
                <w:p w14:paraId="0EFDF29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val="0"/>
                      <w:bCs/>
                      <w:color w:val="FF0000"/>
                      <w:kern w:val="2"/>
                      <w:sz w:val="21"/>
                      <w:szCs w:val="21"/>
                      <w:vertAlign w:val="baseline"/>
                      <w:lang w:val="en-US" w:eastAsia="zh-CN"/>
                    </w:rPr>
                  </w:pPr>
                  <w:r>
                    <w:rPr>
                      <w:rFonts w:hint="eastAsia" w:eastAsia="宋体"/>
                      <w:b w:val="0"/>
                      <w:bCs/>
                      <w:color w:val="FF0000"/>
                      <w:kern w:val="2"/>
                      <w:sz w:val="21"/>
                      <w:szCs w:val="21"/>
                      <w:vertAlign w:val="baseline"/>
                      <w:lang w:val="en-US" w:eastAsia="zh-CN"/>
                    </w:rPr>
                    <w:t>3</w:t>
                  </w:r>
                </w:p>
              </w:tc>
              <w:tc>
                <w:tcPr>
                  <w:tcW w:w="3229" w:type="pct"/>
                </w:tcPr>
                <w:p w14:paraId="305B899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eastAsia="宋体"/>
                      <w:b/>
                      <w:bCs w:val="0"/>
                      <w:color w:val="FF0000"/>
                      <w:kern w:val="2"/>
                      <w:sz w:val="21"/>
                      <w:szCs w:val="21"/>
                      <w:vertAlign w:val="baseline"/>
                      <w:lang w:val="en-US" w:eastAsia="zh-CN"/>
                    </w:rPr>
                  </w:pPr>
                  <w:r>
                    <w:rPr>
                      <w:rFonts w:hint="eastAsia" w:eastAsia="宋体"/>
                      <w:b w:val="0"/>
                      <w:bCs/>
                      <w:color w:val="FF0000"/>
                      <w:kern w:val="2"/>
                      <w:sz w:val="21"/>
                      <w:szCs w:val="21"/>
                      <w:vertAlign w:val="baseline"/>
                      <w:lang w:val="en-US" w:eastAsia="zh-CN"/>
                    </w:rPr>
                    <w:t>“两高"项目选址应符合生态环境保护法律、法规、规章以及强制性标准要求、新建、扩建石化、化工、煤化工、焦化、有色金属治炼、平板玻璃、建筑陶瓷、原药制造项目应布设在依法合规设立目经</w:t>
                  </w:r>
                  <w:r>
                    <w:rPr>
                      <w:rFonts w:hint="eastAsia"/>
                      <w:b w:val="0"/>
                      <w:bCs/>
                      <w:color w:val="FF0000"/>
                      <w:kern w:val="2"/>
                      <w:sz w:val="21"/>
                      <w:szCs w:val="21"/>
                      <w:vertAlign w:val="baseline"/>
                      <w:lang w:val="en-US" w:eastAsia="zh-CN"/>
                    </w:rPr>
                    <w:t>规</w:t>
                  </w:r>
                  <w:r>
                    <w:rPr>
                      <w:rFonts w:hint="eastAsia" w:eastAsia="宋体"/>
                      <w:b w:val="0"/>
                      <w:bCs/>
                      <w:color w:val="FF0000"/>
                      <w:kern w:val="2"/>
                      <w:sz w:val="21"/>
                      <w:szCs w:val="21"/>
                      <w:vertAlign w:val="baseline"/>
                      <w:lang w:val="en-US" w:eastAsia="zh-CN"/>
                    </w:rPr>
                    <w:t>划环评的产业园区，并满足大气环境防护距离要求，涉及江河湖库的建设项目，应充分考虑岸线保护利用，污染物排放、环境风除防控要求，科学、合理确定“两高”项目与江河湖库的距离并满足国家和我省相关规定</w:t>
                  </w:r>
                  <w:r>
                    <w:rPr>
                      <w:rFonts w:hint="eastAsia"/>
                      <w:b w:val="0"/>
                      <w:bCs/>
                      <w:color w:val="FF0000"/>
                      <w:kern w:val="2"/>
                      <w:sz w:val="21"/>
                      <w:szCs w:val="21"/>
                      <w:vertAlign w:val="baseline"/>
                      <w:lang w:val="en-US" w:eastAsia="zh-CN"/>
                    </w:rPr>
                    <w:t>；</w:t>
                  </w:r>
                  <w:r>
                    <w:rPr>
                      <w:rFonts w:hint="eastAsia" w:eastAsia="宋体"/>
                      <w:b w:val="0"/>
                      <w:bCs/>
                      <w:color w:val="FF0000"/>
                      <w:kern w:val="2"/>
                      <w:sz w:val="21"/>
                      <w:szCs w:val="21"/>
                      <w:vertAlign w:val="baseline"/>
                      <w:lang w:val="en-US" w:eastAsia="zh-CN"/>
                    </w:rPr>
                    <w:t>项目选址下游涉及饮用水水源保护、湿地保护、农田灌溉、水生生物保护等水功能区的，在确保项目达标排放的基础上，还应采取必要的减续措施，确保受其直接影响的水功能区达到相应的水质标准。</w:t>
                  </w:r>
                </w:p>
              </w:tc>
              <w:tc>
                <w:tcPr>
                  <w:tcW w:w="854" w:type="pct"/>
                  <w:vAlign w:val="center"/>
                </w:tcPr>
                <w:p w14:paraId="0772AE3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eastAsia="宋体"/>
                      <w:b w:val="0"/>
                      <w:bCs/>
                      <w:color w:val="FF0000"/>
                      <w:kern w:val="2"/>
                      <w:sz w:val="21"/>
                      <w:szCs w:val="21"/>
                      <w:vertAlign w:val="baseline"/>
                      <w:lang w:val="en-US" w:eastAsia="zh-CN"/>
                    </w:rPr>
                  </w:pPr>
                  <w:r>
                    <w:rPr>
                      <w:rFonts w:hint="eastAsia"/>
                      <w:b w:val="0"/>
                      <w:bCs/>
                      <w:color w:val="FF0000"/>
                      <w:kern w:val="2"/>
                      <w:sz w:val="21"/>
                      <w:szCs w:val="21"/>
                      <w:vertAlign w:val="baseline"/>
                      <w:lang w:val="en-US" w:eastAsia="zh-CN"/>
                    </w:rPr>
                    <w:t>本项目为锅炉技改项目，为现有项目供热，不属于</w:t>
                  </w:r>
                  <w:r>
                    <w:rPr>
                      <w:rFonts w:hint="eastAsia" w:eastAsia="宋体"/>
                      <w:b w:val="0"/>
                      <w:bCs/>
                      <w:color w:val="FF0000"/>
                      <w:kern w:val="2"/>
                      <w:sz w:val="21"/>
                      <w:szCs w:val="21"/>
                      <w:vertAlign w:val="baseline"/>
                      <w:lang w:val="en-US" w:eastAsia="zh-CN"/>
                    </w:rPr>
                    <w:t>“两高”项目</w:t>
                  </w:r>
                  <w:r>
                    <w:rPr>
                      <w:rFonts w:hint="eastAsia"/>
                      <w:b w:val="0"/>
                      <w:bCs/>
                      <w:color w:val="FF0000"/>
                      <w:kern w:val="2"/>
                      <w:sz w:val="21"/>
                      <w:szCs w:val="21"/>
                      <w:vertAlign w:val="baseline"/>
                      <w:lang w:val="en-US" w:eastAsia="zh-CN"/>
                    </w:rPr>
                    <w:t>。</w:t>
                  </w:r>
                </w:p>
              </w:tc>
              <w:tc>
                <w:tcPr>
                  <w:tcW w:w="616" w:type="pct"/>
                  <w:vAlign w:val="center"/>
                </w:tcPr>
                <w:p w14:paraId="1AD2564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eastAsia="宋体"/>
                      <w:b w:val="0"/>
                      <w:bCs/>
                      <w:color w:val="FF0000"/>
                      <w:kern w:val="2"/>
                      <w:sz w:val="21"/>
                      <w:szCs w:val="21"/>
                      <w:vertAlign w:val="baseline"/>
                      <w:lang w:val="en-US" w:eastAsia="zh-CN"/>
                    </w:rPr>
                  </w:pPr>
                  <w:r>
                    <w:rPr>
                      <w:rFonts w:hint="eastAsia"/>
                      <w:b w:val="0"/>
                      <w:bCs/>
                      <w:color w:val="FF0000"/>
                      <w:kern w:val="2"/>
                      <w:sz w:val="21"/>
                      <w:szCs w:val="21"/>
                      <w:vertAlign w:val="baseline"/>
                      <w:lang w:val="en-US" w:eastAsia="zh-CN"/>
                    </w:rPr>
                    <w:t>不涉及</w:t>
                  </w:r>
                </w:p>
              </w:tc>
            </w:tr>
            <w:tr w14:paraId="6E96F83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99" w:type="pct"/>
                  <w:vAlign w:val="center"/>
                </w:tcPr>
                <w:p w14:paraId="0859FFA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val="0"/>
                      <w:bCs/>
                      <w:color w:val="FF0000"/>
                      <w:kern w:val="2"/>
                      <w:sz w:val="21"/>
                      <w:szCs w:val="21"/>
                      <w:vertAlign w:val="baseline"/>
                      <w:lang w:val="en-US" w:eastAsia="zh-CN"/>
                    </w:rPr>
                  </w:pPr>
                  <w:r>
                    <w:rPr>
                      <w:rFonts w:hint="eastAsia" w:eastAsia="宋体"/>
                      <w:b w:val="0"/>
                      <w:bCs/>
                      <w:color w:val="FF0000"/>
                      <w:kern w:val="2"/>
                      <w:sz w:val="21"/>
                      <w:szCs w:val="21"/>
                      <w:vertAlign w:val="baseline"/>
                      <w:lang w:val="en-US" w:eastAsia="zh-CN"/>
                    </w:rPr>
                    <w:t>4</w:t>
                  </w:r>
                </w:p>
              </w:tc>
              <w:tc>
                <w:tcPr>
                  <w:tcW w:w="3229" w:type="pct"/>
                </w:tcPr>
                <w:p w14:paraId="37EF054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eastAsia="宋体"/>
                      <w:b/>
                      <w:bCs w:val="0"/>
                      <w:color w:val="FF0000"/>
                      <w:kern w:val="2"/>
                      <w:sz w:val="21"/>
                      <w:szCs w:val="21"/>
                      <w:vertAlign w:val="baseline"/>
                      <w:lang w:val="en-US" w:eastAsia="zh-CN"/>
                    </w:rPr>
                  </w:pPr>
                  <w:r>
                    <w:rPr>
                      <w:rFonts w:hint="eastAsia" w:eastAsia="宋体"/>
                      <w:b w:val="0"/>
                      <w:bCs/>
                      <w:color w:val="FF0000"/>
                      <w:kern w:val="2"/>
                      <w:sz w:val="21"/>
                      <w:szCs w:val="21"/>
                      <w:vertAlign w:val="baseline"/>
                      <w:lang w:val="en-US" w:eastAsia="zh-CN"/>
                    </w:rPr>
                    <w:t>对于行业产能已经饱和的新建“两高”项目，要严格落实产能置换要求压减产能。其中，钢铁项目产能置换比例不低于1.25</w:t>
                  </w:r>
                  <w:r>
                    <w:rPr>
                      <w:rFonts w:hint="eastAsia"/>
                      <w:b w:val="0"/>
                      <w:bCs/>
                      <w:color w:val="FF0000"/>
                      <w:kern w:val="2"/>
                      <w:sz w:val="21"/>
                      <w:szCs w:val="21"/>
                      <w:vertAlign w:val="baseline"/>
                      <w:lang w:val="en-US" w:eastAsia="zh-CN"/>
                    </w:rPr>
                    <w:t>：</w:t>
                  </w:r>
                  <w:r>
                    <w:rPr>
                      <w:rFonts w:hint="eastAsia" w:eastAsia="宋体"/>
                      <w:b w:val="0"/>
                      <w:bCs/>
                      <w:color w:val="FF0000"/>
                      <w:kern w:val="2"/>
                      <w:sz w:val="21"/>
                      <w:szCs w:val="21"/>
                      <w:vertAlign w:val="baseline"/>
                      <w:lang w:val="en-US" w:eastAsia="zh-CN"/>
                    </w:rPr>
                    <w:t>1，对完成实质性兼并重组后取得的合规产能用于项目建设时，可以不低于1.1</w:t>
                  </w:r>
                  <w:r>
                    <w:rPr>
                      <w:rFonts w:hint="eastAsia"/>
                      <w:b w:val="0"/>
                      <w:bCs/>
                      <w:color w:val="FF0000"/>
                      <w:kern w:val="2"/>
                      <w:sz w:val="21"/>
                      <w:szCs w:val="21"/>
                      <w:vertAlign w:val="baseline"/>
                      <w:lang w:val="en-US" w:eastAsia="zh-CN"/>
                    </w:rPr>
                    <w:t>：</w:t>
                  </w:r>
                  <w:r>
                    <w:rPr>
                      <w:rFonts w:hint="eastAsia" w:eastAsia="宋体"/>
                      <w:b w:val="0"/>
                      <w:bCs/>
                      <w:color w:val="FF0000"/>
                      <w:kern w:val="2"/>
                      <w:sz w:val="21"/>
                      <w:szCs w:val="21"/>
                      <w:vertAlign w:val="baseline"/>
                      <w:lang w:val="en-US" w:eastAsia="zh-CN"/>
                    </w:rPr>
                    <w:t>1</w:t>
                  </w:r>
                  <w:r>
                    <w:rPr>
                      <w:rFonts w:hint="eastAsia"/>
                      <w:b w:val="0"/>
                      <w:bCs/>
                      <w:color w:val="FF0000"/>
                      <w:kern w:val="2"/>
                      <w:sz w:val="21"/>
                      <w:szCs w:val="21"/>
                      <w:vertAlign w:val="baseline"/>
                      <w:lang w:val="en-US" w:eastAsia="zh-CN"/>
                    </w:rPr>
                    <w:t>；</w:t>
                  </w:r>
                  <w:r>
                    <w:rPr>
                      <w:rFonts w:hint="eastAsia" w:eastAsia="宋体"/>
                      <w:b w:val="0"/>
                      <w:bCs/>
                      <w:color w:val="FF0000"/>
                      <w:kern w:val="2"/>
                      <w:sz w:val="21"/>
                      <w:szCs w:val="21"/>
                      <w:vertAlign w:val="baseline"/>
                      <w:lang w:val="en-US" w:eastAsia="zh-CN"/>
                    </w:rPr>
                    <w:t>水泥熟料产能置换原则上比例不低于1.5</w:t>
                  </w:r>
                  <w:r>
                    <w:rPr>
                      <w:rFonts w:hint="eastAsia"/>
                      <w:b w:val="0"/>
                      <w:bCs/>
                      <w:color w:val="FF0000"/>
                      <w:kern w:val="2"/>
                      <w:sz w:val="21"/>
                      <w:szCs w:val="21"/>
                      <w:vertAlign w:val="baseline"/>
                      <w:lang w:val="en-US" w:eastAsia="zh-CN"/>
                    </w:rPr>
                    <w:t>：</w:t>
                  </w:r>
                  <w:r>
                    <w:rPr>
                      <w:rFonts w:hint="eastAsia" w:eastAsia="宋体"/>
                      <w:b w:val="0"/>
                      <w:bCs/>
                      <w:color w:val="FF0000"/>
                      <w:kern w:val="2"/>
                      <w:sz w:val="21"/>
                      <w:szCs w:val="21"/>
                      <w:vertAlign w:val="baseline"/>
                      <w:lang w:val="en-US" w:eastAsia="zh-CN"/>
                    </w:rPr>
                    <w:t>1</w:t>
                  </w:r>
                  <w:r>
                    <w:rPr>
                      <w:rFonts w:hint="eastAsia"/>
                      <w:b w:val="0"/>
                      <w:bCs/>
                      <w:color w:val="FF0000"/>
                      <w:kern w:val="2"/>
                      <w:sz w:val="21"/>
                      <w:szCs w:val="21"/>
                      <w:vertAlign w:val="baseline"/>
                      <w:lang w:val="en-US" w:eastAsia="zh-CN"/>
                    </w:rPr>
                    <w:t>；</w:t>
                  </w:r>
                  <w:r>
                    <w:rPr>
                      <w:rFonts w:hint="eastAsia" w:eastAsia="宋体"/>
                      <w:b w:val="0"/>
                      <w:bCs/>
                      <w:color w:val="FF0000"/>
                      <w:kern w:val="2"/>
                      <w:sz w:val="21"/>
                      <w:szCs w:val="21"/>
                      <w:vertAlign w:val="baseline"/>
                      <w:lang w:val="en-US" w:eastAsia="zh-CN"/>
                    </w:rPr>
                    <w:t>平板玻璃产能詈换比例不低干1</w:t>
                  </w:r>
                  <w:r>
                    <w:rPr>
                      <w:rFonts w:hint="eastAsia"/>
                      <w:b w:val="0"/>
                      <w:bCs/>
                      <w:color w:val="FF0000"/>
                      <w:kern w:val="2"/>
                      <w:sz w:val="21"/>
                      <w:szCs w:val="21"/>
                      <w:vertAlign w:val="baseline"/>
                      <w:lang w:val="en-US" w:eastAsia="zh-CN"/>
                    </w:rPr>
                    <w:t>：</w:t>
                  </w:r>
                  <w:r>
                    <w:rPr>
                      <w:rFonts w:hint="eastAsia" w:eastAsia="宋体"/>
                      <w:b w:val="0"/>
                      <w:bCs/>
                      <w:color w:val="FF0000"/>
                      <w:kern w:val="2"/>
                      <w:sz w:val="21"/>
                      <w:szCs w:val="21"/>
                      <w:vertAlign w:val="baseline"/>
                      <w:lang w:val="en-US" w:eastAsia="zh-CN"/>
                    </w:rPr>
                    <w:t>1</w:t>
                  </w:r>
                  <w:r>
                    <w:rPr>
                      <w:rFonts w:hint="eastAsia"/>
                      <w:b w:val="0"/>
                      <w:bCs/>
                      <w:color w:val="FF0000"/>
                      <w:kern w:val="2"/>
                      <w:sz w:val="21"/>
                      <w:szCs w:val="21"/>
                      <w:vertAlign w:val="baseline"/>
                      <w:lang w:val="en-US" w:eastAsia="zh-CN"/>
                    </w:rPr>
                    <w:t>。</w:t>
                  </w:r>
                </w:p>
              </w:tc>
              <w:tc>
                <w:tcPr>
                  <w:tcW w:w="854" w:type="pct"/>
                  <w:vAlign w:val="center"/>
                </w:tcPr>
                <w:p w14:paraId="73F9FA9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eastAsia="宋体"/>
                      <w:b w:val="0"/>
                      <w:bCs/>
                      <w:color w:val="FF0000"/>
                      <w:kern w:val="2"/>
                      <w:sz w:val="21"/>
                      <w:szCs w:val="21"/>
                      <w:vertAlign w:val="baseline"/>
                      <w:lang w:val="en-US" w:eastAsia="zh-CN"/>
                    </w:rPr>
                  </w:pPr>
                  <w:r>
                    <w:rPr>
                      <w:rFonts w:hint="eastAsia"/>
                      <w:b w:val="0"/>
                      <w:bCs/>
                      <w:color w:val="FF0000"/>
                      <w:kern w:val="2"/>
                      <w:sz w:val="21"/>
                      <w:szCs w:val="21"/>
                      <w:vertAlign w:val="baseline"/>
                      <w:lang w:val="en-US" w:eastAsia="zh-CN"/>
                    </w:rPr>
                    <w:t>本项目为锅炉技改项目，为现有项目供热，不属于</w:t>
                  </w:r>
                  <w:r>
                    <w:rPr>
                      <w:rFonts w:hint="eastAsia" w:eastAsia="宋体"/>
                      <w:b w:val="0"/>
                      <w:bCs/>
                      <w:color w:val="FF0000"/>
                      <w:kern w:val="2"/>
                      <w:sz w:val="21"/>
                      <w:szCs w:val="21"/>
                      <w:vertAlign w:val="baseline"/>
                      <w:lang w:val="en-US" w:eastAsia="zh-CN"/>
                    </w:rPr>
                    <w:t>“两高”项目</w:t>
                  </w:r>
                  <w:r>
                    <w:rPr>
                      <w:rFonts w:hint="eastAsia"/>
                      <w:b w:val="0"/>
                      <w:bCs/>
                      <w:color w:val="FF0000"/>
                      <w:kern w:val="2"/>
                      <w:sz w:val="21"/>
                      <w:szCs w:val="21"/>
                      <w:vertAlign w:val="baseline"/>
                      <w:lang w:val="en-US" w:eastAsia="zh-CN"/>
                    </w:rPr>
                    <w:t>。</w:t>
                  </w:r>
                </w:p>
              </w:tc>
              <w:tc>
                <w:tcPr>
                  <w:tcW w:w="616" w:type="pct"/>
                  <w:vAlign w:val="center"/>
                </w:tcPr>
                <w:p w14:paraId="74BAA2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eastAsia="宋体"/>
                      <w:b w:val="0"/>
                      <w:bCs/>
                      <w:color w:val="FF0000"/>
                      <w:kern w:val="2"/>
                      <w:sz w:val="21"/>
                      <w:szCs w:val="21"/>
                      <w:vertAlign w:val="baseline"/>
                      <w:lang w:val="en-US" w:eastAsia="zh-CN"/>
                    </w:rPr>
                  </w:pPr>
                  <w:r>
                    <w:rPr>
                      <w:rFonts w:hint="eastAsia"/>
                      <w:b w:val="0"/>
                      <w:bCs/>
                      <w:color w:val="FF0000"/>
                      <w:kern w:val="2"/>
                      <w:sz w:val="21"/>
                      <w:szCs w:val="21"/>
                      <w:vertAlign w:val="baseline"/>
                      <w:lang w:val="en-US" w:eastAsia="zh-CN"/>
                    </w:rPr>
                    <w:t>不涉及</w:t>
                  </w:r>
                </w:p>
              </w:tc>
            </w:tr>
            <w:tr w14:paraId="375EC93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99" w:type="pct"/>
                  <w:vAlign w:val="center"/>
                </w:tcPr>
                <w:p w14:paraId="2520C83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val="0"/>
                      <w:bCs/>
                      <w:color w:val="FF0000"/>
                      <w:kern w:val="2"/>
                      <w:sz w:val="21"/>
                      <w:szCs w:val="21"/>
                      <w:vertAlign w:val="baseline"/>
                      <w:lang w:val="en-US" w:eastAsia="zh-CN"/>
                    </w:rPr>
                  </w:pPr>
                  <w:r>
                    <w:rPr>
                      <w:rFonts w:hint="eastAsia" w:eastAsia="宋体"/>
                      <w:b w:val="0"/>
                      <w:bCs/>
                      <w:color w:val="FF0000"/>
                      <w:kern w:val="2"/>
                      <w:sz w:val="21"/>
                      <w:szCs w:val="21"/>
                      <w:vertAlign w:val="baseline"/>
                      <w:lang w:val="en-US" w:eastAsia="zh-CN"/>
                    </w:rPr>
                    <w:t>5</w:t>
                  </w:r>
                </w:p>
              </w:tc>
              <w:tc>
                <w:tcPr>
                  <w:tcW w:w="3229" w:type="pct"/>
                  <w:vAlign w:val="center"/>
                </w:tcPr>
                <w:p w14:paraId="09F2F5F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eastAsia="宋体"/>
                      <w:b w:val="0"/>
                      <w:bCs/>
                      <w:color w:val="FF0000"/>
                      <w:kern w:val="2"/>
                      <w:sz w:val="21"/>
                      <w:szCs w:val="21"/>
                      <w:vertAlign w:val="baseline"/>
                      <w:lang w:val="en-US" w:eastAsia="zh-CN"/>
                    </w:rPr>
                  </w:pPr>
                  <w:r>
                    <w:rPr>
                      <w:rFonts w:hint="eastAsia" w:eastAsia="宋体"/>
                      <w:b w:val="0"/>
                      <w:bCs/>
                      <w:color w:val="FF0000"/>
                      <w:kern w:val="2"/>
                      <w:sz w:val="21"/>
                      <w:szCs w:val="21"/>
                      <w:vertAlign w:val="baseline"/>
                      <w:lang w:val="en-US" w:eastAsia="zh-CN"/>
                    </w:rPr>
                    <w:t>对于上一年度环境空气质量不达标、水环境质量考核未达到要求的市、县(区)，新建、扩建“两高”项目污染物排放减星替代比例应满足国家倍量菩代要求</w:t>
                  </w:r>
                  <w:r>
                    <w:rPr>
                      <w:rFonts w:hint="eastAsia"/>
                      <w:b w:val="0"/>
                      <w:bCs/>
                      <w:color w:val="FF0000"/>
                      <w:kern w:val="2"/>
                      <w:sz w:val="21"/>
                      <w:szCs w:val="21"/>
                      <w:vertAlign w:val="baseline"/>
                      <w:lang w:val="en-US" w:eastAsia="zh-CN"/>
                    </w:rPr>
                    <w:t>；</w:t>
                  </w:r>
                </w:p>
                <w:p w14:paraId="2A8763C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eastAsia="宋体"/>
                      <w:b w:val="0"/>
                      <w:bCs/>
                      <w:color w:val="FF0000"/>
                      <w:kern w:val="2"/>
                      <w:sz w:val="21"/>
                      <w:szCs w:val="21"/>
                      <w:vertAlign w:val="baseline"/>
                      <w:lang w:val="en-US" w:eastAsia="zh-CN"/>
                    </w:rPr>
                  </w:pPr>
                  <w:r>
                    <w:rPr>
                      <w:rFonts w:hint="eastAsia" w:eastAsia="宋体"/>
                      <w:b w:val="0"/>
                      <w:bCs/>
                      <w:color w:val="FF0000"/>
                      <w:kern w:val="2"/>
                      <w:sz w:val="21"/>
                      <w:szCs w:val="21"/>
                      <w:vertAlign w:val="baseline"/>
                      <w:lang w:val="en-US" w:eastAsia="zh-CN"/>
                    </w:rPr>
                    <w:t>达到标准或要求的地区，原则上实行等量替代</w:t>
                  </w:r>
                  <w:r>
                    <w:rPr>
                      <w:rFonts w:hint="eastAsia"/>
                      <w:b w:val="0"/>
                      <w:bCs/>
                      <w:color w:val="FF0000"/>
                      <w:kern w:val="2"/>
                      <w:sz w:val="21"/>
                      <w:szCs w:val="21"/>
                      <w:vertAlign w:val="baseline"/>
                      <w:lang w:val="en-US" w:eastAsia="zh-CN"/>
                    </w:rPr>
                    <w:t>。</w:t>
                  </w:r>
                </w:p>
              </w:tc>
              <w:tc>
                <w:tcPr>
                  <w:tcW w:w="854" w:type="pct"/>
                  <w:vAlign w:val="center"/>
                </w:tcPr>
                <w:p w14:paraId="2D4F5E5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rPr>
                      <w:rFonts w:hint="default"/>
                      <w:b w:val="0"/>
                      <w:bCs/>
                      <w:color w:val="FF0000"/>
                      <w:kern w:val="2"/>
                      <w:sz w:val="21"/>
                      <w:szCs w:val="21"/>
                      <w:vertAlign w:val="baseline"/>
                      <w:lang w:val="en-US" w:eastAsia="zh-CN"/>
                    </w:rPr>
                  </w:pPr>
                  <w:r>
                    <w:rPr>
                      <w:rFonts w:hint="eastAsia"/>
                      <w:b w:val="0"/>
                      <w:bCs/>
                      <w:color w:val="FF0000"/>
                      <w:kern w:val="2"/>
                      <w:sz w:val="21"/>
                      <w:szCs w:val="21"/>
                      <w:vertAlign w:val="baseline"/>
                      <w:lang w:val="en-US" w:eastAsia="zh-CN"/>
                    </w:rPr>
                    <w:t>本项目为锅炉技改项目，为现有项目供热，不属于</w:t>
                  </w:r>
                  <w:r>
                    <w:rPr>
                      <w:rFonts w:hint="eastAsia" w:eastAsia="宋体"/>
                      <w:b w:val="0"/>
                      <w:bCs/>
                      <w:color w:val="FF0000"/>
                      <w:kern w:val="2"/>
                      <w:sz w:val="21"/>
                      <w:szCs w:val="21"/>
                      <w:vertAlign w:val="baseline"/>
                      <w:lang w:val="en-US" w:eastAsia="zh-CN"/>
                    </w:rPr>
                    <w:t>“两高”项目</w:t>
                  </w:r>
                  <w:r>
                    <w:rPr>
                      <w:rFonts w:hint="eastAsia"/>
                      <w:b w:val="0"/>
                      <w:bCs/>
                      <w:color w:val="FF0000"/>
                      <w:kern w:val="2"/>
                      <w:sz w:val="21"/>
                      <w:szCs w:val="21"/>
                      <w:vertAlign w:val="baseline"/>
                      <w:lang w:val="en-US" w:eastAsia="zh-CN"/>
                    </w:rPr>
                    <w:t>。</w:t>
                  </w:r>
                </w:p>
              </w:tc>
              <w:tc>
                <w:tcPr>
                  <w:tcW w:w="616" w:type="pct"/>
                  <w:shd w:val="clear" w:color="auto" w:fill="auto"/>
                  <w:vAlign w:val="center"/>
                </w:tcPr>
                <w:p w14:paraId="7419181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FF0000"/>
                      <w:kern w:val="2"/>
                      <w:sz w:val="21"/>
                      <w:szCs w:val="21"/>
                      <w:vertAlign w:val="baseline"/>
                      <w:lang w:val="en-US" w:eastAsia="zh-CN" w:bidi="ar-SA"/>
                    </w:rPr>
                  </w:pPr>
                  <w:r>
                    <w:rPr>
                      <w:rFonts w:hint="eastAsia"/>
                      <w:b w:val="0"/>
                      <w:bCs/>
                      <w:color w:val="FF0000"/>
                      <w:kern w:val="2"/>
                      <w:sz w:val="21"/>
                      <w:szCs w:val="21"/>
                      <w:vertAlign w:val="baseline"/>
                      <w:lang w:val="en-US" w:eastAsia="zh-CN"/>
                    </w:rPr>
                    <w:t>不涉及</w:t>
                  </w:r>
                </w:p>
              </w:tc>
            </w:tr>
            <w:tr w14:paraId="6546319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99" w:type="pct"/>
                  <w:vAlign w:val="center"/>
                </w:tcPr>
                <w:p w14:paraId="224288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val="0"/>
                      <w:bCs/>
                      <w:color w:val="FF0000"/>
                      <w:kern w:val="2"/>
                      <w:sz w:val="21"/>
                      <w:szCs w:val="21"/>
                      <w:vertAlign w:val="baseline"/>
                      <w:lang w:val="en-US" w:eastAsia="zh-CN"/>
                    </w:rPr>
                  </w:pPr>
                  <w:r>
                    <w:rPr>
                      <w:rFonts w:hint="eastAsia"/>
                      <w:b w:val="0"/>
                      <w:bCs/>
                      <w:color w:val="FF0000"/>
                      <w:kern w:val="2"/>
                      <w:sz w:val="21"/>
                      <w:szCs w:val="21"/>
                      <w:vertAlign w:val="baseline"/>
                      <w:lang w:val="en-US" w:eastAsia="zh-CN"/>
                    </w:rPr>
                    <w:t>6</w:t>
                  </w:r>
                </w:p>
              </w:tc>
              <w:tc>
                <w:tcPr>
                  <w:tcW w:w="3229" w:type="pct"/>
                </w:tcPr>
                <w:p w14:paraId="592463A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eastAsia="宋体"/>
                      <w:b w:val="0"/>
                      <w:bCs/>
                      <w:color w:val="FF0000"/>
                      <w:kern w:val="2"/>
                      <w:sz w:val="21"/>
                      <w:szCs w:val="21"/>
                      <w:vertAlign w:val="baseline"/>
                      <w:lang w:val="en-US" w:eastAsia="zh-CN"/>
                    </w:rPr>
                  </w:pPr>
                  <w:r>
                    <w:rPr>
                      <w:rFonts w:hint="eastAsia" w:eastAsia="宋体"/>
                      <w:b w:val="0"/>
                      <w:bCs/>
                      <w:color w:val="FF0000"/>
                      <w:kern w:val="2"/>
                      <w:sz w:val="21"/>
                      <w:szCs w:val="21"/>
                      <w:vertAlign w:val="baseline"/>
                      <w:lang w:val="en-US" w:eastAsia="zh-CN"/>
                    </w:rPr>
                    <w:t>对于能耗强度一级预警</w:t>
                  </w:r>
                  <w:r>
                    <w:rPr>
                      <w:rFonts w:hint="eastAsia"/>
                      <w:b w:val="0"/>
                      <w:bCs/>
                      <w:color w:val="FF0000"/>
                      <w:kern w:val="2"/>
                      <w:sz w:val="21"/>
                      <w:szCs w:val="21"/>
                      <w:vertAlign w:val="baseline"/>
                      <w:lang w:val="en-US" w:eastAsia="zh-CN"/>
                    </w:rPr>
                    <w:t>（</w:t>
                  </w:r>
                  <w:r>
                    <w:rPr>
                      <w:rFonts w:hint="eastAsia" w:eastAsia="宋体"/>
                      <w:b w:val="0"/>
                      <w:bCs/>
                      <w:color w:val="FF0000"/>
                      <w:kern w:val="2"/>
                      <w:sz w:val="21"/>
                      <w:szCs w:val="21"/>
                      <w:vertAlign w:val="baseline"/>
                      <w:lang w:val="en-US" w:eastAsia="zh-CN"/>
                    </w:rPr>
                    <w:t>能耗强度不降反升</w:t>
                  </w:r>
                  <w:r>
                    <w:rPr>
                      <w:rFonts w:hint="eastAsia"/>
                      <w:b w:val="0"/>
                      <w:bCs/>
                      <w:color w:val="FF0000"/>
                      <w:kern w:val="2"/>
                      <w:sz w:val="21"/>
                      <w:szCs w:val="21"/>
                      <w:vertAlign w:val="baseline"/>
                      <w:lang w:val="en-US" w:eastAsia="zh-CN"/>
                    </w:rPr>
                    <w:t>）</w:t>
                  </w:r>
                  <w:r>
                    <w:rPr>
                      <w:rFonts w:hint="eastAsia" w:eastAsia="宋体"/>
                      <w:b w:val="0"/>
                      <w:bCs/>
                      <w:color w:val="FF0000"/>
                      <w:kern w:val="2"/>
                      <w:sz w:val="21"/>
                      <w:szCs w:val="21"/>
                      <w:vertAlign w:val="baseline"/>
                      <w:lang w:val="en-US" w:eastAsia="zh-CN"/>
                    </w:rPr>
                    <w:t>的地区，暂停国家规划布局之外的“两高”项目节能审査</w:t>
                  </w:r>
                  <w:r>
                    <w:rPr>
                      <w:rFonts w:hint="eastAsia"/>
                      <w:b w:val="0"/>
                      <w:bCs/>
                      <w:color w:val="FF0000"/>
                      <w:kern w:val="2"/>
                      <w:sz w:val="21"/>
                      <w:szCs w:val="21"/>
                      <w:vertAlign w:val="baseline"/>
                      <w:lang w:val="en-US" w:eastAsia="zh-CN"/>
                    </w:rPr>
                    <w:t>；</w:t>
                  </w:r>
                  <w:r>
                    <w:rPr>
                      <w:rFonts w:hint="eastAsia" w:eastAsia="宋体"/>
                      <w:b w:val="0"/>
                      <w:bCs/>
                      <w:color w:val="FF0000"/>
                      <w:kern w:val="2"/>
                      <w:sz w:val="21"/>
                      <w:szCs w:val="21"/>
                      <w:vertAlign w:val="baseline"/>
                      <w:lang w:val="en-US" w:eastAsia="zh-CN"/>
                    </w:rPr>
                    <w:t>对于能耗强度二级预警</w:t>
                  </w:r>
                  <w:r>
                    <w:rPr>
                      <w:rFonts w:hint="eastAsia"/>
                      <w:b w:val="0"/>
                      <w:bCs/>
                      <w:color w:val="FF0000"/>
                      <w:kern w:val="2"/>
                      <w:sz w:val="21"/>
                      <w:szCs w:val="21"/>
                      <w:vertAlign w:val="baseline"/>
                      <w:lang w:val="en-US" w:eastAsia="zh-CN"/>
                    </w:rPr>
                    <w:t>（</w:t>
                  </w:r>
                  <w:r>
                    <w:rPr>
                      <w:rFonts w:hint="eastAsia" w:eastAsia="宋体"/>
                      <w:b w:val="0"/>
                      <w:bCs/>
                      <w:color w:val="FF0000"/>
                      <w:kern w:val="2"/>
                      <w:sz w:val="21"/>
                      <w:szCs w:val="21"/>
                      <w:vertAlign w:val="baseline"/>
                      <w:lang w:val="en-US" w:eastAsia="zh-CN"/>
                    </w:rPr>
                    <w:t>能耗强度降低未达到进度目标</w:t>
                  </w:r>
                  <w:r>
                    <w:rPr>
                      <w:rFonts w:hint="eastAsia"/>
                      <w:b w:val="0"/>
                      <w:bCs/>
                      <w:color w:val="FF0000"/>
                      <w:kern w:val="2"/>
                      <w:sz w:val="21"/>
                      <w:szCs w:val="21"/>
                      <w:vertAlign w:val="baseline"/>
                      <w:lang w:val="en-US" w:eastAsia="zh-CN"/>
                    </w:rPr>
                    <w:t>）</w:t>
                  </w:r>
                  <w:r>
                    <w:rPr>
                      <w:rFonts w:hint="eastAsia" w:eastAsia="宋体"/>
                      <w:b w:val="0"/>
                      <w:bCs/>
                      <w:color w:val="FF0000"/>
                      <w:kern w:val="2"/>
                      <w:sz w:val="21"/>
                      <w:szCs w:val="21"/>
                      <w:vertAlign w:val="baseline"/>
                      <w:lang w:val="en-US" w:eastAsia="zh-CN"/>
                    </w:rPr>
                    <w:t>的地区，除国家规划和省里布局之外的新建“两高”项目要严格按照能耗等量替代要求编制能耗替代方案，未落实能耗替代方案的节能审查不子批准，普代方案内容和数据应可统计、可追溯、可核查</w:t>
                  </w:r>
                  <w:r>
                    <w:rPr>
                      <w:rFonts w:hint="eastAsia"/>
                      <w:b w:val="0"/>
                      <w:bCs/>
                      <w:color w:val="FF0000"/>
                      <w:kern w:val="2"/>
                      <w:sz w:val="21"/>
                      <w:szCs w:val="21"/>
                      <w:vertAlign w:val="baseline"/>
                      <w:lang w:val="en-US" w:eastAsia="zh-CN"/>
                    </w:rPr>
                    <w:t>；</w:t>
                  </w:r>
                  <w:r>
                    <w:rPr>
                      <w:rFonts w:hint="eastAsia" w:eastAsia="宋体"/>
                      <w:b w:val="0"/>
                      <w:bCs/>
                      <w:color w:val="FF0000"/>
                      <w:kern w:val="2"/>
                      <w:sz w:val="21"/>
                      <w:szCs w:val="21"/>
                      <w:vertAlign w:val="baseline"/>
                      <w:lang w:val="en-US" w:eastAsia="zh-CN"/>
                    </w:rPr>
                    <w:t>对于能耗强度三级预警</w:t>
                  </w:r>
                  <w:r>
                    <w:rPr>
                      <w:rFonts w:hint="eastAsia"/>
                      <w:b w:val="0"/>
                      <w:bCs/>
                      <w:color w:val="FF0000"/>
                      <w:kern w:val="2"/>
                      <w:sz w:val="21"/>
                      <w:szCs w:val="21"/>
                      <w:vertAlign w:val="baseline"/>
                      <w:lang w:val="en-US" w:eastAsia="zh-CN"/>
                    </w:rPr>
                    <w:t>（</w:t>
                  </w:r>
                  <w:r>
                    <w:rPr>
                      <w:rFonts w:hint="eastAsia" w:eastAsia="宋体"/>
                      <w:b w:val="0"/>
                      <w:bCs/>
                      <w:color w:val="FF0000"/>
                      <w:kern w:val="2"/>
                      <w:sz w:val="21"/>
                      <w:szCs w:val="21"/>
                      <w:vertAlign w:val="baseline"/>
                      <w:lang w:val="en-US" w:eastAsia="zh-CN"/>
                    </w:rPr>
                    <w:t>能耗强度降低达到进度目标</w:t>
                  </w:r>
                  <w:r>
                    <w:rPr>
                      <w:rFonts w:hint="eastAsia"/>
                      <w:b w:val="0"/>
                      <w:bCs/>
                      <w:color w:val="FF0000"/>
                      <w:kern w:val="2"/>
                      <w:sz w:val="21"/>
                      <w:szCs w:val="21"/>
                      <w:vertAlign w:val="baseline"/>
                      <w:lang w:val="en-US" w:eastAsia="zh-CN"/>
                    </w:rPr>
                    <w:t>）</w:t>
                  </w:r>
                  <w:r>
                    <w:rPr>
                      <w:rFonts w:hint="eastAsia" w:eastAsia="宋体"/>
                      <w:b w:val="0"/>
                      <w:bCs/>
                      <w:color w:val="FF0000"/>
                      <w:kern w:val="2"/>
                      <w:sz w:val="21"/>
                      <w:szCs w:val="21"/>
                      <w:vertAlign w:val="baseline"/>
                      <w:lang w:val="en-US" w:eastAsia="zh-CN"/>
                    </w:rPr>
                    <w:t>的地区，新建“两高”项目在严格把关后原则上可使用本地区“十四五”新增能耗指标。后续国家对“两高”项目缓批限批有新规定的</w:t>
                  </w:r>
                  <w:r>
                    <w:rPr>
                      <w:rFonts w:hint="eastAsia"/>
                      <w:b w:val="0"/>
                      <w:bCs/>
                      <w:color w:val="FF0000"/>
                      <w:kern w:val="2"/>
                      <w:sz w:val="21"/>
                      <w:szCs w:val="21"/>
                      <w:vertAlign w:val="baseline"/>
                      <w:lang w:val="en-US" w:eastAsia="zh-CN"/>
                    </w:rPr>
                    <w:t>，从其</w:t>
                  </w:r>
                  <w:r>
                    <w:rPr>
                      <w:rFonts w:hint="eastAsia" w:eastAsia="宋体"/>
                      <w:b w:val="0"/>
                      <w:bCs/>
                      <w:color w:val="FF0000"/>
                      <w:kern w:val="2"/>
                      <w:sz w:val="21"/>
                      <w:szCs w:val="21"/>
                      <w:vertAlign w:val="baseline"/>
                      <w:lang w:val="en-US" w:eastAsia="zh-CN"/>
                    </w:rPr>
                    <w:t>规定。</w:t>
                  </w:r>
                </w:p>
              </w:tc>
              <w:tc>
                <w:tcPr>
                  <w:tcW w:w="1334" w:type="dxa"/>
                  <w:vAlign w:val="center"/>
                </w:tcPr>
                <w:p w14:paraId="797CB9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rPr>
                      <w:rFonts w:hint="eastAsia"/>
                      <w:b w:val="0"/>
                      <w:bCs/>
                      <w:color w:val="FF0000"/>
                      <w:kern w:val="2"/>
                      <w:sz w:val="21"/>
                      <w:szCs w:val="21"/>
                      <w:vertAlign w:val="baseline"/>
                      <w:lang w:val="en-US" w:eastAsia="zh-CN"/>
                    </w:rPr>
                  </w:pPr>
                  <w:r>
                    <w:rPr>
                      <w:rFonts w:hint="eastAsia"/>
                      <w:b w:val="0"/>
                      <w:bCs/>
                      <w:color w:val="FF0000"/>
                      <w:kern w:val="2"/>
                      <w:sz w:val="21"/>
                      <w:szCs w:val="21"/>
                      <w:vertAlign w:val="baseline"/>
                      <w:lang w:val="en-US" w:eastAsia="zh-CN"/>
                    </w:rPr>
                    <w:t>本项目为锅炉技改项目，为现有项目供热，不属于</w:t>
                  </w:r>
                  <w:r>
                    <w:rPr>
                      <w:rFonts w:hint="eastAsia" w:eastAsia="宋体"/>
                      <w:b w:val="0"/>
                      <w:bCs/>
                      <w:color w:val="FF0000"/>
                      <w:kern w:val="2"/>
                      <w:sz w:val="21"/>
                      <w:szCs w:val="21"/>
                      <w:vertAlign w:val="baseline"/>
                      <w:lang w:val="en-US" w:eastAsia="zh-CN"/>
                    </w:rPr>
                    <w:t>“两高”项目</w:t>
                  </w:r>
                  <w:r>
                    <w:rPr>
                      <w:rFonts w:hint="eastAsia"/>
                      <w:b w:val="0"/>
                      <w:bCs/>
                      <w:color w:val="FF0000"/>
                      <w:kern w:val="2"/>
                      <w:sz w:val="21"/>
                      <w:szCs w:val="21"/>
                      <w:vertAlign w:val="baseline"/>
                      <w:lang w:val="en-US" w:eastAsia="zh-CN"/>
                    </w:rPr>
                    <w:t>。</w:t>
                  </w:r>
                </w:p>
              </w:tc>
              <w:tc>
                <w:tcPr>
                  <w:tcW w:w="962" w:type="dxa"/>
                  <w:shd w:val="clear" w:color="auto" w:fill="auto"/>
                  <w:vAlign w:val="center"/>
                </w:tcPr>
                <w:p w14:paraId="5D3509F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b w:val="0"/>
                      <w:bCs/>
                      <w:color w:val="FF0000"/>
                      <w:kern w:val="2"/>
                      <w:sz w:val="21"/>
                      <w:szCs w:val="21"/>
                      <w:vertAlign w:val="baseline"/>
                      <w:lang w:val="en-US" w:eastAsia="zh-CN"/>
                    </w:rPr>
                  </w:pPr>
                  <w:r>
                    <w:rPr>
                      <w:rFonts w:hint="eastAsia"/>
                      <w:b w:val="0"/>
                      <w:bCs/>
                      <w:color w:val="FF0000"/>
                      <w:kern w:val="2"/>
                      <w:sz w:val="21"/>
                      <w:szCs w:val="21"/>
                      <w:vertAlign w:val="baseline"/>
                      <w:lang w:val="en-US" w:eastAsia="zh-CN"/>
                    </w:rPr>
                    <w:t>不涉及</w:t>
                  </w:r>
                </w:p>
              </w:tc>
            </w:tr>
          </w:tbl>
          <w:p w14:paraId="78FED7EE">
            <w:pPr>
              <w:pStyle w:val="9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2" w:firstLineChars="200"/>
              <w:textAlignment w:val="auto"/>
              <w:rPr>
                <w:rFonts w:hint="default"/>
                <w:b/>
                <w:bCs/>
                <w:color w:val="FF0000"/>
                <w:kern w:val="2"/>
                <w:sz w:val="24"/>
                <w:szCs w:val="24"/>
              </w:rPr>
            </w:pPr>
            <w:r>
              <w:rPr>
                <w:rFonts w:hint="eastAsia" w:cs="Times New Roman"/>
                <w:b/>
                <w:bCs/>
                <w:color w:val="FF0000"/>
                <w:sz w:val="24"/>
                <w:szCs w:val="24"/>
                <w:lang w:val="en-US" w:eastAsia="zh-CN"/>
              </w:rPr>
              <w:t>9、与《江西省大气污染防治条例》</w:t>
            </w:r>
            <w:r>
              <w:rPr>
                <w:rFonts w:hint="default"/>
                <w:b/>
                <w:bCs/>
                <w:color w:val="FF0000"/>
                <w:kern w:val="2"/>
                <w:sz w:val="24"/>
                <w:szCs w:val="24"/>
              </w:rPr>
              <w:t>相符性</w:t>
            </w:r>
          </w:p>
          <w:p w14:paraId="2D22623D">
            <w:pPr>
              <w:pStyle w:val="9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rPr>
                <w:rFonts w:hint="eastAsia"/>
                <w:b/>
                <w:bCs w:val="0"/>
                <w:color w:val="FF0000"/>
                <w:kern w:val="2"/>
                <w:sz w:val="24"/>
                <w:szCs w:val="24"/>
                <w:lang w:val="en-US" w:eastAsia="zh-CN"/>
              </w:rPr>
            </w:pPr>
            <w:r>
              <w:rPr>
                <w:rFonts w:hint="default" w:ascii="Times New Roman" w:hAnsi="Times New Roman"/>
                <w:b/>
                <w:bCs w:val="0"/>
                <w:color w:val="FF0000"/>
                <w:sz w:val="24"/>
                <w:szCs w:val="24"/>
              </w:rPr>
              <w:t>表1-</w:t>
            </w:r>
            <w:r>
              <w:rPr>
                <w:rFonts w:hint="eastAsia"/>
                <w:b/>
                <w:bCs w:val="0"/>
                <w:color w:val="FF0000"/>
                <w:sz w:val="24"/>
                <w:szCs w:val="24"/>
                <w:lang w:val="en-US" w:eastAsia="zh-CN"/>
              </w:rPr>
              <w:t xml:space="preserve">10  </w:t>
            </w:r>
            <w:r>
              <w:rPr>
                <w:rFonts w:hint="eastAsia" w:cs="Times New Roman"/>
                <w:b/>
                <w:bCs w:val="0"/>
                <w:color w:val="FF0000"/>
                <w:sz w:val="24"/>
                <w:szCs w:val="24"/>
                <w:lang w:val="en-US" w:eastAsia="zh-CN"/>
              </w:rPr>
              <w:t>项目与《</w:t>
            </w:r>
            <w:r>
              <w:rPr>
                <w:rFonts w:hint="eastAsia" w:cs="Times New Roman"/>
                <w:b/>
                <w:bCs/>
                <w:color w:val="FF0000"/>
                <w:sz w:val="24"/>
                <w:szCs w:val="24"/>
                <w:lang w:val="en-US" w:eastAsia="zh-CN"/>
              </w:rPr>
              <w:t>江西省大气污染防治条例</w:t>
            </w:r>
            <w:r>
              <w:rPr>
                <w:rFonts w:hint="eastAsia" w:cs="Times New Roman"/>
                <w:b/>
                <w:bCs w:val="0"/>
                <w:color w:val="FF0000"/>
                <w:sz w:val="24"/>
                <w:szCs w:val="24"/>
                <w:lang w:val="en-US" w:eastAsia="zh-CN"/>
              </w:rPr>
              <w:t>》</w:t>
            </w:r>
            <w:r>
              <w:rPr>
                <w:rFonts w:hint="default"/>
                <w:b/>
                <w:bCs w:val="0"/>
                <w:color w:val="FF0000"/>
                <w:kern w:val="2"/>
                <w:sz w:val="24"/>
                <w:szCs w:val="24"/>
              </w:rPr>
              <w:t>相符性</w:t>
            </w:r>
            <w:r>
              <w:rPr>
                <w:rFonts w:hint="eastAsia"/>
                <w:b/>
                <w:bCs w:val="0"/>
                <w:color w:val="FF0000"/>
                <w:kern w:val="2"/>
                <w:sz w:val="24"/>
                <w:szCs w:val="24"/>
                <w:lang w:val="en-US" w:eastAsia="zh-CN"/>
              </w:rPr>
              <w:t>分析</w:t>
            </w:r>
          </w:p>
          <w:tbl>
            <w:tblPr>
              <w:tblStyle w:val="28"/>
              <w:tblW w:w="4998"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68"/>
              <w:gridCol w:w="4566"/>
              <w:gridCol w:w="1783"/>
              <w:gridCol w:w="957"/>
            </w:tblGrid>
            <w:tr w14:paraId="0A37406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99" w:type="pct"/>
                  <w:vAlign w:val="center"/>
                </w:tcPr>
                <w:p w14:paraId="173E2AF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bCs w:val="0"/>
                      <w:color w:val="FF0000"/>
                      <w:kern w:val="2"/>
                      <w:sz w:val="21"/>
                      <w:szCs w:val="21"/>
                      <w:vertAlign w:val="baseline"/>
                      <w:lang w:val="en-US" w:eastAsia="zh-CN"/>
                    </w:rPr>
                  </w:pPr>
                  <w:r>
                    <w:rPr>
                      <w:rFonts w:hint="eastAsia" w:eastAsia="宋体"/>
                      <w:b/>
                      <w:bCs w:val="0"/>
                      <w:color w:val="FF0000"/>
                      <w:kern w:val="2"/>
                      <w:sz w:val="21"/>
                      <w:szCs w:val="21"/>
                      <w:vertAlign w:val="baseline"/>
                      <w:lang w:val="en-US" w:eastAsia="zh-CN"/>
                    </w:rPr>
                    <w:t>序号</w:t>
                  </w:r>
                </w:p>
              </w:tc>
              <w:tc>
                <w:tcPr>
                  <w:tcW w:w="2936" w:type="pct"/>
                  <w:vAlign w:val="center"/>
                </w:tcPr>
                <w:p w14:paraId="7E0B48A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bCs w:val="0"/>
                      <w:color w:val="FF0000"/>
                      <w:kern w:val="2"/>
                      <w:sz w:val="21"/>
                      <w:szCs w:val="21"/>
                      <w:vertAlign w:val="baseline"/>
                      <w:lang w:val="en-US" w:eastAsia="zh-CN"/>
                    </w:rPr>
                  </w:pPr>
                  <w:r>
                    <w:rPr>
                      <w:rFonts w:hint="eastAsia" w:eastAsia="宋体"/>
                      <w:b/>
                      <w:bCs w:val="0"/>
                      <w:color w:val="FF0000"/>
                      <w:kern w:val="2"/>
                      <w:sz w:val="21"/>
                      <w:szCs w:val="21"/>
                      <w:vertAlign w:val="baseline"/>
                      <w:lang w:val="en-US" w:eastAsia="zh-CN"/>
                    </w:rPr>
                    <w:t>文件要求</w:t>
                  </w:r>
                </w:p>
              </w:tc>
              <w:tc>
                <w:tcPr>
                  <w:tcW w:w="1146" w:type="pct"/>
                  <w:vAlign w:val="center"/>
                </w:tcPr>
                <w:p w14:paraId="0FED79D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bCs w:val="0"/>
                      <w:color w:val="FF0000"/>
                      <w:kern w:val="2"/>
                      <w:sz w:val="21"/>
                      <w:szCs w:val="21"/>
                      <w:vertAlign w:val="baseline"/>
                      <w:lang w:val="en-US" w:eastAsia="zh-CN"/>
                    </w:rPr>
                  </w:pPr>
                  <w:r>
                    <w:rPr>
                      <w:rFonts w:hint="eastAsia"/>
                      <w:b/>
                      <w:bCs w:val="0"/>
                      <w:color w:val="FF0000"/>
                      <w:kern w:val="2"/>
                      <w:sz w:val="21"/>
                      <w:szCs w:val="21"/>
                      <w:vertAlign w:val="baseline"/>
                      <w:lang w:val="en-US" w:eastAsia="zh-CN"/>
                    </w:rPr>
                    <w:t>本项目情况</w:t>
                  </w:r>
                </w:p>
              </w:tc>
              <w:tc>
                <w:tcPr>
                  <w:tcW w:w="616" w:type="pct"/>
                  <w:vAlign w:val="center"/>
                </w:tcPr>
                <w:p w14:paraId="4079027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bCs w:val="0"/>
                      <w:color w:val="FF0000"/>
                      <w:kern w:val="2"/>
                      <w:sz w:val="21"/>
                      <w:szCs w:val="21"/>
                      <w:vertAlign w:val="baseline"/>
                      <w:lang w:val="en-US" w:eastAsia="zh-CN"/>
                    </w:rPr>
                  </w:pPr>
                  <w:r>
                    <w:rPr>
                      <w:rFonts w:hint="eastAsia" w:eastAsia="宋体"/>
                      <w:b/>
                      <w:bCs w:val="0"/>
                      <w:color w:val="FF0000"/>
                      <w:kern w:val="2"/>
                      <w:sz w:val="21"/>
                      <w:szCs w:val="21"/>
                      <w:vertAlign w:val="baseline"/>
                      <w:lang w:val="en-US" w:eastAsia="zh-CN"/>
                    </w:rPr>
                    <w:t>相符性</w:t>
                  </w:r>
                </w:p>
              </w:tc>
            </w:tr>
            <w:tr w14:paraId="1C62166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99" w:type="pct"/>
                  <w:vAlign w:val="center"/>
                </w:tcPr>
                <w:p w14:paraId="781A19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val="0"/>
                      <w:bCs/>
                      <w:color w:val="FF0000"/>
                      <w:kern w:val="2"/>
                      <w:sz w:val="21"/>
                      <w:szCs w:val="21"/>
                      <w:vertAlign w:val="baseline"/>
                      <w:lang w:val="en-US" w:eastAsia="zh-CN"/>
                    </w:rPr>
                  </w:pPr>
                  <w:r>
                    <w:rPr>
                      <w:rFonts w:hint="eastAsia" w:eastAsia="宋体"/>
                      <w:b w:val="0"/>
                      <w:bCs/>
                      <w:color w:val="FF0000"/>
                      <w:kern w:val="2"/>
                      <w:sz w:val="21"/>
                      <w:szCs w:val="21"/>
                      <w:vertAlign w:val="baseline"/>
                      <w:lang w:val="en-US" w:eastAsia="zh-CN"/>
                    </w:rPr>
                    <w:t>1</w:t>
                  </w:r>
                </w:p>
              </w:tc>
              <w:tc>
                <w:tcPr>
                  <w:tcW w:w="2936" w:type="pct"/>
                  <w:vAlign w:val="center"/>
                </w:tcPr>
                <w:p w14:paraId="4FC9AB1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eastAsia="宋体"/>
                      <w:b/>
                      <w:bCs w:val="0"/>
                      <w:color w:val="FF0000"/>
                      <w:kern w:val="2"/>
                      <w:sz w:val="21"/>
                      <w:szCs w:val="21"/>
                      <w:vertAlign w:val="baseline"/>
                      <w:lang w:val="en-US" w:eastAsia="zh-CN"/>
                    </w:rPr>
                  </w:pPr>
                  <w:r>
                    <w:rPr>
                      <w:rFonts w:hint="eastAsia" w:eastAsia="宋体"/>
                      <w:b w:val="0"/>
                      <w:bCs/>
                      <w:color w:val="FF0000"/>
                      <w:kern w:val="2"/>
                      <w:sz w:val="21"/>
                      <w:szCs w:val="21"/>
                      <w:vertAlign w:val="baseline"/>
                      <w:lang w:val="en-US" w:eastAsia="zh-CN"/>
                    </w:rPr>
                    <w:t>本省控制新建、扩建钢铁、石油、化工、有色金属、水泥、平板玻璃、建筑陶瓷等行业的高排放、高污染项目。对钢铁、石油、化工、煤炭、电力、有色金属、水泥、平板玻璃、建筑陶瓷等重点行业依法实施清洁生产审核，采用先进清洁生产技术、工艺和装备。城市建成区内人口密集区、环境脆弱敏感区周边的钢铁、石油、化工、有色金属、水泥、平板玻璃、建筑陶瓷等行业中的高排放、高污染项目，应当逐步进行搬迁、改造或者转型、退出。</w:t>
                  </w:r>
                </w:p>
              </w:tc>
              <w:tc>
                <w:tcPr>
                  <w:tcW w:w="1146" w:type="pct"/>
                  <w:vAlign w:val="center"/>
                </w:tcPr>
                <w:p w14:paraId="612B5A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eastAsia="宋体"/>
                      <w:b w:val="0"/>
                      <w:bCs/>
                      <w:color w:val="FF0000"/>
                      <w:kern w:val="2"/>
                      <w:sz w:val="21"/>
                      <w:szCs w:val="21"/>
                      <w:vertAlign w:val="baseline"/>
                      <w:lang w:val="en-US" w:eastAsia="zh-CN"/>
                    </w:rPr>
                  </w:pPr>
                  <w:r>
                    <w:rPr>
                      <w:rFonts w:hint="eastAsia"/>
                      <w:b w:val="0"/>
                      <w:bCs/>
                      <w:color w:val="FF0000"/>
                      <w:kern w:val="2"/>
                      <w:sz w:val="21"/>
                      <w:szCs w:val="21"/>
                      <w:vertAlign w:val="baseline"/>
                      <w:lang w:val="en-US" w:eastAsia="zh-CN"/>
                    </w:rPr>
                    <w:t>本项目为锅炉技改项目，为现有项目供热，不属于</w:t>
                  </w:r>
                  <w:r>
                    <w:rPr>
                      <w:rFonts w:hint="eastAsia" w:eastAsia="宋体"/>
                      <w:b w:val="0"/>
                      <w:bCs/>
                      <w:color w:val="FF0000"/>
                      <w:kern w:val="2"/>
                      <w:sz w:val="21"/>
                      <w:szCs w:val="21"/>
                      <w:vertAlign w:val="baseline"/>
                      <w:lang w:val="en-US" w:eastAsia="zh-CN"/>
                    </w:rPr>
                    <w:t>新建、扩建钢铁、石油、化工、有色金属、水泥、平板玻璃、建筑陶瓷等行业的高排放、高污染项目</w:t>
                  </w:r>
                  <w:r>
                    <w:rPr>
                      <w:rFonts w:hint="eastAsia"/>
                      <w:b w:val="0"/>
                      <w:bCs/>
                      <w:color w:val="FF0000"/>
                      <w:kern w:val="2"/>
                      <w:sz w:val="21"/>
                      <w:szCs w:val="21"/>
                      <w:vertAlign w:val="baseline"/>
                      <w:lang w:val="en-US" w:eastAsia="zh-CN"/>
                    </w:rPr>
                    <w:t>。</w:t>
                  </w:r>
                </w:p>
              </w:tc>
              <w:tc>
                <w:tcPr>
                  <w:tcW w:w="616" w:type="pct"/>
                  <w:vAlign w:val="center"/>
                </w:tcPr>
                <w:p w14:paraId="1794146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val="0"/>
                      <w:bCs/>
                      <w:color w:val="FF0000"/>
                      <w:kern w:val="2"/>
                      <w:sz w:val="21"/>
                      <w:szCs w:val="21"/>
                      <w:vertAlign w:val="baseline"/>
                      <w:lang w:val="en-US" w:eastAsia="zh-CN"/>
                    </w:rPr>
                  </w:pPr>
                  <w:r>
                    <w:rPr>
                      <w:rFonts w:hint="eastAsia"/>
                      <w:b w:val="0"/>
                      <w:bCs/>
                      <w:color w:val="FF0000"/>
                      <w:kern w:val="2"/>
                      <w:sz w:val="21"/>
                      <w:szCs w:val="21"/>
                      <w:vertAlign w:val="baseline"/>
                      <w:lang w:val="en-US" w:eastAsia="zh-CN"/>
                    </w:rPr>
                    <w:t>不涉及</w:t>
                  </w:r>
                </w:p>
              </w:tc>
            </w:tr>
            <w:tr w14:paraId="68386CA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99" w:type="pct"/>
                  <w:vAlign w:val="center"/>
                </w:tcPr>
                <w:p w14:paraId="6E2CF06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bCs w:val="0"/>
                      <w:color w:val="FF0000"/>
                      <w:kern w:val="2"/>
                      <w:sz w:val="21"/>
                      <w:szCs w:val="21"/>
                      <w:vertAlign w:val="baseline"/>
                      <w:lang w:val="en-US" w:eastAsia="zh-CN"/>
                    </w:rPr>
                  </w:pPr>
                  <w:r>
                    <w:rPr>
                      <w:rFonts w:hint="eastAsia" w:eastAsia="宋体"/>
                      <w:b w:val="0"/>
                      <w:bCs/>
                      <w:color w:val="FF0000"/>
                      <w:kern w:val="2"/>
                      <w:sz w:val="21"/>
                      <w:szCs w:val="21"/>
                      <w:vertAlign w:val="baseline"/>
                      <w:lang w:val="en-US" w:eastAsia="zh-CN"/>
                    </w:rPr>
                    <w:t>2</w:t>
                  </w:r>
                </w:p>
              </w:tc>
              <w:tc>
                <w:tcPr>
                  <w:tcW w:w="2936" w:type="pct"/>
                  <w:vAlign w:val="center"/>
                </w:tcPr>
                <w:p w14:paraId="0ECEFC9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eastAsia="宋体"/>
                      <w:b/>
                      <w:bCs w:val="0"/>
                      <w:color w:val="FF0000"/>
                      <w:kern w:val="2"/>
                      <w:sz w:val="21"/>
                      <w:szCs w:val="21"/>
                      <w:vertAlign w:val="baseline"/>
                      <w:lang w:val="en-US" w:eastAsia="zh-CN"/>
                    </w:rPr>
                  </w:pPr>
                  <w:r>
                    <w:rPr>
                      <w:rFonts w:hint="eastAsia" w:eastAsia="宋体"/>
                      <w:b w:val="0"/>
                      <w:bCs/>
                      <w:color w:val="FF0000"/>
                      <w:kern w:val="2"/>
                      <w:sz w:val="21"/>
                      <w:szCs w:val="21"/>
                      <w:vertAlign w:val="baseline"/>
                      <w:lang w:val="en-US" w:eastAsia="zh-CN"/>
                    </w:rPr>
                    <w:t>排污单位应当加强大气污染物排放精细化管理，对不经过排气筒集中排放的大气污染物，采取必要的密闭、集中收集、覆盖、吸附、清扫、洒水等处理措施，控制生产环节以及内部物料的堆存、传输、装卸等环节产生的粉尘和气态污染物的排放。</w:t>
                  </w:r>
                </w:p>
              </w:tc>
              <w:tc>
                <w:tcPr>
                  <w:tcW w:w="1146" w:type="pct"/>
                  <w:vAlign w:val="center"/>
                </w:tcPr>
                <w:p w14:paraId="4C2AA21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eastAsia="宋体"/>
                      <w:b w:val="0"/>
                      <w:bCs/>
                      <w:color w:val="FF0000"/>
                      <w:kern w:val="2"/>
                      <w:sz w:val="21"/>
                      <w:szCs w:val="21"/>
                      <w:vertAlign w:val="baseline"/>
                      <w:lang w:val="en-US" w:eastAsia="zh-CN"/>
                    </w:rPr>
                  </w:pPr>
                  <w:r>
                    <w:rPr>
                      <w:rFonts w:hint="eastAsia"/>
                      <w:b w:val="0"/>
                      <w:bCs/>
                      <w:color w:val="FF0000"/>
                      <w:kern w:val="2"/>
                      <w:sz w:val="21"/>
                      <w:szCs w:val="21"/>
                      <w:vertAlign w:val="baseline"/>
                      <w:lang w:val="en-US" w:eastAsia="zh-CN"/>
                    </w:rPr>
                    <w:t>本项目锅炉烟气经处理后达标排放。</w:t>
                  </w:r>
                </w:p>
              </w:tc>
              <w:tc>
                <w:tcPr>
                  <w:tcW w:w="616" w:type="pct"/>
                  <w:vAlign w:val="center"/>
                </w:tcPr>
                <w:p w14:paraId="332A712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eastAsia="宋体"/>
                      <w:b w:val="0"/>
                      <w:bCs/>
                      <w:color w:val="FF0000"/>
                      <w:kern w:val="2"/>
                      <w:sz w:val="21"/>
                      <w:szCs w:val="21"/>
                      <w:vertAlign w:val="baseline"/>
                      <w:lang w:val="en-US" w:eastAsia="zh-CN"/>
                    </w:rPr>
                  </w:pPr>
                  <w:r>
                    <w:rPr>
                      <w:rFonts w:hint="eastAsia"/>
                      <w:b w:val="0"/>
                      <w:bCs/>
                      <w:color w:val="FF0000"/>
                      <w:kern w:val="2"/>
                      <w:sz w:val="21"/>
                      <w:szCs w:val="21"/>
                      <w:vertAlign w:val="baseline"/>
                      <w:lang w:val="en-US" w:eastAsia="zh-CN"/>
                    </w:rPr>
                    <w:t>符合</w:t>
                  </w:r>
                </w:p>
              </w:tc>
            </w:tr>
            <w:tr w14:paraId="21F68E3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299" w:type="pct"/>
                  <w:vAlign w:val="center"/>
                </w:tcPr>
                <w:p w14:paraId="101FE6E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val="0"/>
                      <w:bCs/>
                      <w:color w:val="FF0000"/>
                      <w:kern w:val="2"/>
                      <w:sz w:val="21"/>
                      <w:szCs w:val="21"/>
                      <w:vertAlign w:val="baseline"/>
                      <w:lang w:val="en-US" w:eastAsia="zh-CN"/>
                    </w:rPr>
                  </w:pPr>
                  <w:r>
                    <w:rPr>
                      <w:rFonts w:hint="eastAsia" w:eastAsia="宋体"/>
                      <w:b w:val="0"/>
                      <w:bCs/>
                      <w:color w:val="FF0000"/>
                      <w:kern w:val="2"/>
                      <w:sz w:val="21"/>
                      <w:szCs w:val="21"/>
                      <w:vertAlign w:val="baseline"/>
                      <w:lang w:val="en-US" w:eastAsia="zh-CN"/>
                    </w:rPr>
                    <w:t>3</w:t>
                  </w:r>
                </w:p>
              </w:tc>
              <w:tc>
                <w:tcPr>
                  <w:tcW w:w="2936" w:type="pct"/>
                  <w:vAlign w:val="center"/>
                </w:tcPr>
                <w:p w14:paraId="62D4346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eastAsia="宋体"/>
                      <w:b/>
                      <w:bCs w:val="0"/>
                      <w:color w:val="FF0000"/>
                      <w:kern w:val="2"/>
                      <w:sz w:val="21"/>
                      <w:szCs w:val="21"/>
                      <w:vertAlign w:val="baseline"/>
                      <w:lang w:val="en-US" w:eastAsia="zh-CN"/>
                    </w:rPr>
                  </w:pPr>
                  <w:r>
                    <w:rPr>
                      <w:rFonts w:hint="eastAsia" w:eastAsia="宋体"/>
                      <w:b w:val="0"/>
                      <w:bCs/>
                      <w:color w:val="FF0000"/>
                      <w:kern w:val="2"/>
                      <w:sz w:val="21"/>
                      <w:szCs w:val="21"/>
                      <w:vertAlign w:val="baseline"/>
                      <w:lang w:val="en-US" w:eastAsia="zh-CN"/>
                    </w:rPr>
                    <w:t>生产、进口、销售、使用含挥发性有机物的原材料和产品的，其挥发性有机物含量应当符合质量标准或者要求。</w:t>
                  </w:r>
                </w:p>
              </w:tc>
              <w:tc>
                <w:tcPr>
                  <w:tcW w:w="1146" w:type="pct"/>
                  <w:vAlign w:val="center"/>
                </w:tcPr>
                <w:p w14:paraId="6213628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eastAsia="宋体"/>
                      <w:b w:val="0"/>
                      <w:bCs/>
                      <w:color w:val="FF0000"/>
                      <w:kern w:val="2"/>
                      <w:sz w:val="21"/>
                      <w:szCs w:val="21"/>
                      <w:vertAlign w:val="baseline"/>
                      <w:lang w:val="en-US" w:eastAsia="zh-CN"/>
                    </w:rPr>
                  </w:pPr>
                  <w:r>
                    <w:rPr>
                      <w:rFonts w:hint="eastAsia"/>
                      <w:b w:val="0"/>
                      <w:bCs/>
                      <w:color w:val="FF0000"/>
                      <w:kern w:val="2"/>
                      <w:sz w:val="21"/>
                      <w:szCs w:val="21"/>
                      <w:vertAlign w:val="baseline"/>
                      <w:lang w:val="en-US" w:eastAsia="zh-CN"/>
                    </w:rPr>
                    <w:t>本项目为锅炉技改项目，为现有项目供热，不涉及</w:t>
                  </w:r>
                  <w:r>
                    <w:rPr>
                      <w:rFonts w:hint="eastAsia" w:eastAsia="宋体"/>
                      <w:b w:val="0"/>
                      <w:bCs/>
                      <w:color w:val="FF0000"/>
                      <w:kern w:val="2"/>
                      <w:sz w:val="21"/>
                      <w:szCs w:val="21"/>
                      <w:vertAlign w:val="baseline"/>
                      <w:lang w:val="en-US" w:eastAsia="zh-CN"/>
                    </w:rPr>
                    <w:t>挥发性有机物的原材料和产品</w:t>
                  </w:r>
                  <w:r>
                    <w:rPr>
                      <w:rFonts w:hint="eastAsia"/>
                      <w:b w:val="0"/>
                      <w:bCs/>
                      <w:color w:val="FF0000"/>
                      <w:kern w:val="2"/>
                      <w:sz w:val="21"/>
                      <w:szCs w:val="21"/>
                      <w:vertAlign w:val="baseline"/>
                      <w:lang w:val="en-US" w:eastAsia="zh-CN"/>
                    </w:rPr>
                    <w:t>。</w:t>
                  </w:r>
                </w:p>
              </w:tc>
              <w:tc>
                <w:tcPr>
                  <w:tcW w:w="616" w:type="pct"/>
                  <w:vAlign w:val="center"/>
                </w:tcPr>
                <w:p w14:paraId="3627754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eastAsia="宋体"/>
                      <w:b w:val="0"/>
                      <w:bCs/>
                      <w:color w:val="FF0000"/>
                      <w:kern w:val="2"/>
                      <w:sz w:val="21"/>
                      <w:szCs w:val="21"/>
                      <w:vertAlign w:val="baseline"/>
                      <w:lang w:val="en-US" w:eastAsia="zh-CN"/>
                    </w:rPr>
                  </w:pPr>
                  <w:r>
                    <w:rPr>
                      <w:rFonts w:hint="eastAsia"/>
                      <w:b w:val="0"/>
                      <w:bCs/>
                      <w:color w:val="FF0000"/>
                      <w:kern w:val="2"/>
                      <w:sz w:val="21"/>
                      <w:szCs w:val="21"/>
                      <w:vertAlign w:val="baseline"/>
                      <w:lang w:val="en-US" w:eastAsia="zh-CN"/>
                    </w:rPr>
                    <w:t>不涉及</w:t>
                  </w:r>
                </w:p>
              </w:tc>
            </w:tr>
            <w:tr w14:paraId="4DF4666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99" w:type="pct"/>
                  <w:vAlign w:val="center"/>
                </w:tcPr>
                <w:p w14:paraId="635A42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val="0"/>
                      <w:bCs/>
                      <w:color w:val="FF0000"/>
                      <w:kern w:val="2"/>
                      <w:sz w:val="21"/>
                      <w:szCs w:val="21"/>
                      <w:vertAlign w:val="baseline"/>
                      <w:lang w:val="en-US" w:eastAsia="zh-CN"/>
                    </w:rPr>
                  </w:pPr>
                  <w:r>
                    <w:rPr>
                      <w:rFonts w:hint="eastAsia" w:eastAsia="宋体"/>
                      <w:b w:val="0"/>
                      <w:bCs/>
                      <w:color w:val="FF0000"/>
                      <w:kern w:val="2"/>
                      <w:sz w:val="21"/>
                      <w:szCs w:val="21"/>
                      <w:vertAlign w:val="baseline"/>
                      <w:lang w:val="en-US" w:eastAsia="zh-CN"/>
                    </w:rPr>
                    <w:t>4</w:t>
                  </w:r>
                </w:p>
              </w:tc>
              <w:tc>
                <w:tcPr>
                  <w:tcW w:w="2936" w:type="pct"/>
                </w:tcPr>
                <w:p w14:paraId="01C9373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eastAsia="宋体"/>
                      <w:b/>
                      <w:bCs w:val="0"/>
                      <w:color w:val="FF0000"/>
                      <w:kern w:val="2"/>
                      <w:sz w:val="21"/>
                      <w:szCs w:val="21"/>
                      <w:vertAlign w:val="baseline"/>
                      <w:lang w:val="en-US" w:eastAsia="zh-CN"/>
                    </w:rPr>
                  </w:pPr>
                  <w:r>
                    <w:rPr>
                      <w:rFonts w:hint="eastAsia"/>
                      <w:color w:val="FF0000"/>
                    </w:rPr>
                    <w:t>向大气排放恶臭污染物的石油、化工、制药、制革、生物发酵、饲料加工等企业以及垃圾处理厂、城区垃圾中转站、污水处理厂，应当按照相关规定，设置合理的防护距离，安装净化装置或者采取其他措施，减少恶臭污染物排放，防止恶臭对周边环境产生不良影响。</w:t>
                  </w:r>
                </w:p>
              </w:tc>
              <w:tc>
                <w:tcPr>
                  <w:tcW w:w="1146" w:type="pct"/>
                  <w:vAlign w:val="center"/>
                </w:tcPr>
                <w:p w14:paraId="089BB9A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eastAsia="宋体"/>
                      <w:b w:val="0"/>
                      <w:bCs/>
                      <w:color w:val="FF0000"/>
                      <w:kern w:val="2"/>
                      <w:sz w:val="21"/>
                      <w:szCs w:val="21"/>
                      <w:vertAlign w:val="baseline"/>
                      <w:lang w:val="en-US" w:eastAsia="zh-CN"/>
                    </w:rPr>
                  </w:pPr>
                  <w:r>
                    <w:rPr>
                      <w:rFonts w:hint="eastAsia"/>
                      <w:b w:val="0"/>
                      <w:bCs/>
                      <w:color w:val="FF0000"/>
                      <w:kern w:val="2"/>
                      <w:sz w:val="21"/>
                      <w:szCs w:val="21"/>
                      <w:vertAlign w:val="baseline"/>
                      <w:lang w:val="en-US" w:eastAsia="zh-CN"/>
                    </w:rPr>
                    <w:t>本项目为锅炉技改项目，为现有项目供热，外排废气为锅炉烟气，不涉及</w:t>
                  </w:r>
                  <w:r>
                    <w:rPr>
                      <w:rFonts w:hint="eastAsia"/>
                      <w:color w:val="FF0000"/>
                    </w:rPr>
                    <w:t>恶臭污染物排放</w:t>
                  </w:r>
                  <w:r>
                    <w:rPr>
                      <w:rFonts w:hint="eastAsia"/>
                      <w:b w:val="0"/>
                      <w:bCs/>
                      <w:color w:val="FF0000"/>
                      <w:kern w:val="2"/>
                      <w:sz w:val="21"/>
                      <w:szCs w:val="21"/>
                      <w:vertAlign w:val="baseline"/>
                      <w:lang w:val="en-US" w:eastAsia="zh-CN"/>
                    </w:rPr>
                    <w:t>。</w:t>
                  </w:r>
                </w:p>
              </w:tc>
              <w:tc>
                <w:tcPr>
                  <w:tcW w:w="616" w:type="pct"/>
                  <w:vAlign w:val="center"/>
                </w:tcPr>
                <w:p w14:paraId="2985C83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eastAsia="宋体"/>
                      <w:b w:val="0"/>
                      <w:bCs/>
                      <w:color w:val="FF0000"/>
                      <w:kern w:val="2"/>
                      <w:sz w:val="21"/>
                      <w:szCs w:val="21"/>
                      <w:vertAlign w:val="baseline"/>
                      <w:lang w:val="en-US" w:eastAsia="zh-CN"/>
                    </w:rPr>
                  </w:pPr>
                  <w:r>
                    <w:rPr>
                      <w:rFonts w:hint="eastAsia"/>
                      <w:b w:val="0"/>
                      <w:bCs/>
                      <w:color w:val="FF0000"/>
                      <w:kern w:val="2"/>
                      <w:sz w:val="21"/>
                      <w:szCs w:val="21"/>
                      <w:vertAlign w:val="baseline"/>
                      <w:lang w:val="en-US" w:eastAsia="zh-CN"/>
                    </w:rPr>
                    <w:t>不涉及</w:t>
                  </w:r>
                </w:p>
              </w:tc>
            </w:tr>
            <w:tr w14:paraId="382B506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99" w:type="pct"/>
                  <w:vAlign w:val="center"/>
                </w:tcPr>
                <w:p w14:paraId="173B30E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val="0"/>
                      <w:bCs/>
                      <w:color w:val="FF0000"/>
                      <w:kern w:val="2"/>
                      <w:sz w:val="21"/>
                      <w:szCs w:val="21"/>
                      <w:vertAlign w:val="baseline"/>
                      <w:lang w:val="en-US" w:eastAsia="zh-CN"/>
                    </w:rPr>
                  </w:pPr>
                  <w:r>
                    <w:rPr>
                      <w:rFonts w:hint="eastAsia" w:eastAsia="宋体"/>
                      <w:b w:val="0"/>
                      <w:bCs/>
                      <w:color w:val="FF0000"/>
                      <w:kern w:val="2"/>
                      <w:sz w:val="21"/>
                      <w:szCs w:val="21"/>
                      <w:vertAlign w:val="baseline"/>
                      <w:lang w:val="en-US" w:eastAsia="zh-CN"/>
                    </w:rPr>
                    <w:t>5</w:t>
                  </w:r>
                </w:p>
              </w:tc>
              <w:tc>
                <w:tcPr>
                  <w:tcW w:w="2936" w:type="pct"/>
                  <w:vAlign w:val="center"/>
                </w:tcPr>
                <w:p w14:paraId="7371FD2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eastAsia="宋体"/>
                      <w:b w:val="0"/>
                      <w:bCs/>
                      <w:color w:val="FF0000"/>
                      <w:kern w:val="2"/>
                      <w:sz w:val="21"/>
                      <w:szCs w:val="21"/>
                      <w:vertAlign w:val="baseline"/>
                      <w:lang w:val="en-US" w:eastAsia="zh-CN"/>
                    </w:rPr>
                  </w:pPr>
                  <w:r>
                    <w:rPr>
                      <w:rFonts w:hint="eastAsia" w:eastAsia="宋体"/>
                      <w:b w:val="0"/>
                      <w:bCs/>
                      <w:color w:val="FF0000"/>
                      <w:kern w:val="2"/>
                      <w:sz w:val="21"/>
                      <w:szCs w:val="21"/>
                      <w:vertAlign w:val="baseline"/>
                      <w:lang w:val="en-US" w:eastAsia="zh-CN"/>
                    </w:rPr>
                    <w:t>鼓励燃用优质煤炭，禁止进口、销售、燃用不符合质量标准的高硫分、高灰分煤炭</w:t>
                  </w:r>
                  <w:r>
                    <w:rPr>
                      <w:rFonts w:hint="eastAsia"/>
                      <w:b w:val="0"/>
                      <w:bCs/>
                      <w:color w:val="FF0000"/>
                      <w:kern w:val="2"/>
                      <w:sz w:val="21"/>
                      <w:szCs w:val="21"/>
                      <w:vertAlign w:val="baseline"/>
                      <w:lang w:val="en-US" w:eastAsia="zh-CN"/>
                    </w:rPr>
                    <w:t>。</w:t>
                  </w:r>
                </w:p>
              </w:tc>
              <w:tc>
                <w:tcPr>
                  <w:tcW w:w="1146" w:type="pct"/>
                  <w:vAlign w:val="center"/>
                </w:tcPr>
                <w:p w14:paraId="4152B4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rPr>
                      <w:rFonts w:hint="default"/>
                      <w:b w:val="0"/>
                      <w:bCs/>
                      <w:color w:val="FF0000"/>
                      <w:kern w:val="2"/>
                      <w:sz w:val="21"/>
                      <w:szCs w:val="21"/>
                      <w:vertAlign w:val="baseline"/>
                      <w:lang w:val="en-US" w:eastAsia="zh-CN"/>
                    </w:rPr>
                  </w:pPr>
                  <w:r>
                    <w:rPr>
                      <w:rFonts w:hint="eastAsia"/>
                      <w:b w:val="0"/>
                      <w:bCs/>
                      <w:color w:val="FF0000"/>
                      <w:kern w:val="2"/>
                      <w:sz w:val="21"/>
                      <w:szCs w:val="21"/>
                      <w:vertAlign w:val="baseline"/>
                      <w:lang w:val="en-US" w:eastAsia="zh-CN"/>
                    </w:rPr>
                    <w:t>本项目锅炉为生物质锅炉，采用成型生物质作为锅炉燃料。</w:t>
                  </w:r>
                </w:p>
              </w:tc>
              <w:tc>
                <w:tcPr>
                  <w:tcW w:w="616" w:type="pct"/>
                  <w:shd w:val="clear" w:color="auto" w:fill="auto"/>
                  <w:vAlign w:val="center"/>
                </w:tcPr>
                <w:p w14:paraId="71D6274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color w:val="FF0000"/>
                      <w:kern w:val="2"/>
                      <w:sz w:val="21"/>
                      <w:szCs w:val="21"/>
                      <w:vertAlign w:val="baseline"/>
                      <w:lang w:val="en-US" w:eastAsia="zh-CN" w:bidi="ar-SA"/>
                    </w:rPr>
                  </w:pPr>
                  <w:r>
                    <w:rPr>
                      <w:rFonts w:hint="eastAsia"/>
                      <w:b w:val="0"/>
                      <w:bCs/>
                      <w:color w:val="FF0000"/>
                      <w:kern w:val="2"/>
                      <w:sz w:val="21"/>
                      <w:szCs w:val="21"/>
                      <w:vertAlign w:val="baseline"/>
                      <w:lang w:val="en-US" w:eastAsia="zh-CN"/>
                    </w:rPr>
                    <w:t>不涉及</w:t>
                  </w:r>
                </w:p>
              </w:tc>
            </w:tr>
          </w:tbl>
          <w:p w14:paraId="3C9F0730">
            <w:pPr>
              <w:pStyle w:val="9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2" w:firstLineChars="200"/>
              <w:textAlignment w:val="auto"/>
              <w:rPr>
                <w:rFonts w:hint="default"/>
                <w:b/>
                <w:bCs/>
                <w:color w:val="FF0000"/>
                <w:kern w:val="2"/>
                <w:sz w:val="24"/>
                <w:szCs w:val="24"/>
              </w:rPr>
            </w:pPr>
            <w:r>
              <w:rPr>
                <w:rFonts w:hint="eastAsia" w:cs="Times New Roman"/>
                <w:b/>
                <w:bCs/>
                <w:color w:val="FF0000"/>
                <w:sz w:val="24"/>
                <w:szCs w:val="24"/>
                <w:lang w:val="en-US" w:eastAsia="zh-CN"/>
              </w:rPr>
              <w:t>10、与宜春市《关于进一步提高我市生物质锅炉环保水平的通知》</w:t>
            </w:r>
            <w:r>
              <w:rPr>
                <w:rFonts w:hint="default"/>
                <w:b/>
                <w:bCs/>
                <w:color w:val="FF0000"/>
                <w:kern w:val="2"/>
                <w:sz w:val="24"/>
                <w:szCs w:val="24"/>
              </w:rPr>
              <w:t>相符性</w:t>
            </w:r>
          </w:p>
          <w:p w14:paraId="130F1D21">
            <w:pPr>
              <w:pStyle w:val="9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firstLine="482" w:firstLineChars="200"/>
              <w:jc w:val="center"/>
              <w:textAlignment w:val="auto"/>
              <w:rPr>
                <w:rFonts w:hint="eastAsia"/>
                <w:b/>
                <w:bCs w:val="0"/>
                <w:color w:val="FF0000"/>
                <w:kern w:val="2"/>
                <w:sz w:val="24"/>
                <w:szCs w:val="24"/>
                <w:lang w:val="en-US" w:eastAsia="zh-CN"/>
              </w:rPr>
            </w:pPr>
            <w:r>
              <w:rPr>
                <w:rFonts w:hint="default" w:ascii="Times New Roman" w:hAnsi="Times New Roman"/>
                <w:b/>
                <w:bCs w:val="0"/>
                <w:color w:val="FF0000"/>
                <w:sz w:val="24"/>
                <w:szCs w:val="24"/>
              </w:rPr>
              <w:t>表1-</w:t>
            </w:r>
            <w:r>
              <w:rPr>
                <w:rFonts w:hint="eastAsia" w:ascii="Times New Roman" w:hAnsi="Times New Roman"/>
                <w:b/>
                <w:bCs w:val="0"/>
                <w:color w:val="FF0000"/>
                <w:sz w:val="24"/>
                <w:szCs w:val="24"/>
                <w:lang w:val="en-US" w:eastAsia="zh-CN"/>
              </w:rPr>
              <w:t>1</w:t>
            </w:r>
            <w:r>
              <w:rPr>
                <w:rFonts w:hint="eastAsia"/>
                <w:b/>
                <w:bCs w:val="0"/>
                <w:color w:val="FF0000"/>
                <w:sz w:val="24"/>
                <w:szCs w:val="24"/>
                <w:lang w:val="en-US" w:eastAsia="zh-CN"/>
              </w:rPr>
              <w:t xml:space="preserve">1  </w:t>
            </w:r>
            <w:r>
              <w:rPr>
                <w:rFonts w:hint="eastAsia" w:cs="Times New Roman"/>
                <w:b/>
                <w:bCs w:val="0"/>
                <w:color w:val="FF0000"/>
                <w:sz w:val="24"/>
                <w:szCs w:val="24"/>
                <w:lang w:val="en-US" w:eastAsia="zh-CN"/>
              </w:rPr>
              <w:t>项目与</w:t>
            </w:r>
            <w:r>
              <w:rPr>
                <w:rFonts w:hint="eastAsia" w:cs="Times New Roman"/>
                <w:b/>
                <w:bCs/>
                <w:color w:val="FF0000"/>
                <w:sz w:val="24"/>
                <w:szCs w:val="24"/>
                <w:lang w:val="en-US" w:eastAsia="zh-CN"/>
              </w:rPr>
              <w:t>宜春市《关于进一步提高我市生物质锅炉环保水平的通知》</w:t>
            </w:r>
            <w:r>
              <w:rPr>
                <w:rFonts w:hint="default"/>
                <w:b/>
                <w:bCs w:val="0"/>
                <w:color w:val="FF0000"/>
                <w:kern w:val="2"/>
                <w:sz w:val="24"/>
                <w:szCs w:val="24"/>
              </w:rPr>
              <w:t>相符性</w:t>
            </w:r>
            <w:r>
              <w:rPr>
                <w:rFonts w:hint="eastAsia"/>
                <w:b/>
                <w:bCs w:val="0"/>
                <w:color w:val="FF0000"/>
                <w:kern w:val="2"/>
                <w:sz w:val="24"/>
                <w:szCs w:val="24"/>
                <w:lang w:val="en-US" w:eastAsia="zh-CN"/>
              </w:rPr>
              <w:t>分析</w:t>
            </w:r>
          </w:p>
          <w:tbl>
            <w:tblPr>
              <w:tblStyle w:val="28"/>
              <w:tblW w:w="4998"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68"/>
              <w:gridCol w:w="4566"/>
              <w:gridCol w:w="1783"/>
              <w:gridCol w:w="957"/>
            </w:tblGrid>
            <w:tr w14:paraId="6DF048F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99" w:type="pct"/>
                  <w:vAlign w:val="center"/>
                </w:tcPr>
                <w:p w14:paraId="6FCB611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bCs w:val="0"/>
                      <w:color w:val="FF0000"/>
                      <w:kern w:val="2"/>
                      <w:sz w:val="21"/>
                      <w:szCs w:val="21"/>
                      <w:vertAlign w:val="baseline"/>
                      <w:lang w:val="en-US" w:eastAsia="zh-CN"/>
                    </w:rPr>
                  </w:pPr>
                  <w:r>
                    <w:rPr>
                      <w:rFonts w:hint="eastAsia" w:eastAsia="宋体"/>
                      <w:b/>
                      <w:bCs w:val="0"/>
                      <w:color w:val="FF0000"/>
                      <w:kern w:val="2"/>
                      <w:sz w:val="21"/>
                      <w:szCs w:val="21"/>
                      <w:vertAlign w:val="baseline"/>
                      <w:lang w:val="en-US" w:eastAsia="zh-CN"/>
                    </w:rPr>
                    <w:t>序号</w:t>
                  </w:r>
                </w:p>
              </w:tc>
              <w:tc>
                <w:tcPr>
                  <w:tcW w:w="2936" w:type="pct"/>
                  <w:vAlign w:val="center"/>
                </w:tcPr>
                <w:p w14:paraId="0D2111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bCs w:val="0"/>
                      <w:color w:val="FF0000"/>
                      <w:kern w:val="2"/>
                      <w:sz w:val="21"/>
                      <w:szCs w:val="21"/>
                      <w:vertAlign w:val="baseline"/>
                      <w:lang w:val="en-US" w:eastAsia="zh-CN"/>
                    </w:rPr>
                  </w:pPr>
                  <w:r>
                    <w:rPr>
                      <w:rFonts w:hint="eastAsia" w:eastAsia="宋体"/>
                      <w:b/>
                      <w:bCs w:val="0"/>
                      <w:color w:val="FF0000"/>
                      <w:kern w:val="2"/>
                      <w:sz w:val="21"/>
                      <w:szCs w:val="21"/>
                      <w:vertAlign w:val="baseline"/>
                      <w:lang w:val="en-US" w:eastAsia="zh-CN"/>
                    </w:rPr>
                    <w:t>文件要求</w:t>
                  </w:r>
                </w:p>
              </w:tc>
              <w:tc>
                <w:tcPr>
                  <w:tcW w:w="1146" w:type="pct"/>
                  <w:vAlign w:val="center"/>
                </w:tcPr>
                <w:p w14:paraId="7ED3226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bCs w:val="0"/>
                      <w:color w:val="FF0000"/>
                      <w:kern w:val="2"/>
                      <w:sz w:val="21"/>
                      <w:szCs w:val="21"/>
                      <w:vertAlign w:val="baseline"/>
                      <w:lang w:val="en-US" w:eastAsia="zh-CN"/>
                    </w:rPr>
                  </w:pPr>
                  <w:r>
                    <w:rPr>
                      <w:rFonts w:hint="eastAsia"/>
                      <w:b/>
                      <w:bCs w:val="0"/>
                      <w:color w:val="FF0000"/>
                      <w:kern w:val="2"/>
                      <w:sz w:val="21"/>
                      <w:szCs w:val="21"/>
                      <w:vertAlign w:val="baseline"/>
                      <w:lang w:val="en-US" w:eastAsia="zh-CN"/>
                    </w:rPr>
                    <w:t>本项目情况</w:t>
                  </w:r>
                </w:p>
              </w:tc>
              <w:tc>
                <w:tcPr>
                  <w:tcW w:w="616" w:type="pct"/>
                  <w:vAlign w:val="center"/>
                </w:tcPr>
                <w:p w14:paraId="5DA1D1B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bCs w:val="0"/>
                      <w:color w:val="FF0000"/>
                      <w:kern w:val="2"/>
                      <w:sz w:val="21"/>
                      <w:szCs w:val="21"/>
                      <w:vertAlign w:val="baseline"/>
                      <w:lang w:val="en-US" w:eastAsia="zh-CN"/>
                    </w:rPr>
                  </w:pPr>
                  <w:r>
                    <w:rPr>
                      <w:rFonts w:hint="eastAsia" w:eastAsia="宋体"/>
                      <w:b/>
                      <w:bCs w:val="0"/>
                      <w:color w:val="FF0000"/>
                      <w:kern w:val="2"/>
                      <w:sz w:val="21"/>
                      <w:szCs w:val="21"/>
                      <w:vertAlign w:val="baseline"/>
                      <w:lang w:val="en-US" w:eastAsia="zh-CN"/>
                    </w:rPr>
                    <w:t>相符性</w:t>
                  </w:r>
                </w:p>
              </w:tc>
            </w:tr>
            <w:tr w14:paraId="4404A4F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99" w:type="pct"/>
                  <w:vAlign w:val="center"/>
                </w:tcPr>
                <w:p w14:paraId="4798367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val="0"/>
                      <w:bCs/>
                      <w:color w:val="FF0000"/>
                      <w:kern w:val="2"/>
                      <w:sz w:val="21"/>
                      <w:szCs w:val="21"/>
                      <w:vertAlign w:val="baseline"/>
                      <w:lang w:val="en-US" w:eastAsia="zh-CN"/>
                    </w:rPr>
                  </w:pPr>
                  <w:r>
                    <w:rPr>
                      <w:rFonts w:hint="eastAsia" w:eastAsia="宋体"/>
                      <w:b w:val="0"/>
                      <w:bCs/>
                      <w:color w:val="FF0000"/>
                      <w:kern w:val="2"/>
                      <w:sz w:val="21"/>
                      <w:szCs w:val="21"/>
                      <w:vertAlign w:val="baseline"/>
                      <w:lang w:val="en-US" w:eastAsia="zh-CN"/>
                    </w:rPr>
                    <w:t>1</w:t>
                  </w:r>
                </w:p>
              </w:tc>
              <w:tc>
                <w:tcPr>
                  <w:tcW w:w="2936" w:type="pct"/>
                  <w:vAlign w:val="center"/>
                </w:tcPr>
                <w:p w14:paraId="4DEB488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eastAsia="宋体"/>
                      <w:b/>
                      <w:bCs w:val="0"/>
                      <w:color w:val="FF0000"/>
                      <w:kern w:val="2"/>
                      <w:sz w:val="21"/>
                      <w:szCs w:val="21"/>
                      <w:vertAlign w:val="baseline"/>
                      <w:lang w:val="en-US" w:eastAsia="zh-CN"/>
                    </w:rPr>
                  </w:pPr>
                  <w:r>
                    <w:rPr>
                      <w:rFonts w:hint="eastAsia" w:eastAsia="宋体"/>
                      <w:b w:val="0"/>
                      <w:bCs/>
                      <w:color w:val="FF0000"/>
                      <w:kern w:val="2"/>
                      <w:sz w:val="21"/>
                      <w:szCs w:val="21"/>
                      <w:vertAlign w:val="baseline"/>
                      <w:lang w:val="en-US" w:eastAsia="zh-CN"/>
                    </w:rPr>
                    <w:t>生物质锅炉污染物排放应满足国家或地方大气污染物排放标准，达到燃气锅炉排放水平。</w:t>
                  </w:r>
                </w:p>
              </w:tc>
              <w:tc>
                <w:tcPr>
                  <w:tcW w:w="1146" w:type="pct"/>
                  <w:vAlign w:val="center"/>
                </w:tcPr>
                <w:p w14:paraId="2E41CF7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eastAsia="宋体"/>
                      <w:b w:val="0"/>
                      <w:bCs/>
                      <w:color w:val="FF0000"/>
                      <w:kern w:val="2"/>
                      <w:sz w:val="21"/>
                      <w:szCs w:val="21"/>
                      <w:vertAlign w:val="baseline"/>
                      <w:lang w:val="en-US" w:eastAsia="zh-CN"/>
                    </w:rPr>
                  </w:pPr>
                  <w:r>
                    <w:rPr>
                      <w:rFonts w:hint="eastAsia"/>
                      <w:b w:val="0"/>
                      <w:bCs/>
                      <w:color w:val="FF0000"/>
                      <w:kern w:val="2"/>
                      <w:sz w:val="21"/>
                      <w:szCs w:val="21"/>
                      <w:vertAlign w:val="baseline"/>
                      <w:lang w:val="en-US" w:eastAsia="zh-CN"/>
                    </w:rPr>
                    <w:t>本项目锅炉烟气经处理后可以</w:t>
                  </w:r>
                  <w:r>
                    <w:rPr>
                      <w:rFonts w:hint="eastAsia" w:eastAsia="宋体"/>
                      <w:b w:val="0"/>
                      <w:bCs/>
                      <w:color w:val="FF0000"/>
                      <w:kern w:val="2"/>
                      <w:sz w:val="21"/>
                      <w:szCs w:val="21"/>
                      <w:vertAlign w:val="baseline"/>
                      <w:lang w:val="en-US" w:eastAsia="zh-CN"/>
                    </w:rPr>
                    <w:t>达到燃气锅炉排放水平</w:t>
                  </w:r>
                </w:p>
              </w:tc>
              <w:tc>
                <w:tcPr>
                  <w:tcW w:w="616" w:type="pct"/>
                  <w:vAlign w:val="center"/>
                </w:tcPr>
                <w:p w14:paraId="3525321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val="0"/>
                      <w:bCs/>
                      <w:color w:val="FF0000"/>
                      <w:kern w:val="2"/>
                      <w:sz w:val="21"/>
                      <w:szCs w:val="21"/>
                      <w:vertAlign w:val="baseline"/>
                      <w:lang w:val="en-US" w:eastAsia="zh-CN"/>
                    </w:rPr>
                  </w:pPr>
                  <w:r>
                    <w:rPr>
                      <w:rFonts w:hint="eastAsia"/>
                      <w:b w:val="0"/>
                      <w:bCs/>
                      <w:color w:val="FF0000"/>
                      <w:kern w:val="2"/>
                      <w:sz w:val="21"/>
                      <w:szCs w:val="21"/>
                      <w:vertAlign w:val="baseline"/>
                      <w:lang w:val="en-US" w:eastAsia="zh-CN"/>
                    </w:rPr>
                    <w:t>符合</w:t>
                  </w:r>
                </w:p>
              </w:tc>
            </w:tr>
            <w:tr w14:paraId="623267A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99" w:type="pct"/>
                  <w:vAlign w:val="center"/>
                </w:tcPr>
                <w:p w14:paraId="2DCE14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bCs w:val="0"/>
                      <w:color w:val="FF0000"/>
                      <w:kern w:val="2"/>
                      <w:sz w:val="21"/>
                      <w:szCs w:val="21"/>
                      <w:vertAlign w:val="baseline"/>
                      <w:lang w:val="en-US" w:eastAsia="zh-CN"/>
                    </w:rPr>
                  </w:pPr>
                  <w:r>
                    <w:rPr>
                      <w:rFonts w:hint="eastAsia" w:eastAsia="宋体"/>
                      <w:b w:val="0"/>
                      <w:bCs/>
                      <w:color w:val="FF0000"/>
                      <w:kern w:val="2"/>
                      <w:sz w:val="21"/>
                      <w:szCs w:val="21"/>
                      <w:vertAlign w:val="baseline"/>
                      <w:lang w:val="en-US" w:eastAsia="zh-CN"/>
                    </w:rPr>
                    <w:t>2</w:t>
                  </w:r>
                </w:p>
              </w:tc>
              <w:tc>
                <w:tcPr>
                  <w:tcW w:w="2936" w:type="pct"/>
                  <w:vAlign w:val="center"/>
                </w:tcPr>
                <w:p w14:paraId="4BF5454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eastAsia="宋体"/>
                      <w:b/>
                      <w:bCs w:val="0"/>
                      <w:color w:val="FF0000"/>
                      <w:kern w:val="2"/>
                      <w:sz w:val="21"/>
                      <w:szCs w:val="21"/>
                      <w:vertAlign w:val="baseline"/>
                      <w:lang w:val="en-US" w:eastAsia="zh-CN"/>
                    </w:rPr>
                  </w:pPr>
                  <w:r>
                    <w:rPr>
                      <w:rFonts w:hint="eastAsia" w:eastAsia="宋体"/>
                      <w:b w:val="0"/>
                      <w:bCs/>
                      <w:color w:val="FF0000"/>
                      <w:kern w:val="2"/>
                      <w:sz w:val="21"/>
                      <w:szCs w:val="21"/>
                      <w:vertAlign w:val="baseline"/>
                      <w:lang w:val="en-US" w:eastAsia="zh-CN"/>
                    </w:rPr>
                    <w:t>生物质锅炉严禁掺烧城镇生活垃圾、废旧家具板材、工业固体废物及其他有害废弃物，以及煤炭、矸石等化石燃</w:t>
                  </w:r>
                  <w:r>
                    <w:rPr>
                      <w:rFonts w:hint="eastAsia"/>
                      <w:b w:val="0"/>
                      <w:bCs/>
                      <w:color w:val="FF0000"/>
                      <w:kern w:val="2"/>
                      <w:sz w:val="21"/>
                      <w:szCs w:val="21"/>
                      <w:vertAlign w:val="baseline"/>
                      <w:lang w:val="en-US" w:eastAsia="zh-CN"/>
                    </w:rPr>
                    <w:t>料。</w:t>
                  </w:r>
                </w:p>
              </w:tc>
              <w:tc>
                <w:tcPr>
                  <w:tcW w:w="1146" w:type="pct"/>
                  <w:vAlign w:val="center"/>
                </w:tcPr>
                <w:p w14:paraId="5FB01B7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eastAsia="宋体"/>
                      <w:b w:val="0"/>
                      <w:bCs/>
                      <w:color w:val="FF0000"/>
                      <w:kern w:val="2"/>
                      <w:sz w:val="21"/>
                      <w:szCs w:val="21"/>
                      <w:vertAlign w:val="baseline"/>
                      <w:lang w:val="en-US" w:eastAsia="zh-CN"/>
                    </w:rPr>
                  </w:pPr>
                  <w:r>
                    <w:rPr>
                      <w:rFonts w:hint="eastAsia"/>
                      <w:b w:val="0"/>
                      <w:bCs/>
                      <w:color w:val="FF0000"/>
                      <w:kern w:val="2"/>
                      <w:sz w:val="21"/>
                      <w:szCs w:val="21"/>
                      <w:vertAlign w:val="baseline"/>
                      <w:lang w:val="en-US" w:eastAsia="zh-CN"/>
                    </w:rPr>
                    <w:t>本项目生物质锅炉采用成型生物质颗粒为燃料</w:t>
                  </w:r>
                </w:p>
              </w:tc>
              <w:tc>
                <w:tcPr>
                  <w:tcW w:w="616" w:type="pct"/>
                  <w:vAlign w:val="center"/>
                </w:tcPr>
                <w:p w14:paraId="0F648D9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eastAsia="宋体"/>
                      <w:b w:val="0"/>
                      <w:bCs/>
                      <w:color w:val="FF0000"/>
                      <w:kern w:val="2"/>
                      <w:sz w:val="21"/>
                      <w:szCs w:val="21"/>
                      <w:vertAlign w:val="baseline"/>
                      <w:lang w:val="en-US" w:eastAsia="zh-CN"/>
                    </w:rPr>
                  </w:pPr>
                  <w:r>
                    <w:rPr>
                      <w:rFonts w:hint="eastAsia"/>
                      <w:b w:val="0"/>
                      <w:bCs/>
                      <w:color w:val="FF0000"/>
                      <w:kern w:val="2"/>
                      <w:sz w:val="21"/>
                      <w:szCs w:val="21"/>
                      <w:vertAlign w:val="baseline"/>
                      <w:lang w:val="en-US" w:eastAsia="zh-CN"/>
                    </w:rPr>
                    <w:t>符合</w:t>
                  </w:r>
                </w:p>
              </w:tc>
            </w:tr>
            <w:tr w14:paraId="60E770F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299" w:type="pct"/>
                  <w:vAlign w:val="center"/>
                </w:tcPr>
                <w:p w14:paraId="216FEC2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val="0"/>
                      <w:bCs/>
                      <w:color w:val="FF0000"/>
                      <w:kern w:val="2"/>
                      <w:sz w:val="21"/>
                      <w:szCs w:val="21"/>
                      <w:vertAlign w:val="baseline"/>
                      <w:lang w:val="en-US" w:eastAsia="zh-CN"/>
                    </w:rPr>
                  </w:pPr>
                  <w:r>
                    <w:rPr>
                      <w:rFonts w:hint="eastAsia" w:eastAsia="宋体"/>
                      <w:b w:val="0"/>
                      <w:bCs/>
                      <w:color w:val="FF0000"/>
                      <w:kern w:val="2"/>
                      <w:sz w:val="21"/>
                      <w:szCs w:val="21"/>
                      <w:vertAlign w:val="baseline"/>
                      <w:lang w:val="en-US" w:eastAsia="zh-CN"/>
                    </w:rPr>
                    <w:t>3</w:t>
                  </w:r>
                </w:p>
              </w:tc>
              <w:tc>
                <w:tcPr>
                  <w:tcW w:w="2936" w:type="pct"/>
                  <w:vAlign w:val="center"/>
                </w:tcPr>
                <w:p w14:paraId="7D8BD3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eastAsia="宋体"/>
                      <w:b/>
                      <w:bCs w:val="0"/>
                      <w:color w:val="FF0000"/>
                      <w:kern w:val="2"/>
                      <w:sz w:val="21"/>
                      <w:szCs w:val="21"/>
                      <w:vertAlign w:val="baseline"/>
                      <w:lang w:val="en-US" w:eastAsia="zh-CN"/>
                    </w:rPr>
                  </w:pPr>
                  <w:r>
                    <w:rPr>
                      <w:rFonts w:hint="eastAsia" w:eastAsia="宋体"/>
                      <w:b w:val="0"/>
                      <w:bCs/>
                      <w:color w:val="FF0000"/>
                      <w:kern w:val="2"/>
                      <w:sz w:val="21"/>
                      <w:szCs w:val="21"/>
                      <w:vertAlign w:val="baseline"/>
                      <w:lang w:val="en-US" w:eastAsia="zh-CN"/>
                    </w:rPr>
                    <w:t>生物质锅炉应燃烧生物质成型燃料，不得直接燃用未成型的生物质散料，并在现有烟气处理设施的基础上，按照有关规定加装袋式除尘器等烟气处理设施。对燃煤锅炉改造或替换成生物质锅炉的，原有厂区煤堆场、煤堆棚、替换下来的燃煤锅炉等设施应妥善拆除。</w:t>
                  </w:r>
                </w:p>
              </w:tc>
              <w:tc>
                <w:tcPr>
                  <w:tcW w:w="1146" w:type="pct"/>
                  <w:vAlign w:val="center"/>
                </w:tcPr>
                <w:p w14:paraId="57B4391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eastAsia="宋体"/>
                      <w:b w:val="0"/>
                      <w:bCs/>
                      <w:color w:val="FF0000"/>
                      <w:kern w:val="2"/>
                      <w:sz w:val="21"/>
                      <w:szCs w:val="21"/>
                      <w:vertAlign w:val="baseline"/>
                      <w:lang w:val="en-US" w:eastAsia="zh-CN"/>
                    </w:rPr>
                  </w:pPr>
                  <w:r>
                    <w:rPr>
                      <w:rFonts w:hint="eastAsia"/>
                      <w:b w:val="0"/>
                      <w:bCs/>
                      <w:color w:val="FF0000"/>
                      <w:kern w:val="2"/>
                      <w:sz w:val="21"/>
                      <w:szCs w:val="21"/>
                      <w:vertAlign w:val="baseline"/>
                      <w:lang w:val="en-US" w:eastAsia="zh-CN"/>
                    </w:rPr>
                    <w:t>本项目锅炉类型为生物质锅炉，采用成型生物质作为锅炉燃料</w:t>
                  </w:r>
                </w:p>
              </w:tc>
              <w:tc>
                <w:tcPr>
                  <w:tcW w:w="616" w:type="pct"/>
                  <w:vAlign w:val="center"/>
                </w:tcPr>
                <w:p w14:paraId="2DB88E8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eastAsia="宋体"/>
                      <w:b w:val="0"/>
                      <w:bCs/>
                      <w:color w:val="FF0000"/>
                      <w:kern w:val="2"/>
                      <w:sz w:val="21"/>
                      <w:szCs w:val="21"/>
                      <w:vertAlign w:val="baseline"/>
                      <w:lang w:val="en-US" w:eastAsia="zh-CN"/>
                    </w:rPr>
                  </w:pPr>
                  <w:r>
                    <w:rPr>
                      <w:rFonts w:hint="eastAsia"/>
                      <w:b w:val="0"/>
                      <w:bCs/>
                      <w:color w:val="FF0000"/>
                      <w:kern w:val="2"/>
                      <w:sz w:val="21"/>
                      <w:szCs w:val="21"/>
                      <w:vertAlign w:val="baseline"/>
                      <w:lang w:val="en-US" w:eastAsia="zh-CN"/>
                    </w:rPr>
                    <w:t>符合</w:t>
                  </w:r>
                </w:p>
              </w:tc>
            </w:tr>
            <w:tr w14:paraId="566701B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99" w:type="pct"/>
                  <w:vAlign w:val="center"/>
                </w:tcPr>
                <w:p w14:paraId="69684AE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val="0"/>
                      <w:bCs/>
                      <w:color w:val="FF0000"/>
                      <w:kern w:val="2"/>
                      <w:sz w:val="21"/>
                      <w:szCs w:val="21"/>
                      <w:vertAlign w:val="baseline"/>
                      <w:lang w:val="en-US" w:eastAsia="zh-CN"/>
                    </w:rPr>
                  </w:pPr>
                  <w:r>
                    <w:rPr>
                      <w:rFonts w:hint="eastAsia" w:eastAsia="宋体"/>
                      <w:b w:val="0"/>
                      <w:bCs/>
                      <w:color w:val="FF0000"/>
                      <w:kern w:val="2"/>
                      <w:sz w:val="21"/>
                      <w:szCs w:val="21"/>
                      <w:vertAlign w:val="baseline"/>
                      <w:lang w:val="en-US" w:eastAsia="zh-CN"/>
                    </w:rPr>
                    <w:t>4</w:t>
                  </w:r>
                </w:p>
              </w:tc>
              <w:tc>
                <w:tcPr>
                  <w:tcW w:w="2936" w:type="pct"/>
                  <w:vAlign w:val="center"/>
                </w:tcPr>
                <w:p w14:paraId="71A9F6A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eastAsia="宋体"/>
                      <w:b/>
                      <w:bCs w:val="0"/>
                      <w:color w:val="FF0000"/>
                      <w:kern w:val="2"/>
                      <w:sz w:val="21"/>
                      <w:szCs w:val="21"/>
                      <w:vertAlign w:val="baseline"/>
                      <w:lang w:val="en-US" w:eastAsia="zh-CN"/>
                    </w:rPr>
                  </w:pPr>
                  <w:r>
                    <w:rPr>
                      <w:rFonts w:hint="eastAsia"/>
                      <w:color w:val="FF0000"/>
                    </w:rPr>
                    <w:t>凡不符合提高环保水平相关要求的，应制定具体的整改计划。</w:t>
                  </w:r>
                </w:p>
              </w:tc>
              <w:tc>
                <w:tcPr>
                  <w:tcW w:w="1146" w:type="pct"/>
                  <w:vAlign w:val="center"/>
                </w:tcPr>
                <w:p w14:paraId="30E0AC6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eastAsia="宋体"/>
                      <w:b w:val="0"/>
                      <w:bCs/>
                      <w:color w:val="FF0000"/>
                      <w:kern w:val="2"/>
                      <w:sz w:val="21"/>
                      <w:szCs w:val="21"/>
                      <w:vertAlign w:val="baseline"/>
                      <w:lang w:val="en-US" w:eastAsia="zh-CN"/>
                    </w:rPr>
                  </w:pPr>
                  <w:r>
                    <w:rPr>
                      <w:rFonts w:hint="eastAsia"/>
                      <w:b w:val="0"/>
                      <w:bCs/>
                      <w:color w:val="FF0000"/>
                      <w:kern w:val="2"/>
                      <w:sz w:val="21"/>
                      <w:szCs w:val="21"/>
                      <w:vertAlign w:val="baseline"/>
                      <w:lang w:val="en-US" w:eastAsia="zh-CN"/>
                    </w:rPr>
                    <w:t>本项目锅炉烟气经处理后可以</w:t>
                  </w:r>
                  <w:r>
                    <w:rPr>
                      <w:rFonts w:hint="eastAsia" w:eastAsia="宋体"/>
                      <w:b w:val="0"/>
                      <w:bCs/>
                      <w:color w:val="FF0000"/>
                      <w:kern w:val="2"/>
                      <w:sz w:val="21"/>
                      <w:szCs w:val="21"/>
                      <w:vertAlign w:val="baseline"/>
                      <w:lang w:val="en-US" w:eastAsia="zh-CN"/>
                    </w:rPr>
                    <w:t>达到燃气锅炉排放水平</w:t>
                  </w:r>
                </w:p>
              </w:tc>
              <w:tc>
                <w:tcPr>
                  <w:tcW w:w="616" w:type="pct"/>
                  <w:vAlign w:val="center"/>
                </w:tcPr>
                <w:p w14:paraId="60212D3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eastAsia="宋体"/>
                      <w:b w:val="0"/>
                      <w:bCs/>
                      <w:color w:val="FF0000"/>
                      <w:kern w:val="2"/>
                      <w:sz w:val="21"/>
                      <w:szCs w:val="21"/>
                      <w:vertAlign w:val="baseline"/>
                      <w:lang w:val="en-US" w:eastAsia="zh-CN"/>
                    </w:rPr>
                  </w:pPr>
                  <w:r>
                    <w:rPr>
                      <w:rFonts w:hint="eastAsia"/>
                      <w:b w:val="0"/>
                      <w:bCs/>
                      <w:color w:val="FF0000"/>
                      <w:kern w:val="2"/>
                      <w:sz w:val="21"/>
                      <w:szCs w:val="21"/>
                      <w:vertAlign w:val="baseline"/>
                      <w:lang w:val="en-US" w:eastAsia="zh-CN"/>
                    </w:rPr>
                    <w:t>符合</w:t>
                  </w:r>
                </w:p>
              </w:tc>
            </w:tr>
          </w:tbl>
          <w:p w14:paraId="5AFE339D">
            <w:pPr>
              <w:pStyle w:val="9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2" w:firstLineChars="200"/>
              <w:textAlignment w:val="auto"/>
              <w:rPr>
                <w:rFonts w:hint="default"/>
                <w:b/>
                <w:bCs/>
                <w:color w:val="FF0000"/>
                <w:kern w:val="2"/>
                <w:sz w:val="24"/>
                <w:szCs w:val="24"/>
              </w:rPr>
            </w:pPr>
            <w:r>
              <w:rPr>
                <w:rFonts w:hint="eastAsia" w:cs="Times New Roman"/>
                <w:b/>
                <w:bCs/>
                <w:color w:val="FF0000"/>
                <w:sz w:val="24"/>
                <w:szCs w:val="24"/>
                <w:lang w:val="en-US" w:eastAsia="zh-CN"/>
              </w:rPr>
              <w:t>11、与《</w:t>
            </w:r>
            <w:r>
              <w:rPr>
                <w:rFonts w:hint="eastAsia" w:ascii="宋体" w:hAnsi="宋体" w:eastAsia="宋体" w:cs="Times New Roman"/>
                <w:b/>
                <w:bCs/>
                <w:color w:val="FF0000"/>
                <w:sz w:val="24"/>
                <w:lang w:val="en-US" w:eastAsia="zh-CN"/>
              </w:rPr>
              <w:t>高污染燃料目录</w:t>
            </w:r>
            <w:r>
              <w:rPr>
                <w:rFonts w:hint="eastAsia" w:cs="Times New Roman"/>
                <w:b/>
                <w:bCs/>
                <w:color w:val="FF0000"/>
                <w:sz w:val="24"/>
                <w:szCs w:val="24"/>
                <w:lang w:val="en-US" w:eastAsia="zh-CN"/>
              </w:rPr>
              <w:t>》</w:t>
            </w:r>
            <w:r>
              <w:rPr>
                <w:rFonts w:hint="default"/>
                <w:b/>
                <w:bCs/>
                <w:color w:val="FF0000"/>
                <w:kern w:val="2"/>
                <w:sz w:val="24"/>
                <w:szCs w:val="24"/>
              </w:rPr>
              <w:t>相符性</w:t>
            </w:r>
          </w:p>
          <w:p w14:paraId="67EB6F0C">
            <w:pPr>
              <w:pStyle w:val="9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firstLine="482" w:firstLineChars="200"/>
              <w:jc w:val="center"/>
              <w:textAlignment w:val="auto"/>
              <w:rPr>
                <w:rFonts w:hint="eastAsia"/>
                <w:b/>
                <w:bCs w:val="0"/>
                <w:color w:val="FF0000"/>
                <w:kern w:val="2"/>
                <w:sz w:val="24"/>
                <w:szCs w:val="24"/>
                <w:lang w:val="en-US" w:eastAsia="zh-CN"/>
              </w:rPr>
            </w:pPr>
            <w:r>
              <w:rPr>
                <w:rFonts w:hint="default" w:ascii="Times New Roman" w:hAnsi="Times New Roman"/>
                <w:b/>
                <w:bCs w:val="0"/>
                <w:color w:val="FF0000"/>
                <w:sz w:val="24"/>
                <w:szCs w:val="24"/>
              </w:rPr>
              <w:t>表1-</w:t>
            </w:r>
            <w:r>
              <w:rPr>
                <w:rFonts w:hint="eastAsia" w:ascii="Times New Roman" w:hAnsi="Times New Roman"/>
                <w:b/>
                <w:bCs w:val="0"/>
                <w:color w:val="FF0000"/>
                <w:sz w:val="24"/>
                <w:szCs w:val="24"/>
                <w:lang w:val="en-US" w:eastAsia="zh-CN"/>
              </w:rPr>
              <w:t>1</w:t>
            </w:r>
            <w:r>
              <w:rPr>
                <w:rFonts w:hint="eastAsia"/>
                <w:b/>
                <w:bCs w:val="0"/>
                <w:color w:val="FF0000"/>
                <w:sz w:val="24"/>
                <w:szCs w:val="24"/>
                <w:lang w:val="en-US" w:eastAsia="zh-CN"/>
              </w:rPr>
              <w:t xml:space="preserve">2  </w:t>
            </w:r>
            <w:r>
              <w:rPr>
                <w:rFonts w:hint="eastAsia" w:cs="Times New Roman"/>
                <w:b/>
                <w:bCs w:val="0"/>
                <w:color w:val="FF0000"/>
                <w:sz w:val="24"/>
                <w:szCs w:val="24"/>
                <w:lang w:val="en-US" w:eastAsia="zh-CN"/>
              </w:rPr>
              <w:t>项目与</w:t>
            </w:r>
            <w:r>
              <w:rPr>
                <w:rFonts w:hint="eastAsia" w:cs="Times New Roman"/>
                <w:b/>
                <w:bCs/>
                <w:color w:val="FF0000"/>
                <w:sz w:val="24"/>
                <w:szCs w:val="24"/>
                <w:lang w:val="en-US" w:eastAsia="zh-CN"/>
              </w:rPr>
              <w:t>《</w:t>
            </w:r>
            <w:r>
              <w:rPr>
                <w:rFonts w:hint="eastAsia" w:ascii="宋体" w:hAnsi="宋体" w:eastAsia="宋体" w:cs="Times New Roman"/>
                <w:b/>
                <w:bCs/>
                <w:color w:val="FF0000"/>
                <w:sz w:val="24"/>
                <w:lang w:val="en-US" w:eastAsia="zh-CN"/>
              </w:rPr>
              <w:t>高污染燃料目录</w:t>
            </w:r>
            <w:r>
              <w:rPr>
                <w:rFonts w:hint="eastAsia" w:cs="Times New Roman"/>
                <w:b/>
                <w:bCs/>
                <w:color w:val="FF0000"/>
                <w:sz w:val="24"/>
                <w:szCs w:val="24"/>
                <w:lang w:val="en-US" w:eastAsia="zh-CN"/>
              </w:rPr>
              <w:t>》</w:t>
            </w:r>
            <w:r>
              <w:rPr>
                <w:rFonts w:hint="default"/>
                <w:b/>
                <w:bCs w:val="0"/>
                <w:color w:val="FF0000"/>
                <w:kern w:val="2"/>
                <w:sz w:val="24"/>
                <w:szCs w:val="24"/>
              </w:rPr>
              <w:t>相符性</w:t>
            </w:r>
            <w:r>
              <w:rPr>
                <w:rFonts w:hint="eastAsia"/>
                <w:b/>
                <w:bCs w:val="0"/>
                <w:color w:val="FF0000"/>
                <w:kern w:val="2"/>
                <w:sz w:val="24"/>
                <w:szCs w:val="24"/>
                <w:lang w:val="en-US" w:eastAsia="zh-CN"/>
              </w:rPr>
              <w:t>分析</w:t>
            </w:r>
          </w:p>
          <w:tbl>
            <w:tblPr>
              <w:tblStyle w:val="28"/>
              <w:tblW w:w="4998"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97"/>
              <w:gridCol w:w="4337"/>
              <w:gridCol w:w="1783"/>
              <w:gridCol w:w="957"/>
            </w:tblGrid>
            <w:tr w14:paraId="0E32720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48" w:type="pct"/>
                  <w:vAlign w:val="center"/>
                </w:tcPr>
                <w:p w14:paraId="027955A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bCs w:val="0"/>
                      <w:color w:val="FF0000"/>
                      <w:kern w:val="2"/>
                      <w:sz w:val="21"/>
                      <w:szCs w:val="21"/>
                      <w:vertAlign w:val="baseline"/>
                      <w:lang w:val="en-US" w:eastAsia="zh-CN"/>
                    </w:rPr>
                  </w:pPr>
                  <w:r>
                    <w:rPr>
                      <w:rFonts w:hint="eastAsia"/>
                      <w:b/>
                      <w:bCs w:val="0"/>
                      <w:color w:val="FF0000"/>
                      <w:kern w:val="2"/>
                      <w:sz w:val="21"/>
                      <w:szCs w:val="21"/>
                      <w:vertAlign w:val="baseline"/>
                      <w:lang w:val="en-US" w:eastAsia="zh-CN"/>
                    </w:rPr>
                    <w:t>类别</w:t>
                  </w:r>
                </w:p>
              </w:tc>
              <w:tc>
                <w:tcPr>
                  <w:tcW w:w="2789" w:type="pct"/>
                  <w:vAlign w:val="center"/>
                </w:tcPr>
                <w:p w14:paraId="0F5A0BB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bCs w:val="0"/>
                      <w:color w:val="FF0000"/>
                      <w:kern w:val="2"/>
                      <w:sz w:val="21"/>
                      <w:szCs w:val="21"/>
                      <w:vertAlign w:val="baseline"/>
                      <w:lang w:val="en-US" w:eastAsia="zh-CN"/>
                    </w:rPr>
                  </w:pPr>
                  <w:r>
                    <w:rPr>
                      <w:rFonts w:hint="eastAsia" w:eastAsia="宋体"/>
                      <w:b/>
                      <w:bCs w:val="0"/>
                      <w:color w:val="FF0000"/>
                      <w:kern w:val="2"/>
                      <w:sz w:val="21"/>
                      <w:szCs w:val="21"/>
                      <w:vertAlign w:val="baseline"/>
                      <w:lang w:val="en-US" w:eastAsia="zh-CN"/>
                    </w:rPr>
                    <w:t>禁燃区内禁止燃用的燃料组合类别</w:t>
                  </w:r>
                </w:p>
              </w:tc>
              <w:tc>
                <w:tcPr>
                  <w:tcW w:w="1146" w:type="pct"/>
                  <w:vAlign w:val="center"/>
                </w:tcPr>
                <w:p w14:paraId="2DE179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bCs w:val="0"/>
                      <w:color w:val="FF0000"/>
                      <w:kern w:val="2"/>
                      <w:sz w:val="21"/>
                      <w:szCs w:val="21"/>
                      <w:vertAlign w:val="baseline"/>
                      <w:lang w:val="en-US" w:eastAsia="zh-CN"/>
                    </w:rPr>
                  </w:pPr>
                  <w:r>
                    <w:rPr>
                      <w:rFonts w:hint="eastAsia"/>
                      <w:b/>
                      <w:bCs w:val="0"/>
                      <w:color w:val="FF0000"/>
                      <w:kern w:val="2"/>
                      <w:sz w:val="21"/>
                      <w:szCs w:val="21"/>
                      <w:vertAlign w:val="baseline"/>
                      <w:lang w:val="en-US" w:eastAsia="zh-CN"/>
                    </w:rPr>
                    <w:t>本项目情况</w:t>
                  </w:r>
                </w:p>
              </w:tc>
              <w:tc>
                <w:tcPr>
                  <w:tcW w:w="615" w:type="pct"/>
                  <w:vAlign w:val="center"/>
                </w:tcPr>
                <w:p w14:paraId="1455CA8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bCs w:val="0"/>
                      <w:color w:val="FF0000"/>
                      <w:kern w:val="2"/>
                      <w:sz w:val="21"/>
                      <w:szCs w:val="21"/>
                      <w:vertAlign w:val="baseline"/>
                      <w:lang w:val="en-US" w:eastAsia="zh-CN"/>
                    </w:rPr>
                  </w:pPr>
                  <w:r>
                    <w:rPr>
                      <w:rFonts w:hint="eastAsia" w:eastAsia="宋体"/>
                      <w:b/>
                      <w:bCs w:val="0"/>
                      <w:color w:val="FF0000"/>
                      <w:kern w:val="2"/>
                      <w:sz w:val="21"/>
                      <w:szCs w:val="21"/>
                      <w:vertAlign w:val="baseline"/>
                      <w:lang w:val="en-US" w:eastAsia="zh-CN"/>
                    </w:rPr>
                    <w:t>相符性</w:t>
                  </w:r>
                </w:p>
              </w:tc>
            </w:tr>
            <w:tr w14:paraId="0A7FD61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48" w:type="pct"/>
                  <w:vAlign w:val="center"/>
                </w:tcPr>
                <w:p w14:paraId="44AFA0B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FF0000"/>
                      <w:kern w:val="2"/>
                      <w:sz w:val="21"/>
                      <w:szCs w:val="21"/>
                      <w:vertAlign w:val="baseline"/>
                      <w:lang w:val="en-US" w:eastAsia="zh-CN"/>
                    </w:rPr>
                  </w:pPr>
                  <w:r>
                    <w:rPr>
                      <w:rFonts w:hint="default" w:ascii="Times New Roman" w:hAnsi="Times New Roman" w:eastAsia="微软雅黑" w:cs="Times New Roman"/>
                      <w:b w:val="0"/>
                      <w:bCs/>
                      <w:color w:val="FF0000"/>
                      <w:kern w:val="2"/>
                      <w:sz w:val="21"/>
                      <w:szCs w:val="21"/>
                      <w:vertAlign w:val="baseline"/>
                      <w:lang w:val="en-US" w:eastAsia="zh-CN"/>
                    </w:rPr>
                    <w:t>Ⅰ</w:t>
                  </w:r>
                  <w:r>
                    <w:rPr>
                      <w:rFonts w:hint="default" w:ascii="Times New Roman" w:hAnsi="Times New Roman" w:cs="Times New Roman"/>
                      <w:b w:val="0"/>
                      <w:bCs/>
                      <w:color w:val="FF0000"/>
                      <w:kern w:val="2"/>
                      <w:sz w:val="21"/>
                      <w:szCs w:val="21"/>
                      <w:vertAlign w:val="baseline"/>
                      <w:lang w:val="en-US" w:eastAsia="zh-CN"/>
                    </w:rPr>
                    <w:t>类</w:t>
                  </w:r>
                </w:p>
              </w:tc>
              <w:tc>
                <w:tcPr>
                  <w:tcW w:w="2789" w:type="pct"/>
                  <w:vAlign w:val="center"/>
                </w:tcPr>
                <w:p w14:paraId="31DBA7D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eastAsia="宋体"/>
                      <w:b/>
                      <w:bCs w:val="0"/>
                      <w:color w:val="FF0000"/>
                      <w:kern w:val="2"/>
                      <w:sz w:val="21"/>
                      <w:szCs w:val="21"/>
                      <w:vertAlign w:val="baseline"/>
                      <w:lang w:val="en-US" w:eastAsia="zh-CN"/>
                    </w:rPr>
                  </w:pPr>
                  <w:r>
                    <w:rPr>
                      <w:rFonts w:hint="eastAsia" w:eastAsia="宋体"/>
                      <w:b w:val="0"/>
                      <w:bCs/>
                      <w:color w:val="FF0000"/>
                      <w:kern w:val="2"/>
                      <w:sz w:val="21"/>
                      <w:szCs w:val="21"/>
                      <w:vertAlign w:val="baseline"/>
                      <w:lang w:val="en-US" w:eastAsia="zh-CN"/>
                    </w:rPr>
                    <w:t>单台出力小于20蒸吨/小时的锅炉和民用燃煤设备燃用的含硫量大于0.5%、灰分大于10%的煤炭及其制品</w:t>
                  </w:r>
                  <w:r>
                    <w:rPr>
                      <w:rFonts w:hint="eastAsia"/>
                      <w:b w:val="0"/>
                      <w:bCs/>
                      <w:color w:val="FF0000"/>
                      <w:kern w:val="2"/>
                      <w:sz w:val="21"/>
                      <w:szCs w:val="21"/>
                      <w:vertAlign w:val="baseline"/>
                      <w:lang w:val="en-US" w:eastAsia="zh-CN"/>
                    </w:rPr>
                    <w:t>（</w:t>
                  </w:r>
                  <w:r>
                    <w:rPr>
                      <w:rFonts w:hint="eastAsia" w:eastAsia="宋体"/>
                      <w:b w:val="0"/>
                      <w:bCs/>
                      <w:color w:val="FF0000"/>
                      <w:kern w:val="2"/>
                      <w:sz w:val="21"/>
                      <w:szCs w:val="21"/>
                      <w:vertAlign w:val="baseline"/>
                      <w:lang w:val="en-US" w:eastAsia="zh-CN"/>
                    </w:rPr>
                    <w:t>其中</w:t>
                  </w:r>
                  <w:r>
                    <w:rPr>
                      <w:rFonts w:hint="eastAsia"/>
                      <w:b w:val="0"/>
                      <w:bCs/>
                      <w:color w:val="FF0000"/>
                      <w:kern w:val="2"/>
                      <w:sz w:val="21"/>
                      <w:szCs w:val="21"/>
                      <w:vertAlign w:val="baseline"/>
                      <w:lang w:val="en-US" w:eastAsia="zh-CN"/>
                    </w:rPr>
                    <w:t>，</w:t>
                  </w:r>
                  <w:r>
                    <w:rPr>
                      <w:rFonts w:hint="eastAsia" w:eastAsia="宋体"/>
                      <w:b w:val="0"/>
                      <w:bCs/>
                      <w:color w:val="FF0000"/>
                      <w:kern w:val="2"/>
                      <w:sz w:val="21"/>
                      <w:szCs w:val="21"/>
                      <w:vertAlign w:val="baseline"/>
                      <w:lang w:val="en-US" w:eastAsia="zh-CN"/>
                    </w:rPr>
                    <w:t>型煤、焦炭、兰炭的组分含量大于表2中规定的限值</w:t>
                  </w:r>
                  <w:r>
                    <w:rPr>
                      <w:rFonts w:hint="eastAsia"/>
                      <w:b w:val="0"/>
                      <w:bCs/>
                      <w:color w:val="FF0000"/>
                      <w:kern w:val="2"/>
                      <w:sz w:val="21"/>
                      <w:szCs w:val="21"/>
                      <w:vertAlign w:val="baseline"/>
                      <w:lang w:val="en-US" w:eastAsia="zh-CN"/>
                    </w:rPr>
                    <w:t>）。</w:t>
                  </w:r>
                </w:p>
              </w:tc>
              <w:tc>
                <w:tcPr>
                  <w:tcW w:w="1146" w:type="pct"/>
                  <w:vAlign w:val="center"/>
                </w:tcPr>
                <w:p w14:paraId="16F8A51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eastAsia="宋体"/>
                      <w:b w:val="0"/>
                      <w:bCs/>
                      <w:color w:val="FF0000"/>
                      <w:kern w:val="2"/>
                      <w:sz w:val="21"/>
                      <w:szCs w:val="21"/>
                      <w:vertAlign w:val="baseline"/>
                      <w:lang w:val="en-US" w:eastAsia="zh-CN"/>
                    </w:rPr>
                  </w:pPr>
                  <w:r>
                    <w:rPr>
                      <w:rFonts w:hint="eastAsia"/>
                      <w:b w:val="0"/>
                      <w:bCs/>
                      <w:color w:val="FF0000"/>
                      <w:kern w:val="2"/>
                      <w:sz w:val="21"/>
                      <w:szCs w:val="21"/>
                      <w:vertAlign w:val="baseline"/>
                      <w:lang w:val="en-US" w:eastAsia="zh-CN"/>
                    </w:rPr>
                    <w:t>本项目锅炉燃料为成型生物质，不涉及煤炭及其制品。</w:t>
                  </w:r>
                </w:p>
              </w:tc>
              <w:tc>
                <w:tcPr>
                  <w:tcW w:w="615" w:type="pct"/>
                  <w:vAlign w:val="center"/>
                </w:tcPr>
                <w:p w14:paraId="07982E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val="0"/>
                      <w:bCs/>
                      <w:color w:val="FF0000"/>
                      <w:kern w:val="2"/>
                      <w:sz w:val="21"/>
                      <w:szCs w:val="21"/>
                      <w:vertAlign w:val="baseline"/>
                      <w:lang w:val="en-US" w:eastAsia="zh-CN"/>
                    </w:rPr>
                  </w:pPr>
                  <w:r>
                    <w:rPr>
                      <w:rFonts w:hint="eastAsia"/>
                      <w:b w:val="0"/>
                      <w:bCs/>
                      <w:color w:val="FF0000"/>
                      <w:kern w:val="2"/>
                      <w:sz w:val="21"/>
                      <w:szCs w:val="21"/>
                      <w:vertAlign w:val="baseline"/>
                      <w:lang w:val="en-US" w:eastAsia="zh-CN"/>
                    </w:rPr>
                    <w:t>符合</w:t>
                  </w:r>
                </w:p>
              </w:tc>
            </w:tr>
            <w:tr w14:paraId="072D6CE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48" w:type="pct"/>
                  <w:vAlign w:val="center"/>
                </w:tcPr>
                <w:p w14:paraId="5F75EE8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FF0000"/>
                      <w:kern w:val="2"/>
                      <w:sz w:val="21"/>
                      <w:szCs w:val="21"/>
                      <w:vertAlign w:val="baseline"/>
                      <w:lang w:val="en-US" w:eastAsia="zh-CN"/>
                    </w:rPr>
                  </w:pPr>
                  <w:r>
                    <w:rPr>
                      <w:rFonts w:hint="default" w:ascii="Times New Roman" w:hAnsi="Times New Roman" w:eastAsia="微软雅黑" w:cs="Times New Roman"/>
                      <w:b w:val="0"/>
                      <w:bCs/>
                      <w:color w:val="FF0000"/>
                      <w:kern w:val="2"/>
                      <w:sz w:val="21"/>
                      <w:szCs w:val="21"/>
                      <w:vertAlign w:val="baseline"/>
                      <w:lang w:val="en-US" w:eastAsia="zh-CN"/>
                    </w:rPr>
                    <w:t>Ⅱ类</w:t>
                  </w:r>
                </w:p>
              </w:tc>
              <w:tc>
                <w:tcPr>
                  <w:tcW w:w="2789" w:type="pct"/>
                  <w:vAlign w:val="center"/>
                </w:tcPr>
                <w:p w14:paraId="66E7124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eastAsia="宋体"/>
                      <w:b/>
                      <w:bCs w:val="0"/>
                      <w:color w:val="FF0000"/>
                      <w:kern w:val="2"/>
                      <w:sz w:val="21"/>
                      <w:szCs w:val="21"/>
                      <w:vertAlign w:val="baseline"/>
                      <w:lang w:val="en-US" w:eastAsia="zh-CN"/>
                    </w:rPr>
                  </w:pPr>
                  <w:r>
                    <w:rPr>
                      <w:rFonts w:hint="eastAsia" w:eastAsia="宋体"/>
                      <w:b w:val="0"/>
                      <w:bCs/>
                      <w:color w:val="FF0000"/>
                      <w:kern w:val="2"/>
                      <w:sz w:val="21"/>
                      <w:szCs w:val="21"/>
                      <w:vertAlign w:val="baseline"/>
                      <w:lang w:val="en-US" w:eastAsia="zh-CN"/>
                    </w:rPr>
                    <w:t>除单台出力大于等于20蒸吨/小时锅炉以外燃用的煤炭及其制品</w:t>
                  </w:r>
                  <w:r>
                    <w:rPr>
                      <w:rFonts w:hint="eastAsia"/>
                      <w:b w:val="0"/>
                      <w:bCs/>
                      <w:color w:val="FF0000"/>
                      <w:kern w:val="2"/>
                      <w:sz w:val="21"/>
                      <w:szCs w:val="21"/>
                      <w:vertAlign w:val="baseline"/>
                      <w:lang w:val="en-US" w:eastAsia="zh-CN"/>
                    </w:rPr>
                    <w:t>。</w:t>
                  </w:r>
                </w:p>
              </w:tc>
              <w:tc>
                <w:tcPr>
                  <w:tcW w:w="1146" w:type="pct"/>
                  <w:vAlign w:val="center"/>
                </w:tcPr>
                <w:p w14:paraId="581F13D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eastAsia="宋体"/>
                      <w:b w:val="0"/>
                      <w:bCs/>
                      <w:color w:val="FF0000"/>
                      <w:kern w:val="2"/>
                      <w:sz w:val="21"/>
                      <w:szCs w:val="21"/>
                      <w:vertAlign w:val="baseline"/>
                      <w:lang w:val="en-US" w:eastAsia="zh-CN"/>
                    </w:rPr>
                  </w:pPr>
                  <w:r>
                    <w:rPr>
                      <w:rFonts w:hint="eastAsia"/>
                      <w:b w:val="0"/>
                      <w:bCs/>
                      <w:color w:val="FF0000"/>
                      <w:kern w:val="2"/>
                      <w:sz w:val="21"/>
                      <w:szCs w:val="21"/>
                      <w:vertAlign w:val="baseline"/>
                      <w:lang w:val="en-US" w:eastAsia="zh-CN"/>
                    </w:rPr>
                    <w:t>本项目锅炉燃料为成型生物质，不涉及煤炭及其制品。</w:t>
                  </w:r>
                </w:p>
              </w:tc>
              <w:tc>
                <w:tcPr>
                  <w:tcW w:w="615" w:type="pct"/>
                  <w:vAlign w:val="center"/>
                </w:tcPr>
                <w:p w14:paraId="05AE1CE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eastAsia="宋体"/>
                      <w:b w:val="0"/>
                      <w:bCs/>
                      <w:color w:val="FF0000"/>
                      <w:kern w:val="2"/>
                      <w:sz w:val="21"/>
                      <w:szCs w:val="21"/>
                      <w:vertAlign w:val="baseline"/>
                      <w:lang w:val="en-US" w:eastAsia="zh-CN"/>
                    </w:rPr>
                  </w:pPr>
                  <w:r>
                    <w:rPr>
                      <w:rFonts w:hint="eastAsia"/>
                      <w:b w:val="0"/>
                      <w:bCs/>
                      <w:color w:val="FF0000"/>
                      <w:kern w:val="2"/>
                      <w:sz w:val="21"/>
                      <w:szCs w:val="21"/>
                      <w:vertAlign w:val="baseline"/>
                      <w:lang w:val="en-US" w:eastAsia="zh-CN"/>
                    </w:rPr>
                    <w:t>符合</w:t>
                  </w:r>
                </w:p>
              </w:tc>
            </w:tr>
            <w:tr w14:paraId="1017C5D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48" w:type="pct"/>
                  <w:vAlign w:val="center"/>
                </w:tcPr>
                <w:p w14:paraId="779B81D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FF0000"/>
                      <w:kern w:val="2"/>
                      <w:sz w:val="21"/>
                      <w:szCs w:val="21"/>
                      <w:vertAlign w:val="baseline"/>
                      <w:lang w:val="en-US" w:eastAsia="zh-CN"/>
                    </w:rPr>
                  </w:pPr>
                  <w:r>
                    <w:rPr>
                      <w:rFonts w:hint="default" w:ascii="Times New Roman" w:hAnsi="Times New Roman" w:eastAsia="微软雅黑" w:cs="Times New Roman"/>
                      <w:b w:val="0"/>
                      <w:bCs/>
                      <w:color w:val="FF0000"/>
                      <w:kern w:val="2"/>
                      <w:sz w:val="21"/>
                      <w:szCs w:val="21"/>
                      <w:vertAlign w:val="baseline"/>
                      <w:lang w:val="en-US" w:eastAsia="zh-CN"/>
                    </w:rPr>
                    <w:t>Ⅲ类</w:t>
                  </w:r>
                </w:p>
              </w:tc>
              <w:tc>
                <w:tcPr>
                  <w:tcW w:w="2789" w:type="pct"/>
                  <w:vAlign w:val="center"/>
                </w:tcPr>
                <w:p w14:paraId="5DDB770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eastAsia="宋体"/>
                      <w:b/>
                      <w:bCs w:val="0"/>
                      <w:color w:val="FF0000"/>
                      <w:kern w:val="2"/>
                      <w:sz w:val="21"/>
                      <w:szCs w:val="21"/>
                      <w:vertAlign w:val="baseline"/>
                      <w:lang w:val="en-US" w:eastAsia="zh-CN"/>
                    </w:rPr>
                  </w:pPr>
                  <w:r>
                    <w:rPr>
                      <w:rFonts w:hint="eastAsia" w:eastAsia="宋体"/>
                      <w:b w:val="0"/>
                      <w:bCs/>
                      <w:color w:val="FF0000"/>
                      <w:kern w:val="2"/>
                      <w:sz w:val="21"/>
                      <w:szCs w:val="21"/>
                      <w:vertAlign w:val="baseline"/>
                      <w:lang w:val="en-US" w:eastAsia="zh-CN"/>
                    </w:rPr>
                    <w:t>煤炭及其制品</w:t>
                  </w:r>
                  <w:r>
                    <w:rPr>
                      <w:rFonts w:hint="eastAsia"/>
                      <w:b w:val="0"/>
                      <w:bCs/>
                      <w:color w:val="FF0000"/>
                      <w:kern w:val="2"/>
                      <w:sz w:val="21"/>
                      <w:szCs w:val="21"/>
                      <w:vertAlign w:val="baseline"/>
                      <w:lang w:val="en-US" w:eastAsia="zh-CN"/>
                    </w:rPr>
                    <w:t>。</w:t>
                  </w:r>
                </w:p>
              </w:tc>
              <w:tc>
                <w:tcPr>
                  <w:tcW w:w="1146" w:type="pct"/>
                  <w:vAlign w:val="center"/>
                </w:tcPr>
                <w:p w14:paraId="02BB577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eastAsia="宋体"/>
                      <w:b w:val="0"/>
                      <w:bCs/>
                      <w:color w:val="FF0000"/>
                      <w:kern w:val="2"/>
                      <w:sz w:val="21"/>
                      <w:szCs w:val="21"/>
                      <w:vertAlign w:val="baseline"/>
                      <w:lang w:val="en-US" w:eastAsia="zh-CN"/>
                    </w:rPr>
                  </w:pPr>
                  <w:r>
                    <w:rPr>
                      <w:rFonts w:hint="eastAsia"/>
                      <w:b w:val="0"/>
                      <w:bCs/>
                      <w:color w:val="FF0000"/>
                      <w:kern w:val="2"/>
                      <w:sz w:val="21"/>
                      <w:szCs w:val="21"/>
                      <w:vertAlign w:val="baseline"/>
                      <w:lang w:val="en-US" w:eastAsia="zh-CN"/>
                    </w:rPr>
                    <w:t>本项目锅炉燃料为成型生物质，不涉及煤炭及其制品。</w:t>
                  </w:r>
                </w:p>
              </w:tc>
              <w:tc>
                <w:tcPr>
                  <w:tcW w:w="615" w:type="pct"/>
                  <w:vAlign w:val="center"/>
                </w:tcPr>
                <w:p w14:paraId="44649BA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eastAsia="宋体"/>
                      <w:b w:val="0"/>
                      <w:bCs/>
                      <w:color w:val="FF0000"/>
                      <w:kern w:val="2"/>
                      <w:sz w:val="21"/>
                      <w:szCs w:val="21"/>
                      <w:vertAlign w:val="baseline"/>
                      <w:lang w:val="en-US" w:eastAsia="zh-CN"/>
                    </w:rPr>
                  </w:pPr>
                  <w:r>
                    <w:rPr>
                      <w:rFonts w:hint="eastAsia"/>
                      <w:b w:val="0"/>
                      <w:bCs/>
                      <w:color w:val="FF0000"/>
                      <w:kern w:val="2"/>
                      <w:sz w:val="21"/>
                      <w:szCs w:val="21"/>
                      <w:vertAlign w:val="baseline"/>
                      <w:lang w:val="en-US" w:eastAsia="zh-CN"/>
                    </w:rPr>
                    <w:t>符合</w:t>
                  </w:r>
                </w:p>
              </w:tc>
            </w:tr>
          </w:tbl>
          <w:p w14:paraId="7AA391CA">
            <w:pPr>
              <w:pStyle w:val="9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2" w:firstLineChars="200"/>
              <w:textAlignment w:val="auto"/>
              <w:rPr>
                <w:rFonts w:hint="default"/>
                <w:b/>
                <w:bCs/>
                <w:color w:val="FF0000"/>
                <w:kern w:val="2"/>
                <w:sz w:val="24"/>
                <w:szCs w:val="24"/>
              </w:rPr>
            </w:pPr>
            <w:r>
              <w:rPr>
                <w:rFonts w:hint="eastAsia" w:cs="Times New Roman"/>
                <w:b/>
                <w:bCs/>
                <w:color w:val="FF0000"/>
                <w:sz w:val="24"/>
                <w:szCs w:val="24"/>
                <w:lang w:val="en-US" w:eastAsia="zh-CN"/>
              </w:rPr>
              <w:t>12、与</w:t>
            </w:r>
            <w:r>
              <w:rPr>
                <w:rFonts w:hint="default" w:ascii="Times New Roman" w:hAnsi="Times New Roman" w:cs="Times New Roman"/>
                <w:b/>
                <w:bCs/>
                <w:color w:val="FF0000"/>
                <w:sz w:val="24"/>
                <w:szCs w:val="24"/>
                <w:lang w:val="en-US" w:eastAsia="zh-CN"/>
              </w:rPr>
              <w:t>《</w:t>
            </w:r>
            <w:r>
              <w:rPr>
                <w:rFonts w:hint="default" w:ascii="Times New Roman" w:hAnsi="Times New Roman" w:eastAsia="宋体" w:cs="Times New Roman"/>
                <w:b/>
                <w:bCs/>
                <w:color w:val="FF0000"/>
                <w:sz w:val="24"/>
                <w:lang w:val="en-US" w:eastAsia="zh-CN"/>
              </w:rPr>
              <w:t>生物质成型燃料锅炉</w:t>
            </w:r>
            <w:r>
              <w:rPr>
                <w:rFonts w:hint="default" w:ascii="Times New Roman" w:hAnsi="Times New Roman" w:cs="Times New Roman"/>
                <w:b/>
                <w:bCs/>
                <w:color w:val="FF0000"/>
                <w:sz w:val="24"/>
                <w:szCs w:val="24"/>
                <w:lang w:val="en-US" w:eastAsia="zh-CN"/>
              </w:rPr>
              <w:t>》（</w:t>
            </w:r>
            <w:r>
              <w:rPr>
                <w:rFonts w:hint="default" w:ascii="Times New Roman" w:hAnsi="Times New Roman" w:eastAsia="宋体" w:cs="Times New Roman"/>
                <w:b/>
                <w:bCs/>
                <w:color w:val="FF0000"/>
                <w:sz w:val="24"/>
                <w:lang w:val="en-US" w:eastAsia="zh-CN"/>
              </w:rPr>
              <w:t>NB/T47062－2017</w:t>
            </w:r>
            <w:r>
              <w:rPr>
                <w:rFonts w:hint="default" w:ascii="Times New Roman" w:hAnsi="Times New Roman" w:cs="Times New Roman"/>
                <w:b/>
                <w:bCs/>
                <w:color w:val="FF0000"/>
                <w:sz w:val="24"/>
                <w:szCs w:val="24"/>
                <w:lang w:val="en-US" w:eastAsia="zh-CN"/>
              </w:rPr>
              <w:t>）</w:t>
            </w:r>
            <w:r>
              <w:rPr>
                <w:rFonts w:hint="default" w:ascii="Times New Roman" w:hAnsi="Times New Roman" w:cs="Times New Roman"/>
                <w:b/>
                <w:bCs/>
                <w:color w:val="FF0000"/>
                <w:kern w:val="2"/>
                <w:sz w:val="24"/>
                <w:szCs w:val="24"/>
              </w:rPr>
              <w:t>相符性</w:t>
            </w:r>
          </w:p>
          <w:p w14:paraId="26897E3C">
            <w:pPr>
              <w:pStyle w:val="9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firstLine="482" w:firstLineChars="200"/>
              <w:jc w:val="center"/>
              <w:textAlignment w:val="auto"/>
              <w:rPr>
                <w:rFonts w:hint="eastAsia"/>
                <w:b/>
                <w:bCs w:val="0"/>
                <w:color w:val="FF0000"/>
                <w:kern w:val="2"/>
                <w:sz w:val="24"/>
                <w:szCs w:val="24"/>
                <w:lang w:val="en-US" w:eastAsia="zh-CN"/>
              </w:rPr>
            </w:pPr>
            <w:r>
              <w:rPr>
                <w:rFonts w:hint="default" w:ascii="Times New Roman" w:hAnsi="Times New Roman"/>
                <w:b/>
                <w:bCs w:val="0"/>
                <w:color w:val="FF0000"/>
                <w:sz w:val="24"/>
                <w:szCs w:val="24"/>
              </w:rPr>
              <w:t>表1-</w:t>
            </w:r>
            <w:r>
              <w:rPr>
                <w:rFonts w:hint="eastAsia" w:ascii="Times New Roman" w:hAnsi="Times New Roman"/>
                <w:b/>
                <w:bCs w:val="0"/>
                <w:color w:val="FF0000"/>
                <w:sz w:val="24"/>
                <w:szCs w:val="24"/>
                <w:lang w:val="en-US" w:eastAsia="zh-CN"/>
              </w:rPr>
              <w:t>1</w:t>
            </w:r>
            <w:r>
              <w:rPr>
                <w:rFonts w:hint="eastAsia"/>
                <w:b/>
                <w:bCs w:val="0"/>
                <w:color w:val="FF0000"/>
                <w:sz w:val="24"/>
                <w:szCs w:val="24"/>
                <w:lang w:val="en-US" w:eastAsia="zh-CN"/>
              </w:rPr>
              <w:t xml:space="preserve">3  </w:t>
            </w:r>
            <w:r>
              <w:rPr>
                <w:rFonts w:hint="eastAsia" w:cs="Times New Roman"/>
                <w:b/>
                <w:bCs w:val="0"/>
                <w:color w:val="FF0000"/>
                <w:sz w:val="24"/>
                <w:szCs w:val="24"/>
                <w:lang w:val="en-US" w:eastAsia="zh-CN"/>
              </w:rPr>
              <w:t>项目与</w:t>
            </w:r>
            <w:r>
              <w:rPr>
                <w:rFonts w:hint="eastAsia" w:cs="Times New Roman"/>
                <w:b/>
                <w:bCs/>
                <w:color w:val="FF0000"/>
                <w:sz w:val="24"/>
                <w:szCs w:val="24"/>
                <w:lang w:val="en-US" w:eastAsia="zh-CN"/>
              </w:rPr>
              <w:t>《</w:t>
            </w:r>
            <w:r>
              <w:rPr>
                <w:rFonts w:hint="default" w:ascii="Times New Roman" w:hAnsi="Times New Roman" w:eastAsia="宋体" w:cs="Times New Roman"/>
                <w:b/>
                <w:bCs/>
                <w:color w:val="FF0000"/>
                <w:sz w:val="24"/>
                <w:lang w:val="en-US" w:eastAsia="zh-CN"/>
              </w:rPr>
              <w:t>生物质成型燃料锅炉</w:t>
            </w:r>
            <w:r>
              <w:rPr>
                <w:rFonts w:hint="eastAsia" w:cs="Times New Roman"/>
                <w:b/>
                <w:bCs/>
                <w:color w:val="FF0000"/>
                <w:sz w:val="24"/>
                <w:szCs w:val="24"/>
                <w:lang w:val="en-US" w:eastAsia="zh-CN"/>
              </w:rPr>
              <w:t>》</w:t>
            </w:r>
            <w:r>
              <w:rPr>
                <w:rFonts w:hint="default" w:ascii="Times New Roman" w:hAnsi="Times New Roman" w:cs="Times New Roman"/>
                <w:b/>
                <w:bCs/>
                <w:color w:val="FF0000"/>
                <w:sz w:val="24"/>
                <w:szCs w:val="24"/>
                <w:lang w:val="en-US" w:eastAsia="zh-CN"/>
              </w:rPr>
              <w:t>（</w:t>
            </w:r>
            <w:r>
              <w:rPr>
                <w:rFonts w:hint="default" w:ascii="Times New Roman" w:hAnsi="Times New Roman" w:eastAsia="宋体" w:cs="Times New Roman"/>
                <w:b/>
                <w:bCs/>
                <w:color w:val="FF0000"/>
                <w:sz w:val="24"/>
                <w:lang w:val="en-US" w:eastAsia="zh-CN"/>
              </w:rPr>
              <w:t>NB/T47062－2017</w:t>
            </w:r>
            <w:r>
              <w:rPr>
                <w:rFonts w:hint="default" w:ascii="Times New Roman" w:hAnsi="Times New Roman" w:cs="Times New Roman"/>
                <w:b/>
                <w:bCs/>
                <w:color w:val="FF0000"/>
                <w:sz w:val="24"/>
                <w:szCs w:val="24"/>
                <w:lang w:val="en-US" w:eastAsia="zh-CN"/>
              </w:rPr>
              <w:t>）</w:t>
            </w:r>
            <w:r>
              <w:rPr>
                <w:rFonts w:hint="default"/>
                <w:b/>
                <w:bCs w:val="0"/>
                <w:color w:val="FF0000"/>
                <w:kern w:val="2"/>
                <w:sz w:val="24"/>
                <w:szCs w:val="24"/>
              </w:rPr>
              <w:t>相符性</w:t>
            </w:r>
            <w:r>
              <w:rPr>
                <w:rFonts w:hint="eastAsia"/>
                <w:b/>
                <w:bCs w:val="0"/>
                <w:color w:val="FF0000"/>
                <w:kern w:val="2"/>
                <w:sz w:val="24"/>
                <w:szCs w:val="24"/>
                <w:lang w:val="en-US" w:eastAsia="zh-CN"/>
              </w:rPr>
              <w:t>分析</w:t>
            </w:r>
          </w:p>
          <w:tbl>
            <w:tblPr>
              <w:tblStyle w:val="28"/>
              <w:tblW w:w="4998"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68"/>
              <w:gridCol w:w="4334"/>
              <w:gridCol w:w="2015"/>
              <w:gridCol w:w="957"/>
            </w:tblGrid>
            <w:tr w14:paraId="7A32A15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01" w:type="pct"/>
                  <w:vAlign w:val="center"/>
                </w:tcPr>
                <w:p w14:paraId="47FE4C3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bCs w:val="0"/>
                      <w:color w:val="FF0000"/>
                      <w:kern w:val="2"/>
                      <w:sz w:val="21"/>
                      <w:szCs w:val="21"/>
                      <w:vertAlign w:val="baseline"/>
                      <w:lang w:val="en-US" w:eastAsia="zh-CN"/>
                    </w:rPr>
                  </w:pPr>
                  <w:r>
                    <w:rPr>
                      <w:rFonts w:hint="eastAsia" w:eastAsia="宋体"/>
                      <w:b/>
                      <w:bCs w:val="0"/>
                      <w:color w:val="FF0000"/>
                      <w:kern w:val="2"/>
                      <w:sz w:val="21"/>
                      <w:szCs w:val="21"/>
                      <w:vertAlign w:val="baseline"/>
                      <w:lang w:val="en-US" w:eastAsia="zh-CN"/>
                    </w:rPr>
                    <w:t>序号</w:t>
                  </w:r>
                </w:p>
              </w:tc>
              <w:tc>
                <w:tcPr>
                  <w:tcW w:w="2787" w:type="pct"/>
                  <w:vAlign w:val="center"/>
                </w:tcPr>
                <w:p w14:paraId="7230CAA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bCs w:val="0"/>
                      <w:color w:val="FF0000"/>
                      <w:kern w:val="2"/>
                      <w:sz w:val="21"/>
                      <w:szCs w:val="21"/>
                      <w:vertAlign w:val="baseline"/>
                      <w:lang w:val="en-US" w:eastAsia="zh-CN"/>
                    </w:rPr>
                  </w:pPr>
                  <w:r>
                    <w:rPr>
                      <w:rFonts w:hint="eastAsia" w:eastAsia="宋体"/>
                      <w:b/>
                      <w:bCs w:val="0"/>
                      <w:color w:val="FF0000"/>
                      <w:kern w:val="2"/>
                      <w:sz w:val="21"/>
                      <w:szCs w:val="21"/>
                      <w:vertAlign w:val="baseline"/>
                      <w:lang w:val="en-US" w:eastAsia="zh-CN"/>
                    </w:rPr>
                    <w:t>文件要求</w:t>
                  </w:r>
                </w:p>
              </w:tc>
              <w:tc>
                <w:tcPr>
                  <w:tcW w:w="1295" w:type="pct"/>
                  <w:vAlign w:val="center"/>
                </w:tcPr>
                <w:p w14:paraId="6B6A3F9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bCs w:val="0"/>
                      <w:color w:val="FF0000"/>
                      <w:kern w:val="2"/>
                      <w:sz w:val="21"/>
                      <w:szCs w:val="21"/>
                      <w:vertAlign w:val="baseline"/>
                      <w:lang w:val="en-US" w:eastAsia="zh-CN"/>
                    </w:rPr>
                  </w:pPr>
                  <w:r>
                    <w:rPr>
                      <w:rFonts w:hint="eastAsia"/>
                      <w:b/>
                      <w:bCs w:val="0"/>
                      <w:color w:val="FF0000"/>
                      <w:kern w:val="2"/>
                      <w:sz w:val="21"/>
                      <w:szCs w:val="21"/>
                      <w:vertAlign w:val="baseline"/>
                      <w:lang w:val="en-US" w:eastAsia="zh-CN"/>
                    </w:rPr>
                    <w:t>本项目情况</w:t>
                  </w:r>
                </w:p>
              </w:tc>
              <w:tc>
                <w:tcPr>
                  <w:tcW w:w="615" w:type="pct"/>
                  <w:vAlign w:val="center"/>
                </w:tcPr>
                <w:p w14:paraId="5E37C3F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bCs w:val="0"/>
                      <w:color w:val="FF0000"/>
                      <w:kern w:val="2"/>
                      <w:sz w:val="21"/>
                      <w:szCs w:val="21"/>
                      <w:vertAlign w:val="baseline"/>
                      <w:lang w:val="en-US" w:eastAsia="zh-CN"/>
                    </w:rPr>
                  </w:pPr>
                  <w:r>
                    <w:rPr>
                      <w:rFonts w:hint="eastAsia" w:eastAsia="宋体"/>
                      <w:b/>
                      <w:bCs w:val="0"/>
                      <w:color w:val="FF0000"/>
                      <w:kern w:val="2"/>
                      <w:sz w:val="21"/>
                      <w:szCs w:val="21"/>
                      <w:vertAlign w:val="baseline"/>
                      <w:lang w:val="en-US" w:eastAsia="zh-CN"/>
                    </w:rPr>
                    <w:t>相符性</w:t>
                  </w:r>
                </w:p>
              </w:tc>
            </w:tr>
            <w:tr w14:paraId="293772B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01" w:type="pct"/>
                  <w:vAlign w:val="center"/>
                </w:tcPr>
                <w:p w14:paraId="277CE0B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val="0"/>
                      <w:bCs/>
                      <w:color w:val="FF0000"/>
                      <w:kern w:val="2"/>
                      <w:sz w:val="21"/>
                      <w:szCs w:val="21"/>
                      <w:vertAlign w:val="baseline"/>
                      <w:lang w:val="en-US" w:eastAsia="zh-CN"/>
                    </w:rPr>
                  </w:pPr>
                  <w:r>
                    <w:rPr>
                      <w:rFonts w:hint="eastAsia" w:eastAsia="宋体"/>
                      <w:b w:val="0"/>
                      <w:bCs/>
                      <w:color w:val="FF0000"/>
                      <w:kern w:val="2"/>
                      <w:sz w:val="21"/>
                      <w:szCs w:val="21"/>
                      <w:vertAlign w:val="baseline"/>
                      <w:lang w:val="en-US" w:eastAsia="zh-CN"/>
                    </w:rPr>
                    <w:t>1</w:t>
                  </w:r>
                </w:p>
              </w:tc>
              <w:tc>
                <w:tcPr>
                  <w:tcW w:w="2787" w:type="pct"/>
                  <w:vAlign w:val="center"/>
                </w:tcPr>
                <w:p w14:paraId="0F8497E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eastAsia="宋体"/>
                      <w:b/>
                      <w:bCs w:val="0"/>
                      <w:color w:val="FF0000"/>
                      <w:kern w:val="2"/>
                      <w:sz w:val="21"/>
                      <w:szCs w:val="21"/>
                      <w:vertAlign w:val="baseline"/>
                      <w:lang w:val="en-US" w:eastAsia="zh-CN"/>
                    </w:rPr>
                  </w:pPr>
                  <w:r>
                    <w:rPr>
                      <w:rFonts w:hint="eastAsia" w:eastAsia="宋体"/>
                      <w:b w:val="0"/>
                      <w:bCs/>
                      <w:color w:val="FF0000"/>
                      <w:kern w:val="2"/>
                      <w:sz w:val="21"/>
                      <w:szCs w:val="21"/>
                      <w:vertAlign w:val="baseline"/>
                      <w:lang w:val="en-US" w:eastAsia="zh-CN"/>
                    </w:rPr>
                    <w:t>生物质成型燃料锅炉设计时应综合考虑燃料、灰渣特性，用热特点及运行方式，气象条件及环保要求，以及运输条件等确定锅炉燃烧方式及结构形式。</w:t>
                  </w:r>
                </w:p>
              </w:tc>
              <w:tc>
                <w:tcPr>
                  <w:tcW w:w="1295" w:type="pct"/>
                  <w:vAlign w:val="center"/>
                </w:tcPr>
                <w:p w14:paraId="1959453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eastAsia="宋体"/>
                      <w:b w:val="0"/>
                      <w:bCs/>
                      <w:color w:val="FF0000"/>
                      <w:kern w:val="2"/>
                      <w:sz w:val="21"/>
                      <w:szCs w:val="21"/>
                      <w:vertAlign w:val="baseline"/>
                      <w:lang w:val="en-US" w:eastAsia="zh-CN"/>
                    </w:rPr>
                  </w:pPr>
                  <w:r>
                    <w:rPr>
                      <w:rFonts w:hint="eastAsia"/>
                      <w:b w:val="0"/>
                      <w:bCs/>
                      <w:color w:val="FF0000"/>
                      <w:kern w:val="2"/>
                      <w:sz w:val="21"/>
                      <w:szCs w:val="21"/>
                      <w:vertAlign w:val="baseline"/>
                      <w:lang w:val="en-US" w:eastAsia="zh-CN"/>
                    </w:rPr>
                    <w:t>本项目根据</w:t>
                  </w:r>
                  <w:r>
                    <w:rPr>
                      <w:rFonts w:hint="eastAsia" w:eastAsia="宋体"/>
                      <w:b w:val="0"/>
                      <w:bCs/>
                      <w:color w:val="FF0000"/>
                      <w:kern w:val="2"/>
                      <w:sz w:val="21"/>
                      <w:szCs w:val="21"/>
                      <w:vertAlign w:val="baseline"/>
                      <w:lang w:val="en-US" w:eastAsia="zh-CN"/>
                    </w:rPr>
                    <w:t>燃料、灰渣特性，用热特点及运行方式，气象条件及环保要求，以及运输条件，采用</w:t>
                  </w:r>
                  <w:r>
                    <w:rPr>
                      <w:rFonts w:hint="default" w:ascii="Times New Roman" w:hAnsi="Times New Roman" w:cs="Times New Roman"/>
                      <w:color w:val="FF0000"/>
                      <w:sz w:val="21"/>
                      <w:szCs w:val="21"/>
                    </w:rPr>
                    <w:t>往复式炉排生物质锅炉</w:t>
                  </w:r>
                  <w:r>
                    <w:rPr>
                      <w:rFonts w:hint="eastAsia" w:ascii="Times New Roman" w:hAnsi="Times New Roman" w:cs="Times New Roman"/>
                      <w:color w:val="FF0000"/>
                      <w:sz w:val="21"/>
                      <w:szCs w:val="21"/>
                      <w:lang w:eastAsia="zh-CN"/>
                    </w:rPr>
                    <w:t>。</w:t>
                  </w:r>
                </w:p>
              </w:tc>
              <w:tc>
                <w:tcPr>
                  <w:tcW w:w="615" w:type="pct"/>
                  <w:vAlign w:val="center"/>
                </w:tcPr>
                <w:p w14:paraId="350DA29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val="0"/>
                      <w:bCs/>
                      <w:color w:val="FF0000"/>
                      <w:kern w:val="2"/>
                      <w:sz w:val="21"/>
                      <w:szCs w:val="21"/>
                      <w:vertAlign w:val="baseline"/>
                      <w:lang w:val="en-US" w:eastAsia="zh-CN"/>
                    </w:rPr>
                  </w:pPr>
                  <w:r>
                    <w:rPr>
                      <w:rFonts w:hint="eastAsia"/>
                      <w:b w:val="0"/>
                      <w:bCs/>
                      <w:color w:val="FF0000"/>
                      <w:kern w:val="2"/>
                      <w:sz w:val="21"/>
                      <w:szCs w:val="21"/>
                      <w:vertAlign w:val="baseline"/>
                      <w:lang w:val="en-US" w:eastAsia="zh-CN"/>
                    </w:rPr>
                    <w:t>符合</w:t>
                  </w:r>
                </w:p>
              </w:tc>
            </w:tr>
            <w:tr w14:paraId="2073DF4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01" w:type="pct"/>
                  <w:vAlign w:val="center"/>
                </w:tcPr>
                <w:p w14:paraId="5895EE0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bCs w:val="0"/>
                      <w:color w:val="FF0000"/>
                      <w:kern w:val="2"/>
                      <w:sz w:val="21"/>
                      <w:szCs w:val="21"/>
                      <w:vertAlign w:val="baseline"/>
                      <w:lang w:val="en-US" w:eastAsia="zh-CN"/>
                    </w:rPr>
                  </w:pPr>
                  <w:r>
                    <w:rPr>
                      <w:rFonts w:hint="eastAsia" w:eastAsia="宋体"/>
                      <w:b w:val="0"/>
                      <w:bCs/>
                      <w:color w:val="FF0000"/>
                      <w:kern w:val="2"/>
                      <w:sz w:val="21"/>
                      <w:szCs w:val="21"/>
                      <w:vertAlign w:val="baseline"/>
                      <w:lang w:val="en-US" w:eastAsia="zh-CN"/>
                    </w:rPr>
                    <w:t>2</w:t>
                  </w:r>
                </w:p>
              </w:tc>
              <w:tc>
                <w:tcPr>
                  <w:tcW w:w="2787" w:type="pct"/>
                  <w:vAlign w:val="center"/>
                </w:tcPr>
                <w:p w14:paraId="46FB8E9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eastAsia="宋体"/>
                      <w:b/>
                      <w:bCs w:val="0"/>
                      <w:color w:val="FF0000"/>
                      <w:kern w:val="2"/>
                      <w:sz w:val="21"/>
                      <w:szCs w:val="21"/>
                      <w:vertAlign w:val="baseline"/>
                      <w:lang w:val="en-US" w:eastAsia="zh-CN"/>
                    </w:rPr>
                  </w:pPr>
                  <w:r>
                    <w:rPr>
                      <w:rFonts w:hint="eastAsia" w:eastAsia="宋体"/>
                      <w:b w:val="0"/>
                      <w:bCs/>
                      <w:color w:val="FF0000"/>
                      <w:kern w:val="2"/>
                      <w:sz w:val="21"/>
                      <w:szCs w:val="21"/>
                      <w:vertAlign w:val="baseline"/>
                      <w:lang w:val="en-US" w:eastAsia="zh-CN"/>
                    </w:rPr>
                    <w:t>生物质成型燃料锅炉的给料方式应根据燃料的外形尺寸和物性选用，宜采用螺旋给料、皮带给料或星形给料方式，特殊情况也可采用自由落料（即靠调整炉排转速来调整给料量）。</w:t>
                  </w:r>
                </w:p>
              </w:tc>
              <w:tc>
                <w:tcPr>
                  <w:tcW w:w="1295" w:type="pct"/>
                  <w:vAlign w:val="center"/>
                </w:tcPr>
                <w:p w14:paraId="27FAEB9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eastAsia="宋体"/>
                      <w:b w:val="0"/>
                      <w:bCs/>
                      <w:color w:val="FF0000"/>
                      <w:kern w:val="2"/>
                      <w:sz w:val="21"/>
                      <w:szCs w:val="21"/>
                      <w:vertAlign w:val="baseline"/>
                      <w:lang w:val="en-US" w:eastAsia="zh-CN"/>
                    </w:rPr>
                  </w:pPr>
                  <w:r>
                    <w:rPr>
                      <w:rFonts w:hint="eastAsia"/>
                      <w:b w:val="0"/>
                      <w:bCs/>
                      <w:color w:val="FF0000"/>
                      <w:kern w:val="2"/>
                      <w:sz w:val="21"/>
                      <w:szCs w:val="21"/>
                      <w:vertAlign w:val="baseline"/>
                      <w:lang w:val="en-US" w:eastAsia="zh-CN"/>
                    </w:rPr>
                    <w:t>本项目锅炉燃料采用输送带给料</w:t>
                  </w:r>
                </w:p>
              </w:tc>
              <w:tc>
                <w:tcPr>
                  <w:tcW w:w="615" w:type="pct"/>
                  <w:vAlign w:val="center"/>
                </w:tcPr>
                <w:p w14:paraId="2961825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eastAsia="宋体"/>
                      <w:b w:val="0"/>
                      <w:bCs/>
                      <w:color w:val="FF0000"/>
                      <w:kern w:val="2"/>
                      <w:sz w:val="21"/>
                      <w:szCs w:val="21"/>
                      <w:vertAlign w:val="baseline"/>
                      <w:lang w:val="en-US" w:eastAsia="zh-CN"/>
                    </w:rPr>
                  </w:pPr>
                  <w:r>
                    <w:rPr>
                      <w:rFonts w:hint="eastAsia"/>
                      <w:b w:val="0"/>
                      <w:bCs/>
                      <w:color w:val="FF0000"/>
                      <w:kern w:val="2"/>
                      <w:sz w:val="21"/>
                      <w:szCs w:val="21"/>
                      <w:vertAlign w:val="baseline"/>
                      <w:lang w:val="en-US" w:eastAsia="zh-CN"/>
                    </w:rPr>
                    <w:t>符合</w:t>
                  </w:r>
                </w:p>
              </w:tc>
            </w:tr>
            <w:tr w14:paraId="00FA4BD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301" w:type="pct"/>
                  <w:vAlign w:val="center"/>
                </w:tcPr>
                <w:p w14:paraId="637E686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val="0"/>
                      <w:bCs/>
                      <w:color w:val="FF0000"/>
                      <w:kern w:val="2"/>
                      <w:sz w:val="21"/>
                      <w:szCs w:val="21"/>
                      <w:vertAlign w:val="baseline"/>
                      <w:lang w:val="en-US" w:eastAsia="zh-CN"/>
                    </w:rPr>
                  </w:pPr>
                  <w:r>
                    <w:rPr>
                      <w:rFonts w:hint="eastAsia" w:eastAsia="宋体"/>
                      <w:b w:val="0"/>
                      <w:bCs/>
                      <w:color w:val="FF0000"/>
                      <w:kern w:val="2"/>
                      <w:sz w:val="21"/>
                      <w:szCs w:val="21"/>
                      <w:vertAlign w:val="baseline"/>
                      <w:lang w:val="en-US" w:eastAsia="zh-CN"/>
                    </w:rPr>
                    <w:t>3</w:t>
                  </w:r>
                </w:p>
              </w:tc>
              <w:tc>
                <w:tcPr>
                  <w:tcW w:w="2787" w:type="pct"/>
                  <w:vAlign w:val="center"/>
                </w:tcPr>
                <w:p w14:paraId="7F64E20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eastAsia="宋体"/>
                      <w:b/>
                      <w:bCs w:val="0"/>
                      <w:color w:val="FF0000"/>
                      <w:kern w:val="2"/>
                      <w:sz w:val="21"/>
                      <w:szCs w:val="21"/>
                      <w:vertAlign w:val="baseline"/>
                      <w:lang w:val="en-US" w:eastAsia="zh-CN"/>
                    </w:rPr>
                  </w:pPr>
                  <w:r>
                    <w:rPr>
                      <w:rFonts w:hint="eastAsia" w:eastAsia="宋体"/>
                      <w:b w:val="0"/>
                      <w:bCs/>
                      <w:color w:val="FF0000"/>
                      <w:kern w:val="2"/>
                      <w:sz w:val="21"/>
                      <w:szCs w:val="21"/>
                      <w:vertAlign w:val="baseline"/>
                      <w:lang w:val="en-US" w:eastAsia="zh-CN"/>
                    </w:rPr>
                    <w:t>生物质成型燃料锅炉系统设计时，应采取有效的除尘措施，保证锅炉系统大气污染物排放达标。</w:t>
                  </w:r>
                </w:p>
              </w:tc>
              <w:tc>
                <w:tcPr>
                  <w:tcW w:w="1295" w:type="pct"/>
                  <w:vAlign w:val="center"/>
                </w:tcPr>
                <w:p w14:paraId="5F1AD00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eastAsia="宋体"/>
                      <w:b w:val="0"/>
                      <w:bCs/>
                      <w:color w:val="FF0000"/>
                      <w:kern w:val="2"/>
                      <w:sz w:val="21"/>
                      <w:szCs w:val="21"/>
                      <w:vertAlign w:val="baseline"/>
                      <w:lang w:val="en-US" w:eastAsia="zh-CN"/>
                    </w:rPr>
                  </w:pPr>
                  <w:r>
                    <w:rPr>
                      <w:rFonts w:hint="eastAsia"/>
                      <w:b w:val="0"/>
                      <w:bCs/>
                      <w:color w:val="FF0000"/>
                      <w:kern w:val="2"/>
                      <w:sz w:val="21"/>
                      <w:szCs w:val="21"/>
                      <w:vertAlign w:val="baseline"/>
                      <w:lang w:val="en-US" w:eastAsia="zh-CN"/>
                    </w:rPr>
                    <w:t>本项目锅炉烟气经一套“冷却塔+布袋除尘”处理后可达标排放</w:t>
                  </w:r>
                </w:p>
              </w:tc>
              <w:tc>
                <w:tcPr>
                  <w:tcW w:w="615" w:type="pct"/>
                  <w:vAlign w:val="center"/>
                </w:tcPr>
                <w:p w14:paraId="0A4B613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eastAsia="宋体"/>
                      <w:b w:val="0"/>
                      <w:bCs/>
                      <w:color w:val="FF0000"/>
                      <w:kern w:val="2"/>
                      <w:sz w:val="21"/>
                      <w:szCs w:val="21"/>
                      <w:vertAlign w:val="baseline"/>
                      <w:lang w:val="en-US" w:eastAsia="zh-CN"/>
                    </w:rPr>
                  </w:pPr>
                  <w:r>
                    <w:rPr>
                      <w:rFonts w:hint="eastAsia"/>
                      <w:b w:val="0"/>
                      <w:bCs/>
                      <w:color w:val="FF0000"/>
                      <w:kern w:val="2"/>
                      <w:sz w:val="21"/>
                      <w:szCs w:val="21"/>
                      <w:vertAlign w:val="baseline"/>
                      <w:lang w:val="en-US" w:eastAsia="zh-CN"/>
                    </w:rPr>
                    <w:t>符合</w:t>
                  </w:r>
                </w:p>
              </w:tc>
            </w:tr>
            <w:tr w14:paraId="308BADA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01" w:type="pct"/>
                  <w:vAlign w:val="center"/>
                </w:tcPr>
                <w:p w14:paraId="4242D35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eastAsia="宋体"/>
                      <w:b w:val="0"/>
                      <w:bCs/>
                      <w:color w:val="FF0000"/>
                      <w:kern w:val="2"/>
                      <w:sz w:val="21"/>
                      <w:szCs w:val="21"/>
                      <w:vertAlign w:val="baseline"/>
                      <w:lang w:val="en-US" w:eastAsia="zh-CN"/>
                    </w:rPr>
                  </w:pPr>
                  <w:r>
                    <w:rPr>
                      <w:rFonts w:hint="eastAsia" w:eastAsia="宋体"/>
                      <w:b w:val="0"/>
                      <w:bCs/>
                      <w:color w:val="FF0000"/>
                      <w:kern w:val="2"/>
                      <w:sz w:val="21"/>
                      <w:szCs w:val="21"/>
                      <w:vertAlign w:val="baseline"/>
                      <w:lang w:val="en-US" w:eastAsia="zh-CN"/>
                    </w:rPr>
                    <w:t>4</w:t>
                  </w:r>
                </w:p>
              </w:tc>
              <w:tc>
                <w:tcPr>
                  <w:tcW w:w="2787" w:type="pct"/>
                  <w:vAlign w:val="center"/>
                </w:tcPr>
                <w:p w14:paraId="2E09446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color w:val="FF0000"/>
                    </w:rPr>
                  </w:pPr>
                  <w:r>
                    <w:rPr>
                      <w:rFonts w:hint="eastAsia"/>
                      <w:color w:val="FF0000"/>
                    </w:rPr>
                    <w:t>锅炉所用的生物质成型燃料应经入库检验</w:t>
                  </w:r>
                  <w:r>
                    <w:rPr>
                      <w:rFonts w:hint="eastAsia"/>
                      <w:color w:val="FF0000"/>
                      <w:lang w:eastAsia="zh-CN"/>
                    </w:rPr>
                    <w:t>，</w:t>
                  </w:r>
                  <w:r>
                    <w:rPr>
                      <w:rFonts w:hint="eastAsia"/>
                      <w:color w:val="FF0000"/>
                    </w:rPr>
                    <w:t>且符合设计或订货合同的规定</w:t>
                  </w:r>
                  <w:r>
                    <w:rPr>
                      <w:rFonts w:hint="eastAsia"/>
                      <w:color w:val="FF0000"/>
                      <w:lang w:eastAsia="zh-CN"/>
                    </w:rPr>
                    <w:t>，</w:t>
                  </w:r>
                  <w:r>
                    <w:rPr>
                      <w:rFonts w:hint="eastAsia"/>
                      <w:color w:val="FF0000"/>
                    </w:rPr>
                    <w:t>其储存应有防水、</w:t>
                  </w:r>
                </w:p>
                <w:p w14:paraId="4A62294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eastAsia="宋体"/>
                      <w:b/>
                      <w:bCs w:val="0"/>
                      <w:color w:val="FF0000"/>
                      <w:kern w:val="2"/>
                      <w:sz w:val="21"/>
                      <w:szCs w:val="21"/>
                      <w:vertAlign w:val="baseline"/>
                      <w:lang w:val="en-US" w:eastAsia="zh-CN"/>
                    </w:rPr>
                  </w:pPr>
                  <w:r>
                    <w:rPr>
                      <w:rFonts w:hint="eastAsia"/>
                      <w:color w:val="FF0000"/>
                    </w:rPr>
                    <w:t>防火措施，散装燃料或有扬尘时还应有防尘措施。</w:t>
                  </w:r>
                </w:p>
              </w:tc>
              <w:tc>
                <w:tcPr>
                  <w:tcW w:w="1295" w:type="pct"/>
                  <w:vAlign w:val="center"/>
                </w:tcPr>
                <w:p w14:paraId="7329AD8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both"/>
                    <w:textAlignment w:val="auto"/>
                    <w:rPr>
                      <w:rFonts w:hint="default" w:eastAsia="宋体"/>
                      <w:b w:val="0"/>
                      <w:bCs/>
                      <w:color w:val="FF0000"/>
                      <w:kern w:val="2"/>
                      <w:sz w:val="21"/>
                      <w:szCs w:val="21"/>
                      <w:vertAlign w:val="baseline"/>
                      <w:lang w:val="en-US" w:eastAsia="zh-CN"/>
                    </w:rPr>
                  </w:pPr>
                  <w:r>
                    <w:rPr>
                      <w:rFonts w:hint="eastAsia" w:eastAsia="宋体"/>
                      <w:b w:val="0"/>
                      <w:bCs/>
                      <w:color w:val="FF0000"/>
                      <w:kern w:val="2"/>
                      <w:sz w:val="21"/>
                      <w:szCs w:val="21"/>
                      <w:vertAlign w:val="baseline"/>
                      <w:lang w:val="en-US" w:eastAsia="zh-CN"/>
                    </w:rPr>
                    <w:t>项目锅炉所使用的生物质</w:t>
                  </w:r>
                  <w:r>
                    <w:rPr>
                      <w:rFonts w:hint="eastAsia"/>
                      <w:color w:val="FF0000"/>
                    </w:rPr>
                    <w:t>成型燃料入库</w:t>
                  </w:r>
                  <w:r>
                    <w:rPr>
                      <w:rFonts w:hint="eastAsia"/>
                      <w:color w:val="FF0000"/>
                      <w:lang w:val="en-US" w:eastAsia="zh-CN"/>
                    </w:rPr>
                    <w:t>前会经过</w:t>
                  </w:r>
                  <w:r>
                    <w:rPr>
                      <w:rFonts w:hint="eastAsia"/>
                      <w:color w:val="FF0000"/>
                    </w:rPr>
                    <w:t>检验</w:t>
                  </w:r>
                  <w:r>
                    <w:rPr>
                      <w:rFonts w:hint="eastAsia"/>
                      <w:color w:val="FF0000"/>
                      <w:lang w:eastAsia="zh-CN"/>
                    </w:rPr>
                    <w:t>，</w:t>
                  </w:r>
                  <w:r>
                    <w:rPr>
                      <w:rFonts w:hint="eastAsia"/>
                      <w:color w:val="FF0000"/>
                      <w:lang w:val="en-US" w:eastAsia="zh-CN"/>
                    </w:rPr>
                    <w:t>储存仓库已做防渗处理。</w:t>
                  </w:r>
                </w:p>
              </w:tc>
              <w:tc>
                <w:tcPr>
                  <w:tcW w:w="615" w:type="pct"/>
                  <w:vAlign w:val="center"/>
                </w:tcPr>
                <w:p w14:paraId="24633E2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eastAsia="宋体"/>
                      <w:b w:val="0"/>
                      <w:bCs/>
                      <w:color w:val="FF0000"/>
                      <w:kern w:val="2"/>
                      <w:sz w:val="21"/>
                      <w:szCs w:val="21"/>
                      <w:vertAlign w:val="baseline"/>
                      <w:lang w:val="en-US" w:eastAsia="zh-CN"/>
                    </w:rPr>
                  </w:pPr>
                  <w:r>
                    <w:rPr>
                      <w:rFonts w:hint="eastAsia"/>
                      <w:b w:val="0"/>
                      <w:bCs/>
                      <w:color w:val="FF0000"/>
                      <w:kern w:val="2"/>
                      <w:sz w:val="21"/>
                      <w:szCs w:val="21"/>
                      <w:vertAlign w:val="baseline"/>
                      <w:lang w:val="en-US" w:eastAsia="zh-CN"/>
                    </w:rPr>
                    <w:t>符合</w:t>
                  </w:r>
                </w:p>
              </w:tc>
            </w:tr>
          </w:tbl>
          <w:p w14:paraId="565812E5">
            <w:pPr>
              <w:pStyle w:val="59"/>
              <w:ind w:left="0" w:leftChars="0" w:firstLine="0" w:firstLineChars="0"/>
              <w:rPr>
                <w:color w:val="auto"/>
              </w:rPr>
            </w:pPr>
          </w:p>
        </w:tc>
      </w:tr>
    </w:tbl>
    <w:p w14:paraId="107037B6">
      <w:pPr>
        <w:spacing w:line="360" w:lineRule="auto"/>
        <w:outlineLvl w:val="0"/>
        <w:rPr>
          <w:rFonts w:eastAsia="黑体"/>
          <w:sz w:val="30"/>
        </w:rPr>
        <w:sectPr>
          <w:footerReference r:id="rId6" w:type="default"/>
          <w:pgSz w:w="11906" w:h="16838"/>
          <w:pgMar w:top="1701" w:right="1531" w:bottom="1701" w:left="1531" w:header="851" w:footer="1077" w:gutter="0"/>
          <w:pgBorders>
            <w:top w:val="none" w:sz="0" w:space="0"/>
            <w:left w:val="none" w:sz="0" w:space="0"/>
            <w:bottom w:val="none" w:sz="0" w:space="0"/>
            <w:right w:val="none" w:sz="0" w:space="0"/>
          </w:pgBorders>
          <w:pgNumType w:fmt="decimal" w:start="1"/>
          <w:cols w:space="720" w:num="1"/>
          <w:docGrid w:linePitch="312" w:charSpace="0"/>
        </w:sectPr>
      </w:pPr>
    </w:p>
    <w:p w14:paraId="2DE8CEBA">
      <w:pPr>
        <w:pStyle w:val="23"/>
        <w:spacing w:before="0" w:beforeAutospacing="0" w:after="0" w:afterAutospacing="0"/>
        <w:jc w:val="center"/>
        <w:outlineLvl w:val="0"/>
        <w:rPr>
          <w:rFonts w:ascii="Times New Roman" w:hAnsi="Times New Roman"/>
          <w:snapToGrid w:val="0"/>
          <w:sz w:val="30"/>
          <w:szCs w:val="30"/>
        </w:rPr>
      </w:pPr>
      <w:r>
        <w:rPr>
          <w:rFonts w:hint="eastAsia" w:ascii="Times New Roman" w:hAnsi="Times New Roman"/>
          <w:snapToGrid w:val="0"/>
          <w:sz w:val="30"/>
          <w:szCs w:val="30"/>
        </w:rPr>
        <w:t>二、建设项目工程分析</w:t>
      </w:r>
    </w:p>
    <w:tbl>
      <w:tblPr>
        <w:tblStyle w:val="2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82"/>
        <w:gridCol w:w="8302"/>
      </w:tblGrid>
      <w:tr w14:paraId="0597E8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23" w:hRule="atLeast"/>
          <w:jc w:val="center"/>
        </w:trPr>
        <w:tc>
          <w:tcPr>
            <w:tcW w:w="682" w:type="dxa"/>
            <w:vAlign w:val="center"/>
          </w:tcPr>
          <w:p w14:paraId="7B5B069B">
            <w:pPr>
              <w:pStyle w:val="23"/>
              <w:adjustRightInd w:val="0"/>
              <w:snapToGrid w:val="0"/>
              <w:spacing w:before="0" w:beforeAutospacing="0" w:after="0" w:afterAutospacing="0"/>
              <w:jc w:val="center"/>
              <w:rPr>
                <w:rFonts w:cs="宋体"/>
                <w:sz w:val="21"/>
                <w:szCs w:val="21"/>
              </w:rPr>
            </w:pPr>
            <w:r>
              <w:rPr>
                <w:rFonts w:hint="eastAsia" w:cs="宋体"/>
                <w:sz w:val="21"/>
                <w:szCs w:val="21"/>
              </w:rPr>
              <w:t>建设内容</w:t>
            </w:r>
          </w:p>
        </w:tc>
        <w:tc>
          <w:tcPr>
            <w:tcW w:w="8302" w:type="dxa"/>
          </w:tcPr>
          <w:p w14:paraId="3FB3E70C">
            <w:pPr>
              <w:adjustRightInd w:val="0"/>
              <w:snapToGrid w:val="0"/>
              <w:spacing w:line="360" w:lineRule="auto"/>
              <w:ind w:firstLine="482" w:firstLineChars="200"/>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一、项目由来</w:t>
            </w:r>
          </w:p>
          <w:p w14:paraId="471E9AA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000000" w:themeColor="text1"/>
                <w:sz w:val="24"/>
                <w:szCs w:val="24"/>
                <w:lang w:val="en-US" w:eastAsia="zh-CN"/>
                <w14:textFill>
                  <w14:solidFill>
                    <w14:schemeClr w14:val="tx1"/>
                  </w14:solidFill>
                </w14:textFill>
              </w:rPr>
            </w:pPr>
            <w:bookmarkStart w:id="1" w:name="OLE_LINK13"/>
            <w:r>
              <w:rPr>
                <w:rFonts w:hint="default" w:ascii="Times New Roman" w:hAnsi="Times New Roman" w:eastAsia="宋体" w:cs="Times New Roman"/>
                <w:color w:val="000000" w:themeColor="text1"/>
                <w:sz w:val="24"/>
                <w:szCs w:val="24"/>
                <w14:textFill>
                  <w14:solidFill>
                    <w14:schemeClr w14:val="tx1"/>
                  </w14:solidFill>
                </w14:textFill>
              </w:rPr>
              <w:t>江西高安大北农饲料有限公司</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是一家</w:t>
            </w:r>
            <w:r>
              <w:rPr>
                <w:rFonts w:hint="default" w:ascii="Times New Roman" w:hAnsi="Times New Roman" w:eastAsia="宋体" w:cs="Times New Roman"/>
                <w:i w:val="0"/>
                <w:iCs w:val="0"/>
                <w:caps w:val="0"/>
                <w:color w:val="000000" w:themeColor="text1"/>
                <w:spacing w:val="0"/>
                <w:sz w:val="24"/>
                <w:szCs w:val="24"/>
                <w:shd w:val="clear" w:fill="FFFFFF"/>
                <w14:textFill>
                  <w14:solidFill>
                    <w14:schemeClr w14:val="tx1"/>
                  </w14:solidFill>
                </w14:textFill>
              </w:rPr>
              <w:t>经营</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饲料生产，饲料添加剂生产</w:t>
            </w:r>
            <w:r>
              <w:rPr>
                <w:rFonts w:hint="eastAsia" w:cs="Times New Roman"/>
                <w:color w:val="000000" w:themeColor="text1"/>
                <w:sz w:val="24"/>
                <w:szCs w:val="24"/>
                <w:lang w:val="en-US" w:eastAsia="zh-CN"/>
                <w14:textFill>
                  <w14:solidFill>
                    <w14:schemeClr w14:val="tx1"/>
                  </w14:solidFill>
                </w14:textFill>
              </w:rPr>
              <w:t>销售的公司。公司</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成立于2012</w:t>
            </w:r>
            <w:r>
              <w:rPr>
                <w:rFonts w:hint="eastAsia" w:cs="Times New Roman"/>
                <w:color w:val="000000" w:themeColor="text1"/>
                <w:sz w:val="24"/>
                <w:szCs w:val="24"/>
                <w:lang w:val="en-US" w:eastAsia="zh-CN"/>
                <w14:textFill>
                  <w14:solidFill>
                    <w14:schemeClr w14:val="tx1"/>
                  </w14:solidFill>
                </w14:textFill>
              </w:rPr>
              <w:t>年</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06月27日</w:t>
            </w:r>
            <w:r>
              <w:rPr>
                <w:rFonts w:hint="eastAsia" w:cs="Times New Roman"/>
                <w:color w:val="000000" w:themeColor="text1"/>
                <w:sz w:val="24"/>
                <w:szCs w:val="24"/>
                <w:lang w:val="en-US" w:eastAsia="zh-CN"/>
                <w14:textFill>
                  <w14:solidFill>
                    <w14:schemeClr w14:val="tx1"/>
                  </w14:solidFill>
                </w14:textFill>
              </w:rPr>
              <w:t>，项目建设于</w:t>
            </w:r>
            <w:r>
              <w:rPr>
                <w:rFonts w:hint="default" w:ascii="Times New Roman" w:hAnsi="Times New Roman" w:eastAsia="宋体" w:cs="Times New Roman"/>
                <w:color w:val="000000" w:themeColor="text1"/>
                <w:kern w:val="24"/>
                <w:sz w:val="24"/>
                <w:szCs w:val="24"/>
                <w:lang w:bidi="ar"/>
                <w14:textFill>
                  <w14:solidFill>
                    <w14:schemeClr w14:val="tx1"/>
                  </w14:solidFill>
                </w14:textFill>
              </w:rPr>
              <w:t>江西高安</w:t>
            </w:r>
            <w:r>
              <w:rPr>
                <w:rFonts w:hint="default" w:ascii="Times New Roman" w:hAnsi="Times New Roman" w:eastAsia="宋体" w:cs="Times New Roman"/>
                <w:color w:val="FF0000"/>
                <w:sz w:val="24"/>
                <w:szCs w:val="24"/>
              </w:rPr>
              <w:t>高新技术产业园区</w:t>
            </w:r>
            <w:r>
              <w:rPr>
                <w:rFonts w:ascii="Arial" w:hAnsi="Arial" w:eastAsia="Arial" w:cs="Arial"/>
                <w:i w:val="0"/>
                <w:iCs w:val="0"/>
                <w:caps w:val="0"/>
                <w:color w:val="FF0000"/>
                <w:spacing w:val="0"/>
                <w:sz w:val="24"/>
                <w:szCs w:val="24"/>
                <w:shd w:val="clear" w:fill="FFFFFF"/>
              </w:rPr>
              <w:t>江西省建筑陶瓷产业基地</w:t>
            </w:r>
            <w:r>
              <w:rPr>
                <w:rFonts w:hint="eastAsia" w:cs="Times New Roman"/>
                <w:color w:val="FF0000"/>
                <w:kern w:val="24"/>
                <w:sz w:val="24"/>
                <w:szCs w:val="24"/>
                <w:lang w:val="en-US" w:eastAsia="zh-CN" w:bidi="ar"/>
              </w:rPr>
              <w:t>内</w:t>
            </w:r>
            <w:r>
              <w:rPr>
                <w:rFonts w:hint="eastAsia" w:cs="Times New Roman"/>
                <w:color w:val="000000" w:themeColor="text1"/>
                <w:kern w:val="24"/>
                <w:sz w:val="24"/>
                <w:szCs w:val="24"/>
                <w:lang w:eastAsia="zh-CN" w:bidi="ar"/>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项目地理位置中心坐标为东经</w:t>
            </w:r>
            <w:r>
              <w:rPr>
                <w:rFonts w:hint="eastAsia"/>
                <w:color w:val="000000" w:themeColor="text1"/>
                <w:sz w:val="24"/>
                <w14:textFill>
                  <w14:solidFill>
                    <w14:schemeClr w14:val="tx1"/>
                  </w14:solidFill>
                </w14:textFill>
              </w:rPr>
              <w:t>115</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30</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16.900</w:t>
            </w:r>
            <w:r>
              <w:rPr>
                <w:color w:val="000000" w:themeColor="text1"/>
                <w:sz w:val="24"/>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，北纬</w:t>
            </w:r>
            <w:r>
              <w:rPr>
                <w:rFonts w:hint="eastAsia"/>
                <w:color w:val="000000" w:themeColor="text1"/>
                <w:sz w:val="24"/>
                <w14:textFill>
                  <w14:solidFill>
                    <w14:schemeClr w14:val="tx1"/>
                  </w14:solidFill>
                </w14:textFill>
              </w:rPr>
              <w:t>28</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8</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43.615</w:t>
            </w:r>
            <w:r>
              <w:rPr>
                <w:color w:val="000000" w:themeColor="text1"/>
                <w:sz w:val="24"/>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，详见附图一</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p>
          <w:p w14:paraId="6B204D5F">
            <w:pPr>
              <w:pStyle w:val="18"/>
              <w:rPr>
                <w:rFonts w:hint="eastAsia" w:ascii="Times New Roman" w:cs="Times New Roman"/>
                <w:color w:val="000000" w:themeColor="text1"/>
                <w:sz w:val="24"/>
                <w:szCs w:val="24"/>
                <w:highlight w:val="none"/>
                <w:lang w:val="en-US" w:eastAsia="zh-CN" w:bidi="ar"/>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2013年1月，</w:t>
            </w:r>
            <w:r>
              <w:rPr>
                <w:rFonts w:hint="default" w:ascii="Times New Roman" w:hAnsi="Times New Roman" w:eastAsia="宋体" w:cs="Times New Roman"/>
                <w:color w:val="000000" w:themeColor="text1"/>
                <w:sz w:val="24"/>
                <w:szCs w:val="24"/>
                <w:highlight w:val="none"/>
                <w:lang w:eastAsia="zh-CN" w:bidi="ar"/>
                <w14:textFill>
                  <w14:solidFill>
                    <w14:schemeClr w14:val="tx1"/>
                  </w14:solidFill>
                </w14:textFill>
              </w:rPr>
              <w:t>江西高安大北农饲料有限公司</w:t>
            </w:r>
            <w:r>
              <w:rPr>
                <w:rFonts w:hint="eastAsia" w:ascii="Times New Roman" w:hAnsi="Times New Roman" w:eastAsia="宋体" w:cs="Times New Roman"/>
                <w:color w:val="000000" w:themeColor="text1"/>
                <w:sz w:val="24"/>
                <w:szCs w:val="24"/>
                <w:highlight w:val="none"/>
                <w:lang w:val="en-US" w:eastAsia="zh-CN" w:bidi="ar"/>
                <w14:textFill>
                  <w14:solidFill>
                    <w14:schemeClr w14:val="tx1"/>
                  </w14:solidFill>
                </w14:textFill>
              </w:rPr>
              <w:t>投资10000万元建设江西高安大北农饲料有限公司年产24万吨饲料加工项目，并委托宜春市环境保护科学研究所编制了《江西高安大北农饲料有限公司年产24万吨饲料加工项目环境影响报告表》，于2013年3月11日取得了原宜春市环境保护局印发的《关于江西高安大北农饲料有限公司年产24万吨饲料加工项目环境影响报告表的批复》（宜环评字</w:t>
            </w:r>
            <w:r>
              <w:rPr>
                <w:rFonts w:hint="eastAsia" w:ascii="微软雅黑" w:hAnsi="微软雅黑" w:eastAsia="微软雅黑" w:cs="微软雅黑"/>
                <w:color w:val="000000" w:themeColor="text1"/>
                <w:sz w:val="24"/>
                <w:szCs w:val="24"/>
                <w:highlight w:val="none"/>
                <w:lang w:val="en-US" w:eastAsia="zh-CN" w:bidi="ar"/>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bidi="ar"/>
                <w14:textFill>
                  <w14:solidFill>
                    <w14:schemeClr w14:val="tx1"/>
                  </w14:solidFill>
                </w14:textFill>
              </w:rPr>
              <w:t>2013</w:t>
            </w:r>
            <w:r>
              <w:rPr>
                <w:rFonts w:hint="eastAsia" w:ascii="微软雅黑" w:hAnsi="微软雅黑" w:eastAsia="微软雅黑" w:cs="微软雅黑"/>
                <w:color w:val="000000" w:themeColor="text1"/>
                <w:sz w:val="24"/>
                <w:szCs w:val="24"/>
                <w:highlight w:val="none"/>
                <w:lang w:val="en-US" w:eastAsia="zh-CN" w:bidi="ar"/>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bidi="ar"/>
                <w14:textFill>
                  <w14:solidFill>
                    <w14:schemeClr w14:val="tx1"/>
                  </w14:solidFill>
                </w14:textFill>
              </w:rPr>
              <w:t>71号）</w:t>
            </w:r>
            <w:r>
              <w:rPr>
                <w:rFonts w:hint="eastAsia" w:ascii="Times New Roman" w:cs="Times New Roman"/>
                <w:color w:val="000000" w:themeColor="text1"/>
                <w:sz w:val="24"/>
                <w:szCs w:val="24"/>
                <w:highlight w:val="none"/>
                <w:lang w:val="en-US" w:eastAsia="zh-CN" w:bidi="ar"/>
                <w14:textFill>
                  <w14:solidFill>
                    <w14:schemeClr w14:val="tx1"/>
                  </w14:solidFill>
                </w14:textFill>
              </w:rPr>
              <w:t>。现有项目以玉米、次粉、米糠、鱼粉、豆粕、棉粕为原料，经初清、粉碎、配料、混合、制粒、冷却、破碎、分级工序制得产品饲料，并达到年产24万吨饲料的生产规模。</w:t>
            </w:r>
          </w:p>
          <w:p w14:paraId="09BBD95C">
            <w:pPr>
              <w:pStyle w:val="18"/>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000000" w:themeColor="text1"/>
                <w:sz w:val="24"/>
                <w:szCs w:val="24"/>
                <w:highlight w:val="none"/>
                <w:lang w:val="en-US" w:eastAsia="zh-CN" w:bidi="ar"/>
                <w14:textFill>
                  <w14:solidFill>
                    <w14:schemeClr w14:val="tx1"/>
                  </w14:solidFill>
                </w14:textFill>
              </w:rPr>
              <w:t>2014年7月，</w:t>
            </w:r>
            <w:r>
              <w:rPr>
                <w:rFonts w:hint="default" w:ascii="Times New Roman" w:hAnsi="Times New Roman" w:eastAsia="宋体" w:cs="Times New Roman"/>
                <w:color w:val="000000" w:themeColor="text1"/>
                <w:sz w:val="24"/>
                <w:szCs w:val="24"/>
                <w:highlight w:val="none"/>
                <w:lang w:eastAsia="zh-CN" w:bidi="ar"/>
                <w14:textFill>
                  <w14:solidFill>
                    <w14:schemeClr w14:val="tx1"/>
                  </w14:solidFill>
                </w14:textFill>
              </w:rPr>
              <w:t>江西高安大北农饲料有限公司</w:t>
            </w:r>
            <w:r>
              <w:rPr>
                <w:rFonts w:hint="eastAsia" w:ascii="Times New Roman" w:hAnsi="Times New Roman" w:eastAsia="宋体" w:cs="Times New Roman"/>
                <w:color w:val="000000" w:themeColor="text1"/>
                <w:sz w:val="24"/>
                <w:szCs w:val="24"/>
                <w:highlight w:val="none"/>
                <w:lang w:val="en-US" w:eastAsia="zh-CN" w:bidi="ar"/>
                <w14:textFill>
                  <w14:solidFill>
                    <w14:schemeClr w14:val="tx1"/>
                  </w14:solidFill>
                </w14:textFill>
              </w:rPr>
              <w:t>委托宜春市环境监测站编制了《建设项目竣工环境保护验收监测报告表》，并于2015年2月11日取得了原宜春市环境保护局印发的《关于江西高安大北农饲料有限公司年产24万吨饲料加工项目竣工环境保护验收意见的函》（宜环评验字</w:t>
            </w:r>
            <w:r>
              <w:rPr>
                <w:rFonts w:hint="eastAsia" w:ascii="微软雅黑" w:hAnsi="微软雅黑" w:eastAsia="微软雅黑" w:cs="微软雅黑"/>
                <w:color w:val="000000" w:themeColor="text1"/>
                <w:sz w:val="24"/>
                <w:szCs w:val="24"/>
                <w:highlight w:val="none"/>
                <w:lang w:val="en-US" w:eastAsia="zh-CN" w:bidi="ar"/>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bidi="ar"/>
                <w14:textFill>
                  <w14:solidFill>
                    <w14:schemeClr w14:val="tx1"/>
                  </w14:solidFill>
                </w14:textFill>
              </w:rPr>
              <w:t>2015</w:t>
            </w:r>
            <w:r>
              <w:rPr>
                <w:rFonts w:hint="eastAsia" w:ascii="微软雅黑" w:hAnsi="微软雅黑" w:eastAsia="微软雅黑" w:cs="微软雅黑"/>
                <w:color w:val="000000" w:themeColor="text1"/>
                <w:sz w:val="24"/>
                <w:szCs w:val="24"/>
                <w:highlight w:val="none"/>
                <w:lang w:val="en-US" w:eastAsia="zh-CN" w:bidi="ar"/>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bidi="ar"/>
                <w14:textFill>
                  <w14:solidFill>
                    <w14:schemeClr w14:val="tx1"/>
                  </w14:solidFill>
                </w14:textFill>
              </w:rPr>
              <w:t>31号）。</w:t>
            </w:r>
            <w:bookmarkEnd w:id="1"/>
          </w:p>
          <w:p w14:paraId="4DBEBFFA">
            <w:pPr>
              <w:pStyle w:val="103"/>
              <w:rPr>
                <w:rFonts w:hint="default" w:cs="Times New Roman"/>
                <w:color w:val="FF0000"/>
                <w:sz w:val="24"/>
                <w:szCs w:val="24"/>
                <w:lang w:val="en-US" w:eastAsia="zh-CN"/>
              </w:rPr>
            </w:pPr>
            <w:r>
              <w:rPr>
                <w:rFonts w:hint="eastAsia" w:ascii="Times New Roman" w:hAnsi="Times New Roman" w:eastAsia="宋体" w:cs="Times New Roman"/>
                <w:color w:val="FF0000"/>
                <w:sz w:val="24"/>
                <w:szCs w:val="24"/>
                <w:lang w:val="en-US" w:eastAsia="zh-CN"/>
              </w:rPr>
              <w:t>2025年，</w:t>
            </w:r>
            <w:r>
              <w:rPr>
                <w:rFonts w:hint="eastAsia" w:cs="Times New Roman"/>
                <w:color w:val="FF0000"/>
                <w:sz w:val="24"/>
                <w:szCs w:val="24"/>
                <w:lang w:val="en-US" w:eastAsia="zh-CN"/>
              </w:rPr>
              <w:t>由于</w:t>
            </w:r>
            <w:r>
              <w:rPr>
                <w:rFonts w:hint="eastAsia" w:ascii="Times New Roman" w:hAnsi="Times New Roman" w:eastAsia="宋体" w:cs="Times New Roman"/>
                <w:color w:val="FF0000"/>
                <w:sz w:val="24"/>
                <w:szCs w:val="24"/>
                <w:lang w:val="en-US" w:eastAsia="zh-CN"/>
              </w:rPr>
              <w:t>现有锅炉使用年限较长，存在运行不稳定的情况，为了确保生产经营活动正常进行</w:t>
            </w:r>
            <w:r>
              <w:rPr>
                <w:rFonts w:hint="eastAsia" w:cs="Times New Roman"/>
                <w:color w:val="FF0000"/>
                <w:sz w:val="24"/>
                <w:szCs w:val="24"/>
                <w:lang w:val="en-US" w:eastAsia="zh-CN"/>
              </w:rPr>
              <w:t>，本技改</w:t>
            </w:r>
            <w:r>
              <w:rPr>
                <w:rFonts w:hint="eastAsia" w:ascii="Times New Roman" w:hAnsi="Times New Roman" w:eastAsia="宋体" w:cs="Times New Roman"/>
                <w:color w:val="FF0000"/>
                <w:sz w:val="24"/>
                <w:szCs w:val="24"/>
                <w:lang w:val="en-US" w:eastAsia="zh-CN"/>
              </w:rPr>
              <w:t>项目</w:t>
            </w:r>
            <w:r>
              <w:rPr>
                <w:rFonts w:hint="eastAsia" w:cs="Times New Roman"/>
                <w:color w:val="FF0000"/>
                <w:sz w:val="24"/>
                <w:szCs w:val="24"/>
                <w:lang w:val="en-US" w:eastAsia="zh-CN"/>
              </w:rPr>
              <w:t>在</w:t>
            </w:r>
            <w:r>
              <w:rPr>
                <w:rFonts w:hint="eastAsia" w:ascii="Times New Roman" w:hAnsi="Times New Roman" w:eastAsia="宋体" w:cs="Times New Roman"/>
                <w:color w:val="FF0000"/>
                <w:sz w:val="24"/>
                <w:szCs w:val="24"/>
                <w:lang w:val="en-US" w:eastAsia="zh-CN"/>
              </w:rPr>
              <w:t>原有一台6t/h生物质锅炉基础上申请增加一台6t/h生物质锅炉</w:t>
            </w:r>
            <w:r>
              <w:rPr>
                <w:rFonts w:hint="eastAsia" w:cs="Times New Roman"/>
                <w:color w:val="FF0000"/>
                <w:sz w:val="24"/>
                <w:szCs w:val="24"/>
                <w:lang w:val="en-US" w:eastAsia="zh-CN"/>
              </w:rPr>
              <w:t>，并新增一套“冷却塔+布袋除尘”设施用于处理新增锅炉生产过程中产生的锅炉烟气。原有锅炉作为备用锅炉使用，并再新增一套“冷却塔+布袋除尘”设施，将备用锅炉烟气处理设施由“水膜除尘”也替换为“冷却塔+布袋除尘”。项目建成后2台锅炉不同时运行，锅炉总运行时长为4650h/a，新增锅炉与备用锅炉共用1根35m高排气筒DA001。由于</w:t>
            </w:r>
            <w:r>
              <w:rPr>
                <w:rFonts w:hint="eastAsia" w:ascii="Times New Roman" w:hAnsi="Times New Roman" w:eastAsia="宋体" w:cs="Times New Roman"/>
                <w:color w:val="FF0000"/>
                <w:sz w:val="24"/>
                <w:szCs w:val="24"/>
                <w:lang w:val="en-US" w:eastAsia="zh-CN"/>
              </w:rPr>
              <w:t>本次</w:t>
            </w:r>
            <w:r>
              <w:rPr>
                <w:rFonts w:hint="eastAsia" w:cs="Times New Roman"/>
                <w:color w:val="FF0000"/>
                <w:sz w:val="24"/>
                <w:szCs w:val="24"/>
                <w:lang w:val="en-US" w:eastAsia="zh-CN"/>
              </w:rPr>
              <w:t>技改</w:t>
            </w:r>
            <w:r>
              <w:rPr>
                <w:rFonts w:hint="eastAsia" w:ascii="Times New Roman" w:hAnsi="Times New Roman" w:eastAsia="宋体" w:cs="Times New Roman"/>
                <w:color w:val="FF0000"/>
                <w:sz w:val="24"/>
                <w:szCs w:val="24"/>
                <w:lang w:val="en-US" w:eastAsia="zh-CN"/>
              </w:rPr>
              <w:t>项目依托现有建筑，不新增用地，不改变现</w:t>
            </w:r>
            <w:r>
              <w:rPr>
                <w:rFonts w:hint="eastAsia" w:cs="Times New Roman"/>
                <w:color w:val="FF0000"/>
                <w:sz w:val="24"/>
                <w:szCs w:val="24"/>
                <w:lang w:val="en-US" w:eastAsia="zh-CN"/>
              </w:rPr>
              <w:t>有</w:t>
            </w:r>
            <w:r>
              <w:rPr>
                <w:rFonts w:hint="eastAsia" w:ascii="Times New Roman" w:hAnsi="Times New Roman" w:eastAsia="宋体" w:cs="Times New Roman"/>
                <w:color w:val="FF0000"/>
                <w:sz w:val="24"/>
                <w:szCs w:val="24"/>
                <w:lang w:val="en-US" w:eastAsia="zh-CN"/>
              </w:rPr>
              <w:t>项目生产工艺</w:t>
            </w:r>
            <w:r>
              <w:rPr>
                <w:rFonts w:hint="eastAsia" w:cs="Times New Roman"/>
                <w:color w:val="FF0000"/>
                <w:sz w:val="24"/>
                <w:szCs w:val="24"/>
                <w:lang w:val="en-US" w:eastAsia="zh-CN"/>
              </w:rPr>
              <w:t>、</w:t>
            </w:r>
            <w:r>
              <w:rPr>
                <w:rFonts w:hint="eastAsia" w:ascii="Times New Roman" w:hAnsi="Times New Roman" w:eastAsia="宋体" w:cs="Times New Roman"/>
                <w:color w:val="FF0000"/>
                <w:sz w:val="24"/>
                <w:szCs w:val="24"/>
                <w:lang w:val="en-US" w:eastAsia="zh-CN"/>
              </w:rPr>
              <w:t>产品方案</w:t>
            </w:r>
            <w:r>
              <w:rPr>
                <w:rFonts w:hint="eastAsia" w:cs="Times New Roman"/>
                <w:color w:val="FF0000"/>
                <w:sz w:val="24"/>
                <w:szCs w:val="24"/>
                <w:lang w:val="en-US" w:eastAsia="zh-CN"/>
              </w:rPr>
              <w:t>以及产品规模</w:t>
            </w:r>
            <w:r>
              <w:rPr>
                <w:rFonts w:hint="eastAsia" w:ascii="Times New Roman" w:hAnsi="Times New Roman" w:eastAsia="宋体" w:cs="Times New Roman"/>
                <w:color w:val="FF0000"/>
                <w:sz w:val="24"/>
                <w:szCs w:val="24"/>
                <w:lang w:val="en-US" w:eastAsia="zh-CN"/>
              </w:rPr>
              <w:t>，本次评价仅针对</w:t>
            </w:r>
            <w:r>
              <w:rPr>
                <w:rFonts w:hint="eastAsia" w:cs="Times New Roman"/>
                <w:color w:val="FF0000"/>
                <w:sz w:val="24"/>
                <w:szCs w:val="24"/>
                <w:lang w:val="en-US" w:eastAsia="zh-CN"/>
              </w:rPr>
              <w:t>新建</w:t>
            </w:r>
            <w:r>
              <w:rPr>
                <w:rFonts w:hint="eastAsia" w:ascii="Times New Roman" w:hAnsi="Times New Roman" w:eastAsia="宋体" w:cs="Times New Roman"/>
                <w:color w:val="FF0000"/>
                <w:sz w:val="24"/>
                <w:szCs w:val="24"/>
                <w:lang w:val="en-US" w:eastAsia="zh-CN"/>
              </w:rPr>
              <w:t>锅炉内容进行评价。</w:t>
            </w:r>
          </w:p>
          <w:p w14:paraId="6BEE0CE3">
            <w:pPr>
              <w:pStyle w:val="103"/>
              <w:ind w:left="0" w:leftChars="0" w:firstLine="480" w:firstLineChars="200"/>
              <w:rPr>
                <w:color w:val="auto"/>
                <w:sz w:val="24"/>
              </w:rPr>
            </w:pPr>
            <w:r>
              <w:rPr>
                <w:color w:val="auto"/>
                <w:kern w:val="0"/>
                <w:sz w:val="24"/>
              </w:rPr>
              <w:t>根据《中华人民共和国环境影响评价法》《建设项目环境保护管理条例》（国务院令第682号）、《建设项目环境影响评价分类管理名录》（2021版）等相关文件</w:t>
            </w:r>
            <w:r>
              <w:rPr>
                <w:color w:val="auto"/>
                <w:kern w:val="0"/>
                <w:sz w:val="24"/>
                <w:lang w:bidi="ar"/>
              </w:rPr>
              <w:t>，</w:t>
            </w:r>
            <w:r>
              <w:rPr>
                <w:color w:val="auto"/>
                <w:kern w:val="0"/>
                <w:sz w:val="24"/>
                <w:lang w:val="en-GB" w:bidi="ar"/>
              </w:rPr>
              <w:t>本项目</w:t>
            </w:r>
            <w:r>
              <w:rPr>
                <w:rFonts w:hint="eastAsia"/>
                <w:color w:val="auto"/>
                <w:kern w:val="0"/>
                <w:sz w:val="24"/>
                <w:lang w:bidi="ar"/>
              </w:rPr>
              <w:t>属于</w:t>
            </w:r>
            <w:r>
              <w:rPr>
                <w:rFonts w:hint="eastAsia"/>
                <w:color w:val="auto"/>
                <w:kern w:val="0"/>
                <w:sz w:val="24"/>
                <w:lang w:eastAsia="zh-CN" w:bidi="ar"/>
              </w:rPr>
              <w:t>“</w:t>
            </w:r>
            <w:r>
              <w:rPr>
                <w:rFonts w:hint="default" w:ascii="Times New Roman" w:hAnsi="Times New Roman" w:eastAsia="宋体" w:cs="Times New Roman"/>
                <w:color w:val="auto"/>
                <w:sz w:val="24"/>
              </w:rPr>
              <w:t>四十一、电力、热力生产和供应业91热力生产和供应工程（包括建设单位自建自用的供热工程）中使用其他高污染燃料的</w:t>
            </w:r>
            <w:r>
              <w:rPr>
                <w:rFonts w:hint="eastAsia"/>
                <w:color w:val="auto"/>
                <w:kern w:val="0"/>
                <w:sz w:val="24"/>
                <w:lang w:eastAsia="zh-CN" w:bidi="ar"/>
              </w:rPr>
              <w:t>”</w:t>
            </w:r>
            <w:r>
              <w:rPr>
                <w:rFonts w:hint="eastAsia"/>
                <w:color w:val="auto"/>
                <w:sz w:val="24"/>
              </w:rPr>
              <w:t>类别，因此，本项目应编制环境影响报告表。</w:t>
            </w:r>
          </w:p>
          <w:p w14:paraId="2CBAE74F">
            <w:pPr>
              <w:adjustRightInd w:val="0"/>
              <w:snapToGrid w:val="0"/>
              <w:spacing w:line="360" w:lineRule="auto"/>
              <w:ind w:firstLine="482" w:firstLineChars="200"/>
              <w:rPr>
                <w:b/>
                <w:bCs/>
                <w:color w:val="auto"/>
                <w:kern w:val="0"/>
                <w:sz w:val="24"/>
              </w:rPr>
            </w:pPr>
            <w:r>
              <w:rPr>
                <w:rFonts w:hint="eastAsia"/>
                <w:b/>
                <w:bCs/>
                <w:color w:val="auto"/>
                <w:kern w:val="0"/>
                <w:sz w:val="24"/>
              </w:rPr>
              <w:t>二、项目基本建设情况</w:t>
            </w:r>
          </w:p>
          <w:p w14:paraId="2A83B9FE">
            <w:pPr>
              <w:keepNext w:val="0"/>
              <w:keepLines w:val="0"/>
              <w:suppressLineNumbers w:val="0"/>
              <w:spacing w:before="0" w:beforeAutospacing="0" w:after="0" w:afterAutospacing="0" w:line="360" w:lineRule="auto"/>
              <w:ind w:left="0" w:right="0" w:firstLine="480" w:firstLineChars="200"/>
              <w:rPr>
                <w:rFonts w:hint="eastAsia" w:cs="Times New Roman"/>
                <w:color w:val="auto"/>
                <w:sz w:val="24"/>
                <w:szCs w:val="24"/>
                <w:lang w:val="en-US" w:eastAsia="zh-CN" w:bidi="ar"/>
              </w:rPr>
            </w:pPr>
            <w:r>
              <w:rPr>
                <w:rFonts w:hint="eastAsia" w:cs="Times New Roman"/>
                <w:color w:val="000000" w:themeColor="text1"/>
                <w:sz w:val="24"/>
                <w:szCs w:val="24"/>
                <w:lang w:val="en-US" w:eastAsia="zh-CN" w:bidi="ar"/>
                <w14:textFill>
                  <w14:solidFill>
                    <w14:schemeClr w14:val="tx1"/>
                  </w14:solidFill>
                </w14:textFill>
              </w:rPr>
              <w:t>此次技改项目</w:t>
            </w:r>
            <w:r>
              <w:rPr>
                <w:rFonts w:hint="eastAsia" w:cs="Times New Roman"/>
                <w:color w:val="000000" w:themeColor="text1"/>
                <w:sz w:val="24"/>
                <w:szCs w:val="24"/>
                <w:lang w:val="en-US" w:eastAsia="zh-CN"/>
                <w14:textFill>
                  <w14:solidFill>
                    <w14:schemeClr w14:val="tx1"/>
                  </w14:solidFill>
                </w14:textFill>
              </w:rPr>
              <w:t>在</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原有一台6t/h生物质锅炉基础上申请增加一台6t/h生物质锅炉</w:t>
            </w:r>
            <w:r>
              <w:rPr>
                <w:rFonts w:hint="eastAsia" w:ascii="Times New Roman" w:hAnsi="Times New Roman" w:cs="Times New Roman"/>
                <w:color w:val="000000" w:themeColor="text1"/>
                <w:sz w:val="24"/>
                <w:szCs w:val="24"/>
                <w:lang w:val="en-US" w:eastAsia="zh-CN"/>
                <w14:textFill>
                  <w14:solidFill>
                    <w14:schemeClr w14:val="tx1"/>
                  </w14:solidFill>
                </w14:textFill>
              </w:rPr>
              <w:t>，</w:t>
            </w:r>
            <w:r>
              <w:rPr>
                <w:rFonts w:hint="eastAsia" w:cs="Times New Roman"/>
                <w:color w:val="auto"/>
                <w:sz w:val="24"/>
                <w:szCs w:val="24"/>
                <w:lang w:val="en-US" w:eastAsia="zh-CN" w:bidi="ar"/>
              </w:rPr>
              <w:t>原有的一台</w:t>
            </w:r>
            <w:r>
              <w:rPr>
                <w:rFonts w:hint="eastAsia" w:ascii="Times New Roman" w:hAnsi="Times New Roman" w:eastAsia="宋体" w:cs="Times New Roman"/>
                <w:color w:val="auto"/>
                <w:sz w:val="24"/>
                <w:szCs w:val="24"/>
                <w:lang w:val="en-US" w:eastAsia="zh-CN"/>
              </w:rPr>
              <w:t>6t/h生物质锅炉</w:t>
            </w:r>
            <w:r>
              <w:rPr>
                <w:rFonts w:hint="eastAsia" w:cs="Times New Roman"/>
                <w:color w:val="000000" w:themeColor="text1"/>
                <w:sz w:val="24"/>
                <w:szCs w:val="24"/>
                <w:lang w:val="en-US" w:eastAsia="zh-CN"/>
                <w14:textFill>
                  <w14:solidFill>
                    <w14:schemeClr w14:val="tx1"/>
                  </w14:solidFill>
                </w14:textFill>
              </w:rPr>
              <w:t>作为备用锅炉使用，并配套相应烟气处理设施</w:t>
            </w:r>
            <w:r>
              <w:rPr>
                <w:rFonts w:hint="eastAsia" w:cs="Times New Roman"/>
                <w:color w:val="000000" w:themeColor="text1"/>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项目详细工程</w:t>
            </w:r>
            <w:r>
              <w:rPr>
                <w:rFonts w:hint="default" w:ascii="Times New Roman" w:hAnsi="Times New Roman" w:eastAsia="宋体" w:cs="Times New Roman"/>
                <w:color w:val="000000" w:themeColor="text1"/>
                <w:sz w:val="24"/>
                <w:lang w:eastAsia="zh-CN"/>
                <w14:textFill>
                  <w14:solidFill>
                    <w14:schemeClr w14:val="tx1"/>
                  </w14:solidFill>
                </w14:textFill>
              </w:rPr>
              <w:t>建设</w:t>
            </w:r>
            <w:r>
              <w:rPr>
                <w:rFonts w:hint="default" w:ascii="Times New Roman" w:hAnsi="Times New Roman" w:eastAsia="宋体" w:cs="Times New Roman"/>
                <w:color w:val="000000" w:themeColor="text1"/>
                <w:sz w:val="24"/>
                <w14:textFill>
                  <w14:solidFill>
                    <w14:schemeClr w14:val="tx1"/>
                  </w14:solidFill>
                </w14:textFill>
              </w:rPr>
              <w:t>内容见表2-1。</w:t>
            </w:r>
          </w:p>
          <w:p w14:paraId="050D8C34">
            <w:pPr>
              <w:adjustRightInd w:val="0"/>
              <w:snapToGrid w:val="0"/>
              <w:jc w:val="center"/>
              <w:rPr>
                <w:b/>
                <w:bCs/>
                <w:color w:val="000000" w:themeColor="text1"/>
                <w:kern w:val="2"/>
                <w:szCs w:val="24"/>
                <w14:textFill>
                  <w14:solidFill>
                    <w14:schemeClr w14:val="tx1"/>
                  </w14:solidFill>
                </w14:textFill>
              </w:rPr>
            </w:pPr>
            <w:r>
              <w:rPr>
                <w:rFonts w:hint="default" w:ascii="Times New Roman" w:hAnsi="Times New Roman" w:cs="Times New Roman"/>
                <w:b/>
                <w:color w:val="auto"/>
                <w:sz w:val="24"/>
              </w:rPr>
              <w:t>表2-</w:t>
            </w:r>
            <w:r>
              <w:rPr>
                <w:rFonts w:hint="eastAsia" w:cs="Times New Roman"/>
                <w:b/>
                <w:color w:val="auto"/>
                <w:sz w:val="24"/>
                <w:lang w:val="en-US" w:eastAsia="zh-CN"/>
              </w:rPr>
              <w:t>1</w:t>
            </w:r>
            <w:r>
              <w:rPr>
                <w:rFonts w:hint="default" w:ascii="Times New Roman" w:hAnsi="Times New Roman" w:cs="Times New Roman"/>
                <w:b/>
                <w:color w:val="auto"/>
                <w:sz w:val="24"/>
                <w:lang w:val="en-US" w:eastAsia="zh-CN"/>
              </w:rPr>
              <w:t xml:space="preserve">  </w:t>
            </w:r>
            <w:r>
              <w:rPr>
                <w:rFonts w:hint="default" w:ascii="Times New Roman" w:hAnsi="Times New Roman" w:cs="Times New Roman"/>
                <w:b/>
                <w:color w:val="auto"/>
                <w:sz w:val="24"/>
              </w:rPr>
              <w:t>项目主要建设内容一览表</w:t>
            </w:r>
          </w:p>
          <w:tbl>
            <w:tblPr>
              <w:tblStyle w:val="27"/>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953"/>
              <w:gridCol w:w="522"/>
              <w:gridCol w:w="527"/>
              <w:gridCol w:w="1137"/>
              <w:gridCol w:w="1139"/>
              <w:gridCol w:w="2285"/>
              <w:gridCol w:w="1523"/>
            </w:tblGrid>
            <w:tr w14:paraId="4A1034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tblHeader/>
              </w:trPr>
              <w:tc>
                <w:tcPr>
                  <w:tcW w:w="589" w:type="pct"/>
                  <w:tcBorders>
                    <w:tl2br w:val="nil"/>
                    <w:tr2bl w:val="nil"/>
                  </w:tcBorders>
                  <w:noWrap w:val="0"/>
                  <w:vAlign w:val="center"/>
                </w:tcPr>
                <w:p w14:paraId="01DAEF60">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b/>
                      <w:bCs/>
                      <w:color w:val="auto"/>
                      <w:sz w:val="21"/>
                      <w:szCs w:val="21"/>
                    </w:rPr>
                  </w:pPr>
                  <w:bookmarkStart w:id="2" w:name="OLE_LINK1"/>
                  <w:r>
                    <w:rPr>
                      <w:rFonts w:hint="default" w:ascii="Times New Roman" w:hAnsi="Times New Roman" w:cs="Times New Roman"/>
                      <w:b/>
                      <w:bCs/>
                      <w:color w:val="auto"/>
                      <w:sz w:val="21"/>
                      <w:szCs w:val="21"/>
                    </w:rPr>
                    <w:t>工程名称</w:t>
                  </w:r>
                </w:p>
              </w:tc>
              <w:tc>
                <w:tcPr>
                  <w:tcW w:w="3468" w:type="pct"/>
                  <w:gridSpan w:val="5"/>
                  <w:tcBorders>
                    <w:tl2br w:val="nil"/>
                    <w:tr2bl w:val="nil"/>
                  </w:tcBorders>
                  <w:noWrap w:val="0"/>
                  <w:vAlign w:val="center"/>
                </w:tcPr>
                <w:p w14:paraId="4D5E8F74">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主要建设内容</w:t>
                  </w:r>
                </w:p>
              </w:tc>
              <w:tc>
                <w:tcPr>
                  <w:tcW w:w="942" w:type="pct"/>
                  <w:vMerge w:val="restart"/>
                  <w:tcBorders>
                    <w:tl2br w:val="nil"/>
                    <w:tr2bl w:val="nil"/>
                  </w:tcBorders>
                  <w:noWrap w:val="0"/>
                  <w:vAlign w:val="center"/>
                </w:tcPr>
                <w:p w14:paraId="5B18701D">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b/>
                      <w:bCs/>
                      <w:color w:val="auto"/>
                      <w:sz w:val="21"/>
                      <w:szCs w:val="21"/>
                      <w:lang w:eastAsia="zh-CN"/>
                    </w:rPr>
                  </w:pPr>
                  <w:r>
                    <w:rPr>
                      <w:rFonts w:hint="default" w:ascii="Times New Roman" w:hAnsi="Times New Roman" w:cs="Times New Roman"/>
                      <w:b/>
                      <w:bCs/>
                      <w:color w:val="auto"/>
                      <w:sz w:val="21"/>
                      <w:szCs w:val="21"/>
                      <w:lang w:eastAsia="zh-CN"/>
                    </w:rPr>
                    <w:t>备注</w:t>
                  </w:r>
                </w:p>
              </w:tc>
            </w:tr>
            <w:tr w14:paraId="1D0E1C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33" w:hRule="atLeast"/>
              </w:trPr>
              <w:tc>
                <w:tcPr>
                  <w:tcW w:w="589" w:type="pct"/>
                  <w:vMerge w:val="restart"/>
                  <w:tcBorders>
                    <w:tl2br w:val="nil"/>
                    <w:tr2bl w:val="nil"/>
                  </w:tcBorders>
                  <w:noWrap w:val="0"/>
                  <w:vAlign w:val="center"/>
                </w:tcPr>
                <w:p w14:paraId="34D401E3">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主体工程</w:t>
                  </w:r>
                </w:p>
              </w:tc>
              <w:tc>
                <w:tcPr>
                  <w:tcW w:w="649" w:type="pct"/>
                  <w:gridSpan w:val="2"/>
                  <w:vMerge w:val="restart"/>
                  <w:tcBorders>
                    <w:tl2br w:val="nil"/>
                    <w:tr2bl w:val="nil"/>
                  </w:tcBorders>
                  <w:noWrap w:val="0"/>
                  <w:vAlign w:val="center"/>
                </w:tcPr>
                <w:p w14:paraId="63F7E784">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color w:val="auto"/>
                      <w:sz w:val="21"/>
                      <w:szCs w:val="21"/>
                      <w:lang w:val="en-US" w:eastAsia="zh-CN"/>
                    </w:rPr>
                  </w:pPr>
                  <w:r>
                    <w:rPr>
                      <w:rFonts w:hint="eastAsia" w:cs="Times New Roman"/>
                      <w:color w:val="auto"/>
                      <w:sz w:val="21"/>
                      <w:szCs w:val="21"/>
                      <w:highlight w:val="none"/>
                      <w:vertAlign w:val="baseline"/>
                      <w:lang w:val="en-US" w:eastAsia="zh-CN"/>
                    </w:rPr>
                    <w:t>饲料主车间</w:t>
                  </w:r>
                </w:p>
              </w:tc>
              <w:tc>
                <w:tcPr>
                  <w:tcW w:w="1407" w:type="pct"/>
                  <w:gridSpan w:val="2"/>
                  <w:tcBorders>
                    <w:tl2br w:val="nil"/>
                    <w:tr2bl w:val="nil"/>
                  </w:tcBorders>
                  <w:noWrap w:val="0"/>
                  <w:vAlign w:val="center"/>
                </w:tcPr>
                <w:p w14:paraId="04F5782E">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现有项目</w:t>
                  </w:r>
                </w:p>
              </w:tc>
              <w:tc>
                <w:tcPr>
                  <w:tcW w:w="1411" w:type="pct"/>
                  <w:tcBorders>
                    <w:tl2br w:val="nil"/>
                    <w:tr2bl w:val="nil"/>
                  </w:tcBorders>
                  <w:noWrap w:val="0"/>
                  <w:vAlign w:val="center"/>
                </w:tcPr>
                <w:p w14:paraId="38261041">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cs="Times New Roman"/>
                      <w:color w:val="FF0000"/>
                      <w:sz w:val="21"/>
                      <w:szCs w:val="21"/>
                      <w:highlight w:val="none"/>
                      <w:lang w:val="en-US" w:eastAsia="zh-CN"/>
                    </w:rPr>
                  </w:pPr>
                  <w:r>
                    <w:rPr>
                      <w:rFonts w:hint="eastAsia" w:cs="Times New Roman"/>
                      <w:color w:val="FF0000"/>
                      <w:sz w:val="21"/>
                      <w:szCs w:val="21"/>
                      <w:highlight w:val="none"/>
                      <w:lang w:val="en-US" w:eastAsia="zh-CN"/>
                    </w:rPr>
                    <w:t>本项目</w:t>
                  </w:r>
                </w:p>
              </w:tc>
              <w:tc>
                <w:tcPr>
                  <w:tcW w:w="942" w:type="pct"/>
                  <w:vMerge w:val="continue"/>
                  <w:tcBorders>
                    <w:tl2br w:val="nil"/>
                    <w:tr2bl w:val="nil"/>
                  </w:tcBorders>
                  <w:noWrap w:val="0"/>
                  <w:vAlign w:val="center"/>
                </w:tcPr>
                <w:p w14:paraId="3CB1CA25">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eastAsia" w:cs="Times New Roman"/>
                      <w:color w:val="auto"/>
                      <w:sz w:val="21"/>
                      <w:szCs w:val="21"/>
                      <w:lang w:val="en-US" w:eastAsia="zh-CN"/>
                    </w:rPr>
                  </w:pPr>
                </w:p>
              </w:tc>
            </w:tr>
            <w:tr w14:paraId="79F579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89" w:hRule="atLeast"/>
              </w:trPr>
              <w:tc>
                <w:tcPr>
                  <w:tcW w:w="589" w:type="pct"/>
                  <w:vMerge w:val="continue"/>
                  <w:tcBorders>
                    <w:tl2br w:val="nil"/>
                    <w:tr2bl w:val="nil"/>
                  </w:tcBorders>
                  <w:noWrap w:val="0"/>
                  <w:vAlign w:val="center"/>
                </w:tcPr>
                <w:p w14:paraId="5E7E6732">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auto"/>
                      <w:sz w:val="21"/>
                      <w:szCs w:val="21"/>
                    </w:rPr>
                  </w:pPr>
                </w:p>
              </w:tc>
              <w:tc>
                <w:tcPr>
                  <w:tcW w:w="649" w:type="pct"/>
                  <w:gridSpan w:val="2"/>
                  <w:vMerge w:val="continue"/>
                  <w:tcBorders>
                    <w:tl2br w:val="nil"/>
                    <w:tr2bl w:val="nil"/>
                  </w:tcBorders>
                  <w:noWrap w:val="0"/>
                  <w:vAlign w:val="center"/>
                </w:tcPr>
                <w:p w14:paraId="10E5C3F2">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color w:val="auto"/>
                      <w:sz w:val="21"/>
                      <w:szCs w:val="21"/>
                      <w:lang w:val="en-US" w:eastAsia="zh-CN"/>
                    </w:rPr>
                  </w:pPr>
                </w:p>
              </w:tc>
              <w:tc>
                <w:tcPr>
                  <w:tcW w:w="1407" w:type="pct"/>
                  <w:gridSpan w:val="2"/>
                  <w:tcBorders>
                    <w:tl2br w:val="nil"/>
                    <w:tr2bl w:val="nil"/>
                  </w:tcBorders>
                  <w:noWrap w:val="0"/>
                  <w:vAlign w:val="center"/>
                </w:tcPr>
                <w:p w14:paraId="5BF50D0A">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both"/>
                    <w:textAlignment w:val="baseline"/>
                    <w:rPr>
                      <w:rFonts w:hint="default" w:ascii="Times New Roman" w:hAnsi="Times New Roman" w:eastAsia="宋体" w:cs="Times New Roman"/>
                      <w:color w:val="FF0000"/>
                      <w:sz w:val="21"/>
                      <w:szCs w:val="21"/>
                      <w:highlight w:val="none"/>
                      <w:vertAlign w:val="baseline"/>
                      <w:lang w:val="en-US" w:eastAsia="zh-CN"/>
                    </w:rPr>
                  </w:pPr>
                  <w:r>
                    <w:rPr>
                      <w:rFonts w:hint="eastAsia" w:cs="Times New Roman"/>
                      <w:color w:val="FF0000"/>
                      <w:sz w:val="21"/>
                      <w:szCs w:val="21"/>
                      <w:highlight w:val="none"/>
                      <w:lang w:val="en-US" w:eastAsia="zh-CN"/>
                    </w:rPr>
                    <w:t>8F，每层长25m、宽20.04m，高48m，占地面积501</w:t>
                  </w:r>
                  <w:r>
                    <w:rPr>
                      <w:rFonts w:hint="default" w:ascii="Times New Roman" w:hAnsi="Times New Roman" w:cs="Times New Roman"/>
                      <w:color w:val="FF0000"/>
                      <w:sz w:val="21"/>
                      <w:szCs w:val="21"/>
                      <w:highlight w:val="none"/>
                      <w:lang w:val="en-US" w:eastAsia="zh-CN"/>
                    </w:rPr>
                    <w:t>m</w:t>
                  </w:r>
                  <w:r>
                    <w:rPr>
                      <w:rFonts w:hint="eastAsia" w:cs="Times New Roman"/>
                      <w:color w:val="FF0000"/>
                      <w:sz w:val="21"/>
                      <w:szCs w:val="21"/>
                      <w:highlight w:val="none"/>
                      <w:vertAlign w:val="superscript"/>
                      <w:lang w:val="en-US" w:eastAsia="zh-CN"/>
                    </w:rPr>
                    <w:t>2</w:t>
                  </w:r>
                  <w:r>
                    <w:rPr>
                      <w:rFonts w:hint="eastAsia" w:cs="Times New Roman"/>
                      <w:color w:val="FF0000"/>
                      <w:sz w:val="21"/>
                      <w:szCs w:val="21"/>
                      <w:highlight w:val="none"/>
                      <w:vertAlign w:val="baseline"/>
                      <w:lang w:val="en-US" w:eastAsia="zh-CN"/>
                    </w:rPr>
                    <w:t>，</w:t>
                  </w:r>
                  <w:r>
                    <w:rPr>
                      <w:rFonts w:hint="default" w:ascii="Times New Roman" w:hAnsi="Times New Roman" w:cs="Times New Roman"/>
                      <w:color w:val="FF0000"/>
                      <w:sz w:val="21"/>
                      <w:szCs w:val="21"/>
                      <w:highlight w:val="none"/>
                      <w:lang w:val="en-US" w:eastAsia="zh-CN"/>
                    </w:rPr>
                    <w:t>建筑面积</w:t>
                  </w:r>
                  <w:r>
                    <w:rPr>
                      <w:rFonts w:hint="eastAsia" w:cs="Times New Roman"/>
                      <w:color w:val="FF0000"/>
                      <w:sz w:val="21"/>
                      <w:szCs w:val="21"/>
                      <w:highlight w:val="none"/>
                      <w:lang w:val="en-US" w:eastAsia="zh-CN"/>
                    </w:rPr>
                    <w:t>4008</w:t>
                  </w:r>
                  <w:r>
                    <w:rPr>
                      <w:rFonts w:hint="default" w:ascii="Times New Roman" w:hAnsi="Times New Roman" w:cs="Times New Roman"/>
                      <w:color w:val="FF0000"/>
                      <w:sz w:val="21"/>
                      <w:szCs w:val="21"/>
                      <w:highlight w:val="none"/>
                      <w:lang w:val="en-US" w:eastAsia="zh-CN"/>
                    </w:rPr>
                    <w:t>m</w:t>
                  </w:r>
                  <w:r>
                    <w:rPr>
                      <w:rFonts w:hint="eastAsia" w:cs="Times New Roman"/>
                      <w:color w:val="FF0000"/>
                      <w:sz w:val="21"/>
                      <w:szCs w:val="21"/>
                      <w:highlight w:val="none"/>
                      <w:vertAlign w:val="superscript"/>
                      <w:lang w:val="en-US" w:eastAsia="zh-CN"/>
                    </w:rPr>
                    <w:t>2</w:t>
                  </w:r>
                  <w:r>
                    <w:rPr>
                      <w:rFonts w:hint="eastAsia" w:cs="Times New Roman"/>
                      <w:color w:val="FF0000"/>
                      <w:sz w:val="21"/>
                      <w:szCs w:val="21"/>
                      <w:highlight w:val="none"/>
                      <w:lang w:val="en-US" w:eastAsia="zh-CN"/>
                    </w:rPr>
                    <w:t>。</w:t>
                  </w:r>
                </w:p>
              </w:tc>
              <w:tc>
                <w:tcPr>
                  <w:tcW w:w="1411" w:type="pct"/>
                  <w:tcBorders>
                    <w:tl2br w:val="nil"/>
                    <w:tr2bl w:val="nil"/>
                  </w:tcBorders>
                  <w:noWrap w:val="0"/>
                  <w:vAlign w:val="center"/>
                </w:tcPr>
                <w:p w14:paraId="61EA947B">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cs="Times New Roman"/>
                      <w:color w:val="FF0000"/>
                      <w:sz w:val="21"/>
                      <w:szCs w:val="21"/>
                      <w:highlight w:val="none"/>
                      <w:lang w:val="en-US" w:eastAsia="zh-CN"/>
                    </w:rPr>
                  </w:pPr>
                  <w:r>
                    <w:rPr>
                      <w:rFonts w:hint="eastAsia" w:cs="Times New Roman"/>
                      <w:color w:val="FF0000"/>
                      <w:sz w:val="21"/>
                      <w:szCs w:val="21"/>
                      <w:highlight w:val="none"/>
                      <w:lang w:val="en-US" w:eastAsia="zh-CN"/>
                    </w:rPr>
                    <w:t>不变</w:t>
                  </w:r>
                </w:p>
              </w:tc>
              <w:tc>
                <w:tcPr>
                  <w:tcW w:w="942" w:type="pct"/>
                  <w:vMerge w:val="restart"/>
                  <w:tcBorders>
                    <w:tl2br w:val="nil"/>
                    <w:tr2bl w:val="nil"/>
                  </w:tcBorders>
                  <w:noWrap w:val="0"/>
                  <w:vAlign w:val="center"/>
                </w:tcPr>
                <w:p w14:paraId="091FB002">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cs="Times New Roman"/>
                      <w:color w:val="FF0000"/>
                      <w:sz w:val="21"/>
                      <w:szCs w:val="21"/>
                      <w:lang w:val="en-US" w:eastAsia="zh-CN"/>
                    </w:rPr>
                  </w:pPr>
                  <w:r>
                    <w:rPr>
                      <w:rFonts w:hint="eastAsia" w:cs="Times New Roman"/>
                      <w:color w:val="auto"/>
                      <w:sz w:val="21"/>
                      <w:szCs w:val="21"/>
                      <w:lang w:val="en-US" w:eastAsia="zh-CN"/>
                    </w:rPr>
                    <w:t>依托现有</w:t>
                  </w:r>
                </w:p>
              </w:tc>
            </w:tr>
            <w:tr w14:paraId="706B9D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33" w:hRule="atLeast"/>
              </w:trPr>
              <w:tc>
                <w:tcPr>
                  <w:tcW w:w="589" w:type="pct"/>
                  <w:vMerge w:val="continue"/>
                  <w:tcBorders>
                    <w:tl2br w:val="nil"/>
                    <w:tr2bl w:val="nil"/>
                  </w:tcBorders>
                  <w:noWrap w:val="0"/>
                  <w:vAlign w:val="center"/>
                </w:tcPr>
                <w:p w14:paraId="5056F296">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color w:val="FF0000"/>
                      <w:sz w:val="21"/>
                      <w:szCs w:val="21"/>
                      <w:lang w:val="en-US" w:eastAsia="zh-CN"/>
                    </w:rPr>
                  </w:pPr>
                </w:p>
              </w:tc>
              <w:tc>
                <w:tcPr>
                  <w:tcW w:w="649" w:type="pct"/>
                  <w:gridSpan w:val="2"/>
                  <w:tcBorders>
                    <w:tl2br w:val="nil"/>
                    <w:tr2bl w:val="nil"/>
                  </w:tcBorders>
                  <w:noWrap w:val="0"/>
                  <w:vAlign w:val="center"/>
                </w:tcPr>
                <w:p w14:paraId="2379B6E1">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原料车间</w:t>
                  </w:r>
                </w:p>
              </w:tc>
              <w:tc>
                <w:tcPr>
                  <w:tcW w:w="1407" w:type="pct"/>
                  <w:gridSpan w:val="2"/>
                  <w:tcBorders>
                    <w:tl2br w:val="nil"/>
                    <w:tr2bl w:val="nil"/>
                  </w:tcBorders>
                  <w:noWrap w:val="0"/>
                  <w:vAlign w:val="center"/>
                </w:tcPr>
                <w:p w14:paraId="50EC8743">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both"/>
                    <w:textAlignment w:val="baseline"/>
                    <w:rPr>
                      <w:rFonts w:hint="default" w:ascii="Times New Roman" w:hAnsi="Times New Roman" w:cs="Times New Roman"/>
                      <w:color w:val="FF0000"/>
                      <w:sz w:val="21"/>
                      <w:szCs w:val="21"/>
                      <w:lang w:val="en-US" w:eastAsia="zh-CN"/>
                    </w:rPr>
                  </w:pPr>
                  <w:r>
                    <w:rPr>
                      <w:rFonts w:hint="eastAsia" w:cs="Times New Roman"/>
                      <w:color w:val="FF0000"/>
                      <w:sz w:val="21"/>
                      <w:szCs w:val="21"/>
                      <w:highlight w:val="none"/>
                      <w:lang w:val="en-US" w:eastAsia="zh-CN"/>
                    </w:rPr>
                    <w:t>1F，长129.34m、宽50m、高12m，占地面积6467</w:t>
                  </w:r>
                  <w:r>
                    <w:rPr>
                      <w:rFonts w:hint="default" w:ascii="Times New Roman" w:hAnsi="Times New Roman" w:cs="Times New Roman"/>
                      <w:color w:val="FF0000"/>
                      <w:sz w:val="21"/>
                      <w:szCs w:val="21"/>
                      <w:highlight w:val="none"/>
                      <w:lang w:val="en-US" w:eastAsia="zh-CN"/>
                    </w:rPr>
                    <w:t>m</w:t>
                  </w:r>
                  <w:r>
                    <w:rPr>
                      <w:rFonts w:hint="eastAsia" w:cs="Times New Roman"/>
                      <w:color w:val="FF0000"/>
                      <w:sz w:val="21"/>
                      <w:szCs w:val="21"/>
                      <w:highlight w:val="none"/>
                      <w:vertAlign w:val="superscript"/>
                      <w:lang w:val="en-US" w:eastAsia="zh-CN"/>
                    </w:rPr>
                    <w:t>2</w:t>
                  </w:r>
                  <w:r>
                    <w:rPr>
                      <w:rFonts w:hint="eastAsia" w:cs="Times New Roman"/>
                      <w:color w:val="FF0000"/>
                      <w:sz w:val="21"/>
                      <w:szCs w:val="21"/>
                      <w:highlight w:val="none"/>
                      <w:vertAlign w:val="baseline"/>
                      <w:lang w:val="en-US" w:eastAsia="zh-CN"/>
                    </w:rPr>
                    <w:t>，</w:t>
                  </w:r>
                  <w:r>
                    <w:rPr>
                      <w:rFonts w:hint="default" w:ascii="Times New Roman" w:hAnsi="Times New Roman" w:cs="Times New Roman"/>
                      <w:color w:val="FF0000"/>
                      <w:sz w:val="21"/>
                      <w:szCs w:val="21"/>
                      <w:highlight w:val="none"/>
                      <w:lang w:val="en-US" w:eastAsia="zh-CN"/>
                    </w:rPr>
                    <w:t>建筑面积</w:t>
                  </w:r>
                  <w:r>
                    <w:rPr>
                      <w:rFonts w:hint="eastAsia" w:cs="Times New Roman"/>
                      <w:color w:val="FF0000"/>
                      <w:sz w:val="21"/>
                      <w:szCs w:val="21"/>
                      <w:highlight w:val="none"/>
                      <w:lang w:val="en-US" w:eastAsia="zh-CN"/>
                    </w:rPr>
                    <w:t>6467</w:t>
                  </w:r>
                  <w:r>
                    <w:rPr>
                      <w:rFonts w:hint="default" w:ascii="Times New Roman" w:hAnsi="Times New Roman" w:cs="Times New Roman"/>
                      <w:color w:val="FF0000"/>
                      <w:sz w:val="21"/>
                      <w:szCs w:val="21"/>
                      <w:highlight w:val="none"/>
                      <w:lang w:val="en-US" w:eastAsia="zh-CN"/>
                    </w:rPr>
                    <w:t>m</w:t>
                  </w:r>
                  <w:r>
                    <w:rPr>
                      <w:rFonts w:hint="eastAsia" w:cs="Times New Roman"/>
                      <w:color w:val="FF0000"/>
                      <w:sz w:val="21"/>
                      <w:szCs w:val="21"/>
                      <w:highlight w:val="none"/>
                      <w:vertAlign w:val="superscript"/>
                      <w:lang w:val="en-US" w:eastAsia="zh-CN"/>
                    </w:rPr>
                    <w:t>2</w:t>
                  </w:r>
                  <w:r>
                    <w:rPr>
                      <w:rFonts w:hint="eastAsia" w:cs="Times New Roman"/>
                      <w:color w:val="FF0000"/>
                      <w:sz w:val="21"/>
                      <w:szCs w:val="21"/>
                      <w:highlight w:val="none"/>
                      <w:lang w:val="en-US" w:eastAsia="zh-CN"/>
                    </w:rPr>
                    <w:t>。</w:t>
                  </w:r>
                </w:p>
              </w:tc>
              <w:tc>
                <w:tcPr>
                  <w:tcW w:w="1411" w:type="pct"/>
                  <w:tcBorders>
                    <w:tl2br w:val="nil"/>
                    <w:tr2bl w:val="nil"/>
                  </w:tcBorders>
                  <w:noWrap w:val="0"/>
                  <w:vAlign w:val="center"/>
                </w:tcPr>
                <w:p w14:paraId="214745D1">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eastAsia" w:cs="Times New Roman"/>
                      <w:color w:val="FF0000"/>
                      <w:sz w:val="21"/>
                      <w:szCs w:val="21"/>
                      <w:highlight w:val="none"/>
                      <w:lang w:val="en-US" w:eastAsia="zh-CN"/>
                    </w:rPr>
                  </w:pPr>
                  <w:r>
                    <w:rPr>
                      <w:rFonts w:hint="eastAsia" w:cs="Times New Roman"/>
                      <w:color w:val="FF0000"/>
                      <w:sz w:val="21"/>
                      <w:szCs w:val="21"/>
                      <w:highlight w:val="none"/>
                      <w:lang w:val="en-US" w:eastAsia="zh-CN"/>
                    </w:rPr>
                    <w:t>不变</w:t>
                  </w:r>
                </w:p>
              </w:tc>
              <w:tc>
                <w:tcPr>
                  <w:tcW w:w="942" w:type="pct"/>
                  <w:vMerge w:val="continue"/>
                  <w:tcBorders>
                    <w:tl2br w:val="nil"/>
                    <w:tr2bl w:val="nil"/>
                  </w:tcBorders>
                  <w:noWrap w:val="0"/>
                  <w:vAlign w:val="center"/>
                </w:tcPr>
                <w:p w14:paraId="4422D6C6">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color w:val="FF0000"/>
                      <w:sz w:val="21"/>
                      <w:szCs w:val="21"/>
                      <w:lang w:val="en-US" w:eastAsia="zh-CN"/>
                    </w:rPr>
                  </w:pPr>
                </w:p>
              </w:tc>
            </w:tr>
            <w:tr w14:paraId="6C3A5F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33" w:hRule="atLeast"/>
              </w:trPr>
              <w:tc>
                <w:tcPr>
                  <w:tcW w:w="589" w:type="pct"/>
                  <w:vMerge w:val="continue"/>
                  <w:tcBorders>
                    <w:tl2br w:val="nil"/>
                    <w:tr2bl w:val="nil"/>
                  </w:tcBorders>
                  <w:noWrap w:val="0"/>
                  <w:vAlign w:val="center"/>
                </w:tcPr>
                <w:p w14:paraId="4D67467F">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color w:val="FF0000"/>
                      <w:sz w:val="21"/>
                      <w:szCs w:val="21"/>
                      <w:lang w:val="en-US" w:eastAsia="zh-CN"/>
                    </w:rPr>
                  </w:pPr>
                </w:p>
              </w:tc>
              <w:tc>
                <w:tcPr>
                  <w:tcW w:w="649" w:type="pct"/>
                  <w:gridSpan w:val="2"/>
                  <w:tcBorders>
                    <w:tl2br w:val="nil"/>
                    <w:tr2bl w:val="nil"/>
                  </w:tcBorders>
                  <w:noWrap w:val="0"/>
                  <w:vAlign w:val="center"/>
                </w:tcPr>
                <w:p w14:paraId="50C081F5">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color w:val="auto"/>
                      <w:sz w:val="21"/>
                      <w:szCs w:val="21"/>
                      <w:lang w:val="en-US" w:eastAsia="zh-CN"/>
                    </w:rPr>
                  </w:pPr>
                  <w:r>
                    <w:rPr>
                      <w:rFonts w:hint="eastAsia" w:cs="Times New Roman"/>
                      <w:color w:val="auto"/>
                      <w:sz w:val="21"/>
                      <w:szCs w:val="21"/>
                      <w:highlight w:val="none"/>
                      <w:vertAlign w:val="baseline"/>
                      <w:lang w:val="en-US" w:eastAsia="zh-CN"/>
                    </w:rPr>
                    <w:t>成品车间</w:t>
                  </w:r>
                </w:p>
              </w:tc>
              <w:tc>
                <w:tcPr>
                  <w:tcW w:w="1407" w:type="pct"/>
                  <w:gridSpan w:val="2"/>
                  <w:tcBorders>
                    <w:tl2br w:val="nil"/>
                    <w:tr2bl w:val="nil"/>
                  </w:tcBorders>
                  <w:noWrap w:val="0"/>
                  <w:vAlign w:val="center"/>
                </w:tcPr>
                <w:p w14:paraId="0C8D56AC">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both"/>
                    <w:textAlignment w:val="baseline"/>
                    <w:rPr>
                      <w:rFonts w:hint="default" w:ascii="Times New Roman" w:hAnsi="Times New Roman" w:cs="Times New Roman"/>
                      <w:color w:val="FF0000"/>
                      <w:sz w:val="21"/>
                      <w:szCs w:val="21"/>
                      <w:lang w:val="en-US" w:eastAsia="zh-CN"/>
                    </w:rPr>
                  </w:pPr>
                  <w:r>
                    <w:rPr>
                      <w:rFonts w:hint="eastAsia" w:cs="Times New Roman"/>
                      <w:color w:val="FF0000"/>
                      <w:sz w:val="21"/>
                      <w:szCs w:val="21"/>
                      <w:highlight w:val="none"/>
                      <w:lang w:val="en-US" w:eastAsia="zh-CN"/>
                    </w:rPr>
                    <w:t>1F，长96.65m、宽40m、高12m，占地面积3866</w:t>
                  </w:r>
                  <w:r>
                    <w:rPr>
                      <w:rFonts w:hint="default" w:ascii="Times New Roman" w:hAnsi="Times New Roman" w:cs="Times New Roman"/>
                      <w:color w:val="FF0000"/>
                      <w:sz w:val="21"/>
                      <w:szCs w:val="21"/>
                      <w:highlight w:val="none"/>
                      <w:lang w:val="en-US" w:eastAsia="zh-CN"/>
                    </w:rPr>
                    <w:t>m</w:t>
                  </w:r>
                  <w:r>
                    <w:rPr>
                      <w:rFonts w:hint="eastAsia" w:cs="Times New Roman"/>
                      <w:color w:val="FF0000"/>
                      <w:sz w:val="21"/>
                      <w:szCs w:val="21"/>
                      <w:highlight w:val="none"/>
                      <w:vertAlign w:val="superscript"/>
                      <w:lang w:val="en-US" w:eastAsia="zh-CN"/>
                    </w:rPr>
                    <w:t>2</w:t>
                  </w:r>
                  <w:r>
                    <w:rPr>
                      <w:rFonts w:hint="eastAsia" w:cs="Times New Roman"/>
                      <w:color w:val="FF0000"/>
                      <w:sz w:val="21"/>
                      <w:szCs w:val="21"/>
                      <w:highlight w:val="none"/>
                      <w:vertAlign w:val="baseline"/>
                      <w:lang w:val="en-US" w:eastAsia="zh-CN"/>
                    </w:rPr>
                    <w:t>，</w:t>
                  </w:r>
                  <w:r>
                    <w:rPr>
                      <w:rFonts w:hint="default" w:ascii="Times New Roman" w:hAnsi="Times New Roman" w:cs="Times New Roman"/>
                      <w:color w:val="FF0000"/>
                      <w:sz w:val="21"/>
                      <w:szCs w:val="21"/>
                      <w:highlight w:val="none"/>
                      <w:lang w:val="en-US" w:eastAsia="zh-CN"/>
                    </w:rPr>
                    <w:t>建筑面积</w:t>
                  </w:r>
                  <w:r>
                    <w:rPr>
                      <w:rFonts w:hint="eastAsia" w:cs="Times New Roman"/>
                      <w:color w:val="FF0000"/>
                      <w:sz w:val="21"/>
                      <w:szCs w:val="21"/>
                      <w:highlight w:val="none"/>
                      <w:lang w:val="en-US" w:eastAsia="zh-CN"/>
                    </w:rPr>
                    <w:t>3866</w:t>
                  </w:r>
                  <w:r>
                    <w:rPr>
                      <w:rFonts w:hint="default" w:ascii="Times New Roman" w:hAnsi="Times New Roman" w:cs="Times New Roman"/>
                      <w:color w:val="FF0000"/>
                      <w:sz w:val="21"/>
                      <w:szCs w:val="21"/>
                      <w:highlight w:val="none"/>
                      <w:lang w:val="en-US" w:eastAsia="zh-CN"/>
                    </w:rPr>
                    <w:t>m</w:t>
                  </w:r>
                  <w:r>
                    <w:rPr>
                      <w:rFonts w:hint="eastAsia" w:cs="Times New Roman"/>
                      <w:color w:val="FF0000"/>
                      <w:sz w:val="21"/>
                      <w:szCs w:val="21"/>
                      <w:highlight w:val="none"/>
                      <w:vertAlign w:val="superscript"/>
                      <w:lang w:val="en-US" w:eastAsia="zh-CN"/>
                    </w:rPr>
                    <w:t>2</w:t>
                  </w:r>
                  <w:r>
                    <w:rPr>
                      <w:rFonts w:hint="eastAsia" w:cs="Times New Roman"/>
                      <w:color w:val="FF0000"/>
                      <w:sz w:val="21"/>
                      <w:szCs w:val="21"/>
                      <w:highlight w:val="none"/>
                      <w:lang w:val="en-US" w:eastAsia="zh-CN"/>
                    </w:rPr>
                    <w:t>。</w:t>
                  </w:r>
                </w:p>
              </w:tc>
              <w:tc>
                <w:tcPr>
                  <w:tcW w:w="1411" w:type="pct"/>
                  <w:tcBorders>
                    <w:tl2br w:val="nil"/>
                    <w:tr2bl w:val="nil"/>
                  </w:tcBorders>
                  <w:noWrap w:val="0"/>
                  <w:vAlign w:val="center"/>
                </w:tcPr>
                <w:p w14:paraId="47F1F1A2">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eastAsia" w:cs="Times New Roman"/>
                      <w:color w:val="FF0000"/>
                      <w:sz w:val="21"/>
                      <w:szCs w:val="21"/>
                      <w:highlight w:val="none"/>
                      <w:lang w:val="en-US" w:eastAsia="zh-CN"/>
                    </w:rPr>
                  </w:pPr>
                  <w:r>
                    <w:rPr>
                      <w:rFonts w:hint="eastAsia" w:cs="Times New Roman"/>
                      <w:color w:val="FF0000"/>
                      <w:sz w:val="21"/>
                      <w:szCs w:val="21"/>
                      <w:highlight w:val="none"/>
                      <w:lang w:val="en-US" w:eastAsia="zh-CN"/>
                    </w:rPr>
                    <w:t>不变</w:t>
                  </w:r>
                </w:p>
              </w:tc>
              <w:tc>
                <w:tcPr>
                  <w:tcW w:w="942" w:type="pct"/>
                  <w:vMerge w:val="continue"/>
                  <w:tcBorders>
                    <w:tl2br w:val="nil"/>
                    <w:tr2bl w:val="nil"/>
                  </w:tcBorders>
                  <w:noWrap w:val="0"/>
                  <w:vAlign w:val="center"/>
                </w:tcPr>
                <w:p w14:paraId="41896F00">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color w:val="FF0000"/>
                      <w:sz w:val="21"/>
                      <w:szCs w:val="21"/>
                      <w:lang w:val="en-US" w:eastAsia="zh-CN"/>
                    </w:rPr>
                  </w:pPr>
                </w:p>
              </w:tc>
            </w:tr>
            <w:tr w14:paraId="124FA0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45" w:hRule="atLeast"/>
              </w:trPr>
              <w:tc>
                <w:tcPr>
                  <w:tcW w:w="589" w:type="pct"/>
                  <w:vMerge w:val="restart"/>
                  <w:tcBorders>
                    <w:tl2br w:val="nil"/>
                    <w:tr2bl w:val="nil"/>
                  </w:tcBorders>
                  <w:noWrap w:val="0"/>
                  <w:vAlign w:val="center"/>
                </w:tcPr>
                <w:p w14:paraId="78AB5BA9">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贮运工程</w:t>
                  </w:r>
                </w:p>
              </w:tc>
              <w:tc>
                <w:tcPr>
                  <w:tcW w:w="649" w:type="pct"/>
                  <w:gridSpan w:val="2"/>
                  <w:tcBorders>
                    <w:tl2br w:val="nil"/>
                    <w:tr2bl w:val="nil"/>
                  </w:tcBorders>
                  <w:noWrap w:val="0"/>
                  <w:vAlign w:val="center"/>
                </w:tcPr>
                <w:p w14:paraId="49366A41">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发货雨棚</w:t>
                  </w:r>
                </w:p>
              </w:tc>
              <w:tc>
                <w:tcPr>
                  <w:tcW w:w="1407" w:type="pct"/>
                  <w:gridSpan w:val="2"/>
                  <w:tcBorders>
                    <w:tl2br w:val="nil"/>
                    <w:tr2bl w:val="nil"/>
                  </w:tcBorders>
                  <w:noWrap w:val="0"/>
                  <w:vAlign w:val="center"/>
                </w:tcPr>
                <w:p w14:paraId="3338D690">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both"/>
                    <w:textAlignment w:val="baseline"/>
                    <w:rPr>
                      <w:rFonts w:hint="default" w:ascii="Times New Roman" w:hAnsi="Times New Roman" w:cs="Times New Roman"/>
                      <w:color w:val="FF0000"/>
                      <w:sz w:val="21"/>
                      <w:szCs w:val="21"/>
                      <w:highlight w:val="none"/>
                      <w:lang w:val="en-US" w:eastAsia="zh-CN"/>
                    </w:rPr>
                  </w:pPr>
                  <w:r>
                    <w:rPr>
                      <w:rFonts w:hint="eastAsia" w:cs="Times New Roman"/>
                      <w:color w:val="FF0000"/>
                      <w:sz w:val="21"/>
                      <w:szCs w:val="21"/>
                      <w:highlight w:val="none"/>
                      <w:lang w:val="en-US" w:eastAsia="zh-CN"/>
                    </w:rPr>
                    <w:t>1F，长28m、宽20m、高12m，占地面积560</w:t>
                  </w:r>
                  <w:r>
                    <w:rPr>
                      <w:rFonts w:hint="default" w:ascii="Times New Roman" w:hAnsi="Times New Roman" w:cs="Times New Roman"/>
                      <w:color w:val="FF0000"/>
                      <w:sz w:val="21"/>
                      <w:szCs w:val="21"/>
                      <w:highlight w:val="none"/>
                      <w:lang w:val="en-US" w:eastAsia="zh-CN"/>
                    </w:rPr>
                    <w:t>m</w:t>
                  </w:r>
                  <w:r>
                    <w:rPr>
                      <w:rFonts w:hint="eastAsia" w:cs="Times New Roman"/>
                      <w:color w:val="FF0000"/>
                      <w:sz w:val="21"/>
                      <w:szCs w:val="21"/>
                      <w:highlight w:val="none"/>
                      <w:vertAlign w:val="superscript"/>
                      <w:lang w:val="en-US" w:eastAsia="zh-CN"/>
                    </w:rPr>
                    <w:t>2</w:t>
                  </w:r>
                  <w:r>
                    <w:rPr>
                      <w:rFonts w:hint="eastAsia" w:cs="Times New Roman"/>
                      <w:color w:val="FF0000"/>
                      <w:sz w:val="21"/>
                      <w:szCs w:val="21"/>
                      <w:highlight w:val="none"/>
                      <w:vertAlign w:val="baseline"/>
                      <w:lang w:val="en-US" w:eastAsia="zh-CN"/>
                    </w:rPr>
                    <w:t>，</w:t>
                  </w:r>
                  <w:r>
                    <w:rPr>
                      <w:rFonts w:hint="default" w:ascii="Times New Roman" w:hAnsi="Times New Roman" w:cs="Times New Roman"/>
                      <w:color w:val="FF0000"/>
                      <w:sz w:val="21"/>
                      <w:szCs w:val="21"/>
                      <w:highlight w:val="none"/>
                      <w:lang w:val="en-US" w:eastAsia="zh-CN"/>
                    </w:rPr>
                    <w:t>建筑面积</w:t>
                  </w:r>
                  <w:r>
                    <w:rPr>
                      <w:rFonts w:hint="eastAsia" w:cs="Times New Roman"/>
                      <w:color w:val="FF0000"/>
                      <w:sz w:val="21"/>
                      <w:szCs w:val="21"/>
                      <w:highlight w:val="none"/>
                      <w:lang w:val="en-US" w:eastAsia="zh-CN"/>
                    </w:rPr>
                    <w:t>560</w:t>
                  </w:r>
                  <w:r>
                    <w:rPr>
                      <w:rFonts w:hint="default" w:ascii="Times New Roman" w:hAnsi="Times New Roman" w:cs="Times New Roman"/>
                      <w:color w:val="FF0000"/>
                      <w:sz w:val="21"/>
                      <w:szCs w:val="21"/>
                      <w:highlight w:val="none"/>
                      <w:lang w:val="en-US" w:eastAsia="zh-CN"/>
                    </w:rPr>
                    <w:t>m</w:t>
                  </w:r>
                  <w:r>
                    <w:rPr>
                      <w:rFonts w:hint="eastAsia" w:cs="Times New Roman"/>
                      <w:color w:val="FF0000"/>
                      <w:sz w:val="21"/>
                      <w:szCs w:val="21"/>
                      <w:highlight w:val="none"/>
                      <w:vertAlign w:val="superscript"/>
                      <w:lang w:val="en-US" w:eastAsia="zh-CN"/>
                    </w:rPr>
                    <w:t>2</w:t>
                  </w:r>
                  <w:r>
                    <w:rPr>
                      <w:rFonts w:hint="eastAsia" w:cs="Times New Roman"/>
                      <w:color w:val="FF0000"/>
                      <w:sz w:val="21"/>
                      <w:szCs w:val="21"/>
                      <w:highlight w:val="none"/>
                      <w:lang w:val="en-US" w:eastAsia="zh-CN"/>
                    </w:rPr>
                    <w:t>。</w:t>
                  </w:r>
                </w:p>
              </w:tc>
              <w:tc>
                <w:tcPr>
                  <w:tcW w:w="1411" w:type="pct"/>
                  <w:tcBorders>
                    <w:tl2br w:val="nil"/>
                    <w:tr2bl w:val="nil"/>
                  </w:tcBorders>
                  <w:noWrap w:val="0"/>
                  <w:vAlign w:val="center"/>
                </w:tcPr>
                <w:p w14:paraId="5BC3CE5D">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eastAsia" w:cs="Times New Roman"/>
                      <w:color w:val="FF0000"/>
                      <w:sz w:val="21"/>
                      <w:szCs w:val="21"/>
                      <w:highlight w:val="none"/>
                      <w:lang w:val="en-US" w:eastAsia="zh-CN"/>
                    </w:rPr>
                  </w:pPr>
                  <w:r>
                    <w:rPr>
                      <w:rFonts w:hint="eastAsia" w:cs="Times New Roman"/>
                      <w:color w:val="FF0000"/>
                      <w:sz w:val="21"/>
                      <w:szCs w:val="21"/>
                      <w:highlight w:val="none"/>
                      <w:lang w:val="en-US" w:eastAsia="zh-CN"/>
                    </w:rPr>
                    <w:t>不变</w:t>
                  </w:r>
                </w:p>
              </w:tc>
              <w:tc>
                <w:tcPr>
                  <w:tcW w:w="942" w:type="pct"/>
                  <w:vMerge w:val="restart"/>
                  <w:tcBorders>
                    <w:tl2br w:val="nil"/>
                    <w:tr2bl w:val="nil"/>
                  </w:tcBorders>
                  <w:noWrap w:val="0"/>
                  <w:vAlign w:val="center"/>
                </w:tcPr>
                <w:p w14:paraId="1E4FE23A">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auto"/>
                      <w:sz w:val="21"/>
                      <w:szCs w:val="21"/>
                      <w:lang w:val="en-US" w:eastAsia="zh-CN"/>
                    </w:rPr>
                    <w:t>依托现有</w:t>
                  </w:r>
                </w:p>
              </w:tc>
            </w:tr>
            <w:tr w14:paraId="5B4EA0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45" w:hRule="atLeast"/>
              </w:trPr>
              <w:tc>
                <w:tcPr>
                  <w:tcW w:w="589" w:type="pct"/>
                  <w:vMerge w:val="continue"/>
                  <w:tcBorders>
                    <w:tl2br w:val="nil"/>
                    <w:tr2bl w:val="nil"/>
                  </w:tcBorders>
                  <w:noWrap w:val="0"/>
                  <w:vAlign w:val="center"/>
                </w:tcPr>
                <w:p w14:paraId="6A8B885C">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eastAsia" w:cs="Times New Roman"/>
                      <w:color w:val="000000" w:themeColor="text1"/>
                      <w:sz w:val="21"/>
                      <w:szCs w:val="21"/>
                      <w:lang w:val="en-US" w:eastAsia="zh-CN"/>
                      <w14:textFill>
                        <w14:solidFill>
                          <w14:schemeClr w14:val="tx1"/>
                        </w14:solidFill>
                      </w14:textFill>
                    </w:rPr>
                  </w:pPr>
                </w:p>
              </w:tc>
              <w:tc>
                <w:tcPr>
                  <w:tcW w:w="649" w:type="pct"/>
                  <w:gridSpan w:val="2"/>
                  <w:tcBorders>
                    <w:tl2br w:val="nil"/>
                    <w:tr2bl w:val="nil"/>
                  </w:tcBorders>
                  <w:noWrap w:val="0"/>
                  <w:vAlign w:val="center"/>
                </w:tcPr>
                <w:p w14:paraId="52BC13F4">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大筒仓</w:t>
                  </w:r>
                </w:p>
              </w:tc>
              <w:tc>
                <w:tcPr>
                  <w:tcW w:w="1407" w:type="pct"/>
                  <w:gridSpan w:val="2"/>
                  <w:tcBorders>
                    <w:tl2br w:val="nil"/>
                    <w:tr2bl w:val="nil"/>
                  </w:tcBorders>
                  <w:noWrap w:val="0"/>
                  <w:vAlign w:val="center"/>
                </w:tcPr>
                <w:p w14:paraId="50EF0405">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both"/>
                    <w:textAlignment w:val="baseline"/>
                    <w:rPr>
                      <w:rFonts w:hint="default" w:cs="Times New Roman"/>
                      <w:color w:val="FF0000"/>
                      <w:sz w:val="21"/>
                      <w:szCs w:val="21"/>
                      <w:highlight w:val="none"/>
                      <w:vertAlign w:val="baseline"/>
                      <w:lang w:val="en-US" w:eastAsia="zh-CN"/>
                    </w:rPr>
                  </w:pPr>
                  <w:r>
                    <w:rPr>
                      <w:rFonts w:hint="eastAsia" w:cs="Times New Roman"/>
                      <w:color w:val="FF0000"/>
                      <w:sz w:val="21"/>
                      <w:szCs w:val="21"/>
                      <w:highlight w:val="none"/>
                      <w:lang w:val="en-US" w:eastAsia="zh-CN"/>
                    </w:rPr>
                    <w:t>共设置3个，总占地面积528</w:t>
                  </w:r>
                  <w:r>
                    <w:rPr>
                      <w:rFonts w:hint="default" w:ascii="Times New Roman" w:hAnsi="Times New Roman" w:cs="Times New Roman"/>
                      <w:color w:val="FF0000"/>
                      <w:sz w:val="21"/>
                      <w:szCs w:val="21"/>
                      <w:highlight w:val="none"/>
                      <w:lang w:val="en-US" w:eastAsia="zh-CN"/>
                    </w:rPr>
                    <w:t>m</w:t>
                  </w:r>
                  <w:r>
                    <w:rPr>
                      <w:rFonts w:hint="eastAsia" w:cs="Times New Roman"/>
                      <w:color w:val="FF0000"/>
                      <w:sz w:val="21"/>
                      <w:szCs w:val="21"/>
                      <w:highlight w:val="none"/>
                      <w:vertAlign w:val="superscript"/>
                      <w:lang w:val="en-US" w:eastAsia="zh-CN"/>
                    </w:rPr>
                    <w:t>2</w:t>
                  </w:r>
                  <w:r>
                    <w:rPr>
                      <w:rFonts w:hint="eastAsia" w:cs="Times New Roman"/>
                      <w:color w:val="FF0000"/>
                      <w:sz w:val="21"/>
                      <w:szCs w:val="21"/>
                      <w:highlight w:val="none"/>
                      <w:vertAlign w:val="baseline"/>
                      <w:lang w:val="en-US" w:eastAsia="zh-CN"/>
                    </w:rPr>
                    <w:t>，</w:t>
                  </w:r>
                  <w:r>
                    <w:rPr>
                      <w:rFonts w:hint="default" w:ascii="Times New Roman" w:hAnsi="Times New Roman" w:cs="Times New Roman"/>
                      <w:color w:val="FF0000"/>
                      <w:sz w:val="21"/>
                      <w:szCs w:val="21"/>
                      <w:highlight w:val="none"/>
                      <w:lang w:val="en-US" w:eastAsia="zh-CN"/>
                    </w:rPr>
                    <w:t>建筑面积</w:t>
                  </w:r>
                  <w:r>
                    <w:rPr>
                      <w:rFonts w:hint="eastAsia" w:cs="Times New Roman"/>
                      <w:color w:val="FF0000"/>
                      <w:sz w:val="21"/>
                      <w:szCs w:val="21"/>
                      <w:highlight w:val="none"/>
                      <w:lang w:val="en-US" w:eastAsia="zh-CN"/>
                    </w:rPr>
                    <w:t>1584</w:t>
                  </w:r>
                  <w:r>
                    <w:rPr>
                      <w:rFonts w:hint="default" w:ascii="Times New Roman" w:hAnsi="Times New Roman" w:cs="Times New Roman"/>
                      <w:color w:val="FF0000"/>
                      <w:sz w:val="21"/>
                      <w:szCs w:val="21"/>
                      <w:highlight w:val="none"/>
                      <w:lang w:val="en-US" w:eastAsia="zh-CN"/>
                    </w:rPr>
                    <w:t>m</w:t>
                  </w:r>
                  <w:r>
                    <w:rPr>
                      <w:rFonts w:hint="eastAsia" w:cs="Times New Roman"/>
                      <w:color w:val="FF0000"/>
                      <w:sz w:val="21"/>
                      <w:szCs w:val="21"/>
                      <w:highlight w:val="none"/>
                      <w:vertAlign w:val="superscript"/>
                      <w:lang w:val="en-US" w:eastAsia="zh-CN"/>
                    </w:rPr>
                    <w:t>2</w:t>
                  </w:r>
                  <w:r>
                    <w:rPr>
                      <w:rFonts w:hint="eastAsia" w:cs="Times New Roman"/>
                      <w:color w:val="FF0000"/>
                      <w:sz w:val="21"/>
                      <w:szCs w:val="21"/>
                      <w:highlight w:val="none"/>
                      <w:lang w:val="en-US" w:eastAsia="zh-CN"/>
                    </w:rPr>
                    <w:t>。</w:t>
                  </w:r>
                </w:p>
              </w:tc>
              <w:tc>
                <w:tcPr>
                  <w:tcW w:w="1411" w:type="pct"/>
                  <w:tcBorders>
                    <w:tl2br w:val="nil"/>
                    <w:tr2bl w:val="nil"/>
                  </w:tcBorders>
                  <w:noWrap w:val="0"/>
                  <w:vAlign w:val="center"/>
                </w:tcPr>
                <w:p w14:paraId="5AD9A02D">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eastAsia" w:cs="Times New Roman"/>
                      <w:color w:val="FF0000"/>
                      <w:sz w:val="21"/>
                      <w:szCs w:val="21"/>
                      <w:highlight w:val="none"/>
                      <w:lang w:val="en-US" w:eastAsia="zh-CN"/>
                    </w:rPr>
                  </w:pPr>
                  <w:r>
                    <w:rPr>
                      <w:rFonts w:hint="eastAsia" w:cs="Times New Roman"/>
                      <w:color w:val="FF0000"/>
                      <w:sz w:val="21"/>
                      <w:szCs w:val="21"/>
                      <w:highlight w:val="none"/>
                      <w:lang w:val="en-US" w:eastAsia="zh-CN"/>
                    </w:rPr>
                    <w:t>不变</w:t>
                  </w:r>
                </w:p>
              </w:tc>
              <w:tc>
                <w:tcPr>
                  <w:tcW w:w="942" w:type="pct"/>
                  <w:vMerge w:val="continue"/>
                  <w:tcBorders>
                    <w:tl2br w:val="nil"/>
                    <w:tr2bl w:val="nil"/>
                  </w:tcBorders>
                  <w:noWrap w:val="0"/>
                  <w:vAlign w:val="center"/>
                </w:tcPr>
                <w:p w14:paraId="36506829">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000000" w:themeColor="text1"/>
                      <w:sz w:val="21"/>
                      <w:szCs w:val="21"/>
                      <w:lang w:val="en-US" w:eastAsia="zh-CN"/>
                      <w14:textFill>
                        <w14:solidFill>
                          <w14:schemeClr w14:val="tx1"/>
                        </w14:solidFill>
                      </w14:textFill>
                    </w:rPr>
                  </w:pPr>
                </w:p>
              </w:tc>
            </w:tr>
            <w:tr w14:paraId="70EF81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45" w:hRule="atLeast"/>
              </w:trPr>
              <w:tc>
                <w:tcPr>
                  <w:tcW w:w="589" w:type="pct"/>
                  <w:vMerge w:val="continue"/>
                  <w:tcBorders>
                    <w:tl2br w:val="nil"/>
                    <w:tr2bl w:val="nil"/>
                  </w:tcBorders>
                  <w:noWrap w:val="0"/>
                  <w:vAlign w:val="center"/>
                </w:tcPr>
                <w:p w14:paraId="1BC18B56">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eastAsia" w:cs="Times New Roman"/>
                      <w:color w:val="000000" w:themeColor="text1"/>
                      <w:sz w:val="21"/>
                      <w:szCs w:val="21"/>
                      <w:lang w:val="en-US" w:eastAsia="zh-CN"/>
                      <w14:textFill>
                        <w14:solidFill>
                          <w14:schemeClr w14:val="tx1"/>
                        </w14:solidFill>
                      </w14:textFill>
                    </w:rPr>
                  </w:pPr>
                </w:p>
              </w:tc>
              <w:tc>
                <w:tcPr>
                  <w:tcW w:w="649" w:type="pct"/>
                  <w:gridSpan w:val="2"/>
                  <w:tcBorders>
                    <w:tl2br w:val="nil"/>
                    <w:tr2bl w:val="nil"/>
                  </w:tcBorders>
                  <w:shd w:val="clear" w:color="auto" w:fill="auto"/>
                  <w:noWrap w:val="0"/>
                  <w:vAlign w:val="center"/>
                </w:tcPr>
                <w:p w14:paraId="5C9D17B5">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小筒仓</w:t>
                  </w:r>
                </w:p>
              </w:tc>
              <w:tc>
                <w:tcPr>
                  <w:tcW w:w="1407" w:type="pct"/>
                  <w:gridSpan w:val="2"/>
                  <w:tcBorders>
                    <w:tl2br w:val="nil"/>
                    <w:tr2bl w:val="nil"/>
                  </w:tcBorders>
                  <w:shd w:val="clear" w:color="auto" w:fill="auto"/>
                  <w:noWrap w:val="0"/>
                  <w:vAlign w:val="center"/>
                </w:tcPr>
                <w:p w14:paraId="35155D28">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both"/>
                    <w:textAlignment w:val="baseline"/>
                    <w:rPr>
                      <w:rFonts w:hint="eastAsia" w:ascii="Times New Roman" w:hAnsi="Times New Roman" w:eastAsia="宋体" w:cs="Times New Roman"/>
                      <w:color w:val="FF0000"/>
                      <w:kern w:val="0"/>
                      <w:sz w:val="21"/>
                      <w:szCs w:val="21"/>
                      <w:lang w:val="en-US" w:eastAsia="zh-CN" w:bidi="ar-SA"/>
                    </w:rPr>
                  </w:pPr>
                  <w:r>
                    <w:rPr>
                      <w:rFonts w:hint="eastAsia" w:cs="Times New Roman"/>
                      <w:color w:val="FF0000"/>
                      <w:sz w:val="21"/>
                      <w:szCs w:val="21"/>
                      <w:highlight w:val="none"/>
                      <w:lang w:val="en-US" w:eastAsia="zh-CN"/>
                    </w:rPr>
                    <w:t>共设置5个，总占地面积113</w:t>
                  </w:r>
                  <w:r>
                    <w:rPr>
                      <w:rFonts w:hint="default" w:ascii="Times New Roman" w:hAnsi="Times New Roman" w:cs="Times New Roman"/>
                      <w:color w:val="FF0000"/>
                      <w:sz w:val="21"/>
                      <w:szCs w:val="21"/>
                      <w:highlight w:val="none"/>
                      <w:lang w:val="en-US" w:eastAsia="zh-CN"/>
                    </w:rPr>
                    <w:t>m</w:t>
                  </w:r>
                  <w:r>
                    <w:rPr>
                      <w:rFonts w:hint="eastAsia" w:cs="Times New Roman"/>
                      <w:color w:val="FF0000"/>
                      <w:sz w:val="21"/>
                      <w:szCs w:val="21"/>
                      <w:highlight w:val="none"/>
                      <w:vertAlign w:val="superscript"/>
                      <w:lang w:val="en-US" w:eastAsia="zh-CN"/>
                    </w:rPr>
                    <w:t>2</w:t>
                  </w:r>
                  <w:r>
                    <w:rPr>
                      <w:rFonts w:hint="eastAsia" w:cs="Times New Roman"/>
                      <w:color w:val="FF0000"/>
                      <w:sz w:val="21"/>
                      <w:szCs w:val="21"/>
                      <w:highlight w:val="none"/>
                      <w:vertAlign w:val="baseline"/>
                      <w:lang w:val="en-US" w:eastAsia="zh-CN"/>
                    </w:rPr>
                    <w:t>，</w:t>
                  </w:r>
                  <w:r>
                    <w:rPr>
                      <w:rFonts w:hint="default" w:ascii="Times New Roman" w:hAnsi="Times New Roman" w:cs="Times New Roman"/>
                      <w:color w:val="FF0000"/>
                      <w:sz w:val="21"/>
                      <w:szCs w:val="21"/>
                      <w:highlight w:val="none"/>
                      <w:lang w:val="en-US" w:eastAsia="zh-CN"/>
                    </w:rPr>
                    <w:t>建筑面积</w:t>
                  </w:r>
                  <w:r>
                    <w:rPr>
                      <w:rFonts w:hint="eastAsia" w:cs="Times New Roman"/>
                      <w:color w:val="FF0000"/>
                      <w:sz w:val="21"/>
                      <w:szCs w:val="21"/>
                      <w:highlight w:val="none"/>
                      <w:lang w:val="en-US" w:eastAsia="zh-CN"/>
                    </w:rPr>
                    <w:t>565</w:t>
                  </w:r>
                  <w:r>
                    <w:rPr>
                      <w:rFonts w:hint="default" w:ascii="Times New Roman" w:hAnsi="Times New Roman" w:cs="Times New Roman"/>
                      <w:color w:val="FF0000"/>
                      <w:sz w:val="21"/>
                      <w:szCs w:val="21"/>
                      <w:highlight w:val="none"/>
                      <w:lang w:val="en-US" w:eastAsia="zh-CN"/>
                    </w:rPr>
                    <w:t>m</w:t>
                  </w:r>
                  <w:r>
                    <w:rPr>
                      <w:rFonts w:hint="eastAsia" w:cs="Times New Roman"/>
                      <w:color w:val="FF0000"/>
                      <w:sz w:val="21"/>
                      <w:szCs w:val="21"/>
                      <w:highlight w:val="none"/>
                      <w:vertAlign w:val="superscript"/>
                      <w:lang w:val="en-US" w:eastAsia="zh-CN"/>
                    </w:rPr>
                    <w:t>2</w:t>
                  </w:r>
                  <w:r>
                    <w:rPr>
                      <w:rFonts w:hint="eastAsia" w:cs="Times New Roman"/>
                      <w:color w:val="FF0000"/>
                      <w:sz w:val="21"/>
                      <w:szCs w:val="21"/>
                      <w:highlight w:val="none"/>
                      <w:lang w:val="en-US" w:eastAsia="zh-CN"/>
                    </w:rPr>
                    <w:t>。</w:t>
                  </w:r>
                </w:p>
              </w:tc>
              <w:tc>
                <w:tcPr>
                  <w:tcW w:w="1411" w:type="pct"/>
                  <w:tcBorders>
                    <w:tl2br w:val="nil"/>
                    <w:tr2bl w:val="nil"/>
                  </w:tcBorders>
                  <w:shd w:val="clear" w:color="auto" w:fill="auto"/>
                  <w:noWrap w:val="0"/>
                  <w:vAlign w:val="center"/>
                </w:tcPr>
                <w:p w14:paraId="5CCEB8A7">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eastAsia" w:cs="Times New Roman"/>
                      <w:color w:val="FF0000"/>
                      <w:sz w:val="21"/>
                      <w:szCs w:val="21"/>
                      <w:highlight w:val="none"/>
                      <w:lang w:val="en-US" w:eastAsia="zh-CN"/>
                    </w:rPr>
                  </w:pPr>
                  <w:r>
                    <w:rPr>
                      <w:rFonts w:hint="eastAsia" w:cs="Times New Roman"/>
                      <w:color w:val="FF0000"/>
                      <w:sz w:val="21"/>
                      <w:szCs w:val="21"/>
                      <w:highlight w:val="none"/>
                      <w:lang w:val="en-US" w:eastAsia="zh-CN"/>
                    </w:rPr>
                    <w:t>不变</w:t>
                  </w:r>
                </w:p>
              </w:tc>
              <w:tc>
                <w:tcPr>
                  <w:tcW w:w="942" w:type="pct"/>
                  <w:vMerge w:val="continue"/>
                  <w:tcBorders>
                    <w:tl2br w:val="nil"/>
                    <w:tr2bl w:val="nil"/>
                  </w:tcBorders>
                  <w:noWrap w:val="0"/>
                  <w:vAlign w:val="center"/>
                </w:tcPr>
                <w:p w14:paraId="1B49BFD9">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000000" w:themeColor="text1"/>
                      <w:sz w:val="21"/>
                      <w:szCs w:val="21"/>
                      <w:lang w:val="en-US" w:eastAsia="zh-CN"/>
                      <w14:textFill>
                        <w14:solidFill>
                          <w14:schemeClr w14:val="tx1"/>
                        </w14:solidFill>
                      </w14:textFill>
                    </w:rPr>
                  </w:pPr>
                </w:p>
              </w:tc>
            </w:tr>
            <w:tr w14:paraId="4CF89E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589" w:type="pct"/>
                  <w:vMerge w:val="continue"/>
                  <w:tcBorders>
                    <w:tl2br w:val="nil"/>
                    <w:tr2bl w:val="nil"/>
                  </w:tcBorders>
                  <w:noWrap w:val="0"/>
                  <w:vAlign w:val="center"/>
                </w:tcPr>
                <w:p w14:paraId="22E94A7A">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eastAsia" w:cs="Times New Roman"/>
                      <w:color w:val="000000" w:themeColor="text1"/>
                      <w:sz w:val="21"/>
                      <w:szCs w:val="21"/>
                      <w:lang w:val="en-US" w:eastAsia="zh-CN"/>
                      <w14:textFill>
                        <w14:solidFill>
                          <w14:schemeClr w14:val="tx1"/>
                        </w14:solidFill>
                      </w14:textFill>
                    </w:rPr>
                  </w:pPr>
                </w:p>
              </w:tc>
              <w:tc>
                <w:tcPr>
                  <w:tcW w:w="649" w:type="pct"/>
                  <w:gridSpan w:val="2"/>
                  <w:tcBorders>
                    <w:tl2br w:val="nil"/>
                    <w:tr2bl w:val="nil"/>
                  </w:tcBorders>
                  <w:shd w:val="clear" w:color="auto" w:fill="auto"/>
                  <w:noWrap w:val="0"/>
                  <w:vAlign w:val="center"/>
                </w:tcPr>
                <w:p w14:paraId="3C7E7AA9">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仓库</w:t>
                  </w:r>
                </w:p>
              </w:tc>
              <w:tc>
                <w:tcPr>
                  <w:tcW w:w="1407" w:type="pct"/>
                  <w:gridSpan w:val="2"/>
                  <w:tcBorders>
                    <w:tl2br w:val="nil"/>
                    <w:tr2bl w:val="nil"/>
                  </w:tcBorders>
                  <w:shd w:val="clear" w:color="auto" w:fill="auto"/>
                  <w:noWrap w:val="0"/>
                  <w:vAlign w:val="center"/>
                </w:tcPr>
                <w:p w14:paraId="2D38B796">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both"/>
                    <w:textAlignment w:val="baseline"/>
                    <w:rPr>
                      <w:rFonts w:hint="eastAsia" w:ascii="Times New Roman" w:hAnsi="Times New Roman" w:eastAsia="宋体" w:cs="Times New Roman"/>
                      <w:color w:val="FF0000"/>
                      <w:kern w:val="0"/>
                      <w:sz w:val="21"/>
                      <w:szCs w:val="21"/>
                      <w:lang w:val="en-US" w:eastAsia="zh-CN" w:bidi="ar-SA"/>
                    </w:rPr>
                  </w:pPr>
                  <w:r>
                    <w:rPr>
                      <w:rFonts w:hint="eastAsia" w:cs="Times New Roman"/>
                      <w:color w:val="FF0000"/>
                      <w:sz w:val="21"/>
                      <w:szCs w:val="21"/>
                      <w:highlight w:val="none"/>
                      <w:lang w:val="en-US" w:eastAsia="zh-CN"/>
                    </w:rPr>
                    <w:t>2F，长50m、宽30m、高10m，占地面积1500</w:t>
                  </w:r>
                  <w:r>
                    <w:rPr>
                      <w:rFonts w:hint="default" w:ascii="Times New Roman" w:hAnsi="Times New Roman" w:cs="Times New Roman"/>
                      <w:color w:val="FF0000"/>
                      <w:sz w:val="21"/>
                      <w:szCs w:val="21"/>
                      <w:highlight w:val="none"/>
                      <w:lang w:val="en-US" w:eastAsia="zh-CN"/>
                    </w:rPr>
                    <w:t>m</w:t>
                  </w:r>
                  <w:r>
                    <w:rPr>
                      <w:rFonts w:hint="eastAsia" w:cs="Times New Roman"/>
                      <w:color w:val="FF0000"/>
                      <w:sz w:val="21"/>
                      <w:szCs w:val="21"/>
                      <w:highlight w:val="none"/>
                      <w:vertAlign w:val="superscript"/>
                      <w:lang w:val="en-US" w:eastAsia="zh-CN"/>
                    </w:rPr>
                    <w:t>2</w:t>
                  </w:r>
                  <w:r>
                    <w:rPr>
                      <w:rFonts w:hint="eastAsia" w:cs="Times New Roman"/>
                      <w:color w:val="FF0000"/>
                      <w:sz w:val="21"/>
                      <w:szCs w:val="21"/>
                      <w:highlight w:val="none"/>
                      <w:vertAlign w:val="baseline"/>
                      <w:lang w:val="en-US" w:eastAsia="zh-CN"/>
                    </w:rPr>
                    <w:t>，</w:t>
                  </w:r>
                  <w:r>
                    <w:rPr>
                      <w:rFonts w:hint="default" w:ascii="Times New Roman" w:hAnsi="Times New Roman" w:cs="Times New Roman"/>
                      <w:color w:val="FF0000"/>
                      <w:sz w:val="21"/>
                      <w:szCs w:val="21"/>
                      <w:highlight w:val="none"/>
                      <w:lang w:val="en-US" w:eastAsia="zh-CN"/>
                    </w:rPr>
                    <w:t>建筑面积</w:t>
                  </w:r>
                  <w:r>
                    <w:rPr>
                      <w:rFonts w:hint="eastAsia" w:cs="Times New Roman"/>
                      <w:color w:val="FF0000"/>
                      <w:sz w:val="21"/>
                      <w:szCs w:val="21"/>
                      <w:highlight w:val="none"/>
                      <w:lang w:val="en-US" w:eastAsia="zh-CN"/>
                    </w:rPr>
                    <w:t>3000</w:t>
                  </w:r>
                  <w:r>
                    <w:rPr>
                      <w:rFonts w:hint="default" w:ascii="Times New Roman" w:hAnsi="Times New Roman" w:cs="Times New Roman"/>
                      <w:color w:val="FF0000"/>
                      <w:sz w:val="21"/>
                      <w:szCs w:val="21"/>
                      <w:highlight w:val="none"/>
                      <w:lang w:val="en-US" w:eastAsia="zh-CN"/>
                    </w:rPr>
                    <w:t>m</w:t>
                  </w:r>
                  <w:r>
                    <w:rPr>
                      <w:rFonts w:hint="eastAsia" w:cs="Times New Roman"/>
                      <w:color w:val="FF0000"/>
                      <w:sz w:val="21"/>
                      <w:szCs w:val="21"/>
                      <w:highlight w:val="none"/>
                      <w:vertAlign w:val="superscript"/>
                      <w:lang w:val="en-US" w:eastAsia="zh-CN"/>
                    </w:rPr>
                    <w:t>2</w:t>
                  </w:r>
                  <w:r>
                    <w:rPr>
                      <w:rFonts w:hint="eastAsia" w:cs="Times New Roman"/>
                      <w:color w:val="FF0000"/>
                      <w:sz w:val="21"/>
                      <w:szCs w:val="21"/>
                      <w:highlight w:val="none"/>
                      <w:lang w:val="en-US" w:eastAsia="zh-CN"/>
                    </w:rPr>
                    <w:t>。</w:t>
                  </w:r>
                </w:p>
              </w:tc>
              <w:tc>
                <w:tcPr>
                  <w:tcW w:w="1411" w:type="pct"/>
                  <w:tcBorders>
                    <w:tl2br w:val="nil"/>
                    <w:tr2bl w:val="nil"/>
                  </w:tcBorders>
                  <w:shd w:val="clear" w:color="auto" w:fill="auto"/>
                  <w:noWrap w:val="0"/>
                  <w:vAlign w:val="center"/>
                </w:tcPr>
                <w:p w14:paraId="2D410E96">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eastAsia" w:cs="Times New Roman"/>
                      <w:color w:val="FF0000"/>
                      <w:sz w:val="21"/>
                      <w:szCs w:val="21"/>
                      <w:highlight w:val="none"/>
                      <w:lang w:val="en-US" w:eastAsia="zh-CN"/>
                    </w:rPr>
                  </w:pPr>
                  <w:r>
                    <w:rPr>
                      <w:rFonts w:hint="eastAsia" w:cs="Times New Roman"/>
                      <w:color w:val="FF0000"/>
                      <w:sz w:val="21"/>
                      <w:szCs w:val="21"/>
                      <w:highlight w:val="none"/>
                      <w:lang w:val="en-US" w:eastAsia="zh-CN"/>
                    </w:rPr>
                    <w:t>不变</w:t>
                  </w:r>
                </w:p>
              </w:tc>
              <w:tc>
                <w:tcPr>
                  <w:tcW w:w="942" w:type="pct"/>
                  <w:vMerge w:val="continue"/>
                  <w:tcBorders>
                    <w:tl2br w:val="nil"/>
                    <w:tr2bl w:val="nil"/>
                  </w:tcBorders>
                  <w:noWrap w:val="0"/>
                  <w:vAlign w:val="center"/>
                </w:tcPr>
                <w:p w14:paraId="68A4857B">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000000" w:themeColor="text1"/>
                      <w:sz w:val="21"/>
                      <w:szCs w:val="21"/>
                      <w:lang w:val="en-US" w:eastAsia="zh-CN"/>
                      <w14:textFill>
                        <w14:solidFill>
                          <w14:schemeClr w14:val="tx1"/>
                        </w14:solidFill>
                      </w14:textFill>
                    </w:rPr>
                  </w:pPr>
                </w:p>
              </w:tc>
            </w:tr>
            <w:tr w14:paraId="268024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45" w:hRule="atLeast"/>
              </w:trPr>
              <w:tc>
                <w:tcPr>
                  <w:tcW w:w="589" w:type="pct"/>
                  <w:vMerge w:val="restart"/>
                  <w:tcBorders>
                    <w:tl2br w:val="nil"/>
                    <w:tr2bl w:val="nil"/>
                  </w:tcBorders>
                  <w:noWrap w:val="0"/>
                  <w:vAlign w:val="center"/>
                </w:tcPr>
                <w:p w14:paraId="0925A3DA">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辅助工程</w:t>
                  </w:r>
                </w:p>
              </w:tc>
              <w:tc>
                <w:tcPr>
                  <w:tcW w:w="649" w:type="pct"/>
                  <w:gridSpan w:val="2"/>
                  <w:tcBorders>
                    <w:tl2br w:val="nil"/>
                    <w:tr2bl w:val="nil"/>
                  </w:tcBorders>
                  <w:shd w:val="clear" w:color="auto" w:fill="auto"/>
                  <w:noWrap w:val="0"/>
                  <w:vAlign w:val="center"/>
                </w:tcPr>
                <w:p w14:paraId="600464FD">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办公楼</w:t>
                  </w:r>
                </w:p>
              </w:tc>
              <w:tc>
                <w:tcPr>
                  <w:tcW w:w="1407" w:type="pct"/>
                  <w:gridSpan w:val="2"/>
                  <w:tcBorders>
                    <w:tl2br w:val="nil"/>
                    <w:tr2bl w:val="nil"/>
                  </w:tcBorders>
                  <w:shd w:val="clear" w:color="auto" w:fill="auto"/>
                  <w:noWrap w:val="0"/>
                  <w:vAlign w:val="center"/>
                </w:tcPr>
                <w:p w14:paraId="32C42C83">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both"/>
                    <w:textAlignment w:val="baseline"/>
                    <w:rPr>
                      <w:rFonts w:hint="default" w:ascii="Times New Roman" w:hAnsi="Times New Roman" w:eastAsia="宋体" w:cs="Times New Roman"/>
                      <w:color w:val="FF0000"/>
                      <w:kern w:val="0"/>
                      <w:sz w:val="21"/>
                      <w:szCs w:val="21"/>
                      <w:lang w:val="en-US" w:eastAsia="zh-CN" w:bidi="ar-SA"/>
                    </w:rPr>
                  </w:pPr>
                  <w:r>
                    <w:rPr>
                      <w:rFonts w:hint="default" w:ascii="Times New Roman" w:hAnsi="Times New Roman" w:cs="Times New Roman"/>
                      <w:color w:val="FF0000"/>
                      <w:sz w:val="21"/>
                      <w:szCs w:val="21"/>
                      <w:highlight w:val="none"/>
                      <w:lang w:val="en-US" w:eastAsia="zh-CN"/>
                    </w:rPr>
                    <w:t>3F，</w:t>
                  </w:r>
                  <w:r>
                    <w:rPr>
                      <w:rFonts w:hint="eastAsia" w:cs="Times New Roman"/>
                      <w:color w:val="FF0000"/>
                      <w:sz w:val="21"/>
                      <w:szCs w:val="21"/>
                      <w:highlight w:val="none"/>
                      <w:lang w:val="en-US" w:eastAsia="zh-CN"/>
                    </w:rPr>
                    <w:t>长36.4m、宽15m、高24m，</w:t>
                  </w:r>
                  <w:r>
                    <w:rPr>
                      <w:rFonts w:hint="default" w:ascii="Times New Roman" w:hAnsi="Times New Roman" w:cs="Times New Roman"/>
                      <w:color w:val="FF0000"/>
                      <w:sz w:val="21"/>
                      <w:szCs w:val="21"/>
                      <w:highlight w:val="none"/>
                      <w:lang w:val="en-US" w:eastAsia="zh-CN"/>
                    </w:rPr>
                    <w:t>占地面积546m</w:t>
                  </w:r>
                  <w:r>
                    <w:rPr>
                      <w:rFonts w:hint="default" w:ascii="Times New Roman" w:hAnsi="Times New Roman" w:cs="Times New Roman"/>
                      <w:color w:val="FF0000"/>
                      <w:sz w:val="21"/>
                      <w:szCs w:val="21"/>
                      <w:highlight w:val="none"/>
                      <w:vertAlign w:val="superscript"/>
                      <w:lang w:val="en-US" w:eastAsia="zh-CN"/>
                    </w:rPr>
                    <w:t>2</w:t>
                  </w:r>
                  <w:r>
                    <w:rPr>
                      <w:rFonts w:hint="default" w:ascii="Times New Roman" w:hAnsi="Times New Roman" w:cs="Times New Roman"/>
                      <w:color w:val="FF0000"/>
                      <w:sz w:val="21"/>
                      <w:szCs w:val="21"/>
                      <w:highlight w:val="none"/>
                      <w:vertAlign w:val="baseline"/>
                      <w:lang w:val="en-US" w:eastAsia="zh-CN"/>
                    </w:rPr>
                    <w:t>，</w:t>
                  </w:r>
                  <w:r>
                    <w:rPr>
                      <w:rFonts w:hint="default" w:ascii="Times New Roman" w:hAnsi="Times New Roman" w:cs="Times New Roman"/>
                      <w:color w:val="FF0000"/>
                      <w:sz w:val="21"/>
                      <w:szCs w:val="21"/>
                      <w:highlight w:val="none"/>
                      <w:lang w:val="en-US" w:eastAsia="zh-CN"/>
                    </w:rPr>
                    <w:t>建筑面积16</w:t>
                  </w:r>
                  <w:r>
                    <w:rPr>
                      <w:rFonts w:hint="eastAsia" w:cs="Times New Roman"/>
                      <w:color w:val="FF0000"/>
                      <w:sz w:val="21"/>
                      <w:szCs w:val="21"/>
                      <w:highlight w:val="none"/>
                      <w:lang w:val="en-US" w:eastAsia="zh-CN"/>
                    </w:rPr>
                    <w:t>38</w:t>
                  </w:r>
                  <w:r>
                    <w:rPr>
                      <w:rFonts w:hint="default" w:ascii="Times New Roman" w:hAnsi="Times New Roman" w:cs="Times New Roman"/>
                      <w:color w:val="FF0000"/>
                      <w:sz w:val="21"/>
                      <w:szCs w:val="21"/>
                      <w:highlight w:val="none"/>
                      <w:lang w:val="en-US" w:eastAsia="zh-CN"/>
                    </w:rPr>
                    <w:t>m</w:t>
                  </w:r>
                  <w:r>
                    <w:rPr>
                      <w:rFonts w:hint="default" w:ascii="Times New Roman" w:hAnsi="Times New Roman" w:cs="Times New Roman"/>
                      <w:color w:val="FF0000"/>
                      <w:sz w:val="21"/>
                      <w:szCs w:val="21"/>
                      <w:highlight w:val="none"/>
                      <w:vertAlign w:val="superscript"/>
                      <w:lang w:val="en-US" w:eastAsia="zh-CN"/>
                    </w:rPr>
                    <w:t>2</w:t>
                  </w:r>
                  <w:r>
                    <w:rPr>
                      <w:rFonts w:hint="eastAsia" w:cs="Times New Roman"/>
                      <w:color w:val="FF0000"/>
                      <w:sz w:val="21"/>
                      <w:szCs w:val="21"/>
                      <w:highlight w:val="none"/>
                      <w:lang w:val="en-US" w:eastAsia="zh-CN"/>
                    </w:rPr>
                    <w:t>。</w:t>
                  </w:r>
                </w:p>
              </w:tc>
              <w:tc>
                <w:tcPr>
                  <w:tcW w:w="1411" w:type="pct"/>
                  <w:tcBorders>
                    <w:tl2br w:val="nil"/>
                    <w:tr2bl w:val="nil"/>
                  </w:tcBorders>
                  <w:shd w:val="clear" w:color="auto" w:fill="auto"/>
                  <w:noWrap w:val="0"/>
                  <w:vAlign w:val="center"/>
                </w:tcPr>
                <w:p w14:paraId="53AADB4B">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color w:val="FF0000"/>
                      <w:sz w:val="21"/>
                      <w:szCs w:val="21"/>
                      <w:highlight w:val="none"/>
                      <w:lang w:val="en-US" w:eastAsia="zh-CN"/>
                    </w:rPr>
                  </w:pPr>
                  <w:r>
                    <w:rPr>
                      <w:rFonts w:hint="eastAsia" w:cs="Times New Roman"/>
                      <w:color w:val="FF0000"/>
                      <w:sz w:val="21"/>
                      <w:szCs w:val="21"/>
                      <w:highlight w:val="none"/>
                      <w:lang w:val="en-US" w:eastAsia="zh-CN"/>
                    </w:rPr>
                    <w:t>不变</w:t>
                  </w:r>
                </w:p>
              </w:tc>
              <w:tc>
                <w:tcPr>
                  <w:tcW w:w="942" w:type="pct"/>
                  <w:tcBorders>
                    <w:tl2br w:val="nil"/>
                    <w:tr2bl w:val="nil"/>
                  </w:tcBorders>
                  <w:noWrap w:val="0"/>
                  <w:vAlign w:val="center"/>
                </w:tcPr>
                <w:p w14:paraId="654BFA95">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auto"/>
                      <w:sz w:val="21"/>
                      <w:szCs w:val="21"/>
                      <w:lang w:val="en-US" w:eastAsia="zh-CN"/>
                    </w:rPr>
                    <w:t>依托现有</w:t>
                  </w:r>
                </w:p>
              </w:tc>
            </w:tr>
            <w:tr w14:paraId="3860DA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45" w:hRule="atLeast"/>
              </w:trPr>
              <w:tc>
                <w:tcPr>
                  <w:tcW w:w="589" w:type="pct"/>
                  <w:vMerge w:val="continue"/>
                  <w:tcBorders>
                    <w:tl2br w:val="nil"/>
                    <w:tr2bl w:val="nil"/>
                  </w:tcBorders>
                  <w:noWrap w:val="0"/>
                  <w:vAlign w:val="center"/>
                </w:tcPr>
                <w:p w14:paraId="1DC44A96">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eastAsia" w:cs="Times New Roman"/>
                      <w:color w:val="000000" w:themeColor="text1"/>
                      <w:sz w:val="21"/>
                      <w:szCs w:val="21"/>
                      <w:lang w:val="en-US" w:eastAsia="zh-CN"/>
                      <w14:textFill>
                        <w14:solidFill>
                          <w14:schemeClr w14:val="tx1"/>
                        </w14:solidFill>
                      </w14:textFill>
                    </w:rPr>
                  </w:pPr>
                </w:p>
              </w:tc>
              <w:tc>
                <w:tcPr>
                  <w:tcW w:w="649" w:type="pct"/>
                  <w:gridSpan w:val="2"/>
                  <w:tcBorders>
                    <w:tl2br w:val="nil"/>
                    <w:tr2bl w:val="nil"/>
                  </w:tcBorders>
                  <w:shd w:val="clear" w:color="auto" w:fill="auto"/>
                  <w:noWrap w:val="0"/>
                  <w:vAlign w:val="center"/>
                </w:tcPr>
                <w:p w14:paraId="0E810A6D">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锅炉房</w:t>
                  </w:r>
                </w:p>
              </w:tc>
              <w:tc>
                <w:tcPr>
                  <w:tcW w:w="1407" w:type="pct"/>
                  <w:gridSpan w:val="2"/>
                  <w:tcBorders>
                    <w:tl2br w:val="nil"/>
                    <w:tr2bl w:val="nil"/>
                  </w:tcBorders>
                  <w:shd w:val="clear" w:color="auto" w:fill="auto"/>
                  <w:noWrap w:val="0"/>
                  <w:vAlign w:val="center"/>
                </w:tcPr>
                <w:p w14:paraId="2041F018">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both"/>
                    <w:textAlignment w:val="baseline"/>
                    <w:rPr>
                      <w:rFonts w:hint="default" w:cs="Times New Roman"/>
                      <w:color w:val="FF0000"/>
                      <w:sz w:val="21"/>
                      <w:szCs w:val="21"/>
                      <w:highlight w:val="none"/>
                      <w:vertAlign w:val="baseline"/>
                      <w:lang w:val="en-US" w:eastAsia="zh-CN"/>
                    </w:rPr>
                  </w:pPr>
                  <w:r>
                    <w:rPr>
                      <w:rFonts w:hint="default" w:ascii="Times New Roman" w:hAnsi="Times New Roman" w:cs="Times New Roman"/>
                      <w:color w:val="FF0000"/>
                      <w:sz w:val="21"/>
                      <w:szCs w:val="21"/>
                      <w:highlight w:val="none"/>
                      <w:lang w:val="en-US" w:eastAsia="zh-CN"/>
                    </w:rPr>
                    <w:t>1F，</w:t>
                  </w:r>
                  <w:r>
                    <w:rPr>
                      <w:rFonts w:hint="eastAsia" w:cs="Times New Roman"/>
                      <w:color w:val="FF0000"/>
                      <w:sz w:val="21"/>
                      <w:szCs w:val="21"/>
                      <w:highlight w:val="none"/>
                      <w:lang w:val="en-US" w:eastAsia="zh-CN"/>
                    </w:rPr>
                    <w:t>长12m、宽8m、高12m，</w:t>
                  </w:r>
                  <w:r>
                    <w:rPr>
                      <w:rFonts w:hint="default" w:ascii="Times New Roman" w:hAnsi="Times New Roman" w:cs="Times New Roman"/>
                      <w:color w:val="FF0000"/>
                      <w:sz w:val="21"/>
                      <w:szCs w:val="21"/>
                      <w:highlight w:val="none"/>
                      <w:lang w:val="en-US" w:eastAsia="zh-CN"/>
                    </w:rPr>
                    <w:t>占地面积</w:t>
                  </w:r>
                  <w:r>
                    <w:rPr>
                      <w:rFonts w:hint="eastAsia" w:cs="Times New Roman"/>
                      <w:color w:val="FF0000"/>
                      <w:sz w:val="21"/>
                      <w:szCs w:val="21"/>
                      <w:highlight w:val="none"/>
                      <w:lang w:val="en-US" w:eastAsia="zh-CN"/>
                    </w:rPr>
                    <w:t>96</w:t>
                  </w:r>
                  <w:r>
                    <w:rPr>
                      <w:rFonts w:hint="default" w:ascii="Times New Roman" w:hAnsi="Times New Roman" w:cs="Times New Roman"/>
                      <w:color w:val="FF0000"/>
                      <w:sz w:val="21"/>
                      <w:szCs w:val="21"/>
                      <w:highlight w:val="none"/>
                      <w:lang w:val="en-US" w:eastAsia="zh-CN"/>
                    </w:rPr>
                    <w:t>m</w:t>
                  </w:r>
                  <w:r>
                    <w:rPr>
                      <w:rFonts w:hint="default" w:ascii="Times New Roman" w:hAnsi="Times New Roman" w:cs="Times New Roman"/>
                      <w:color w:val="FF0000"/>
                      <w:sz w:val="21"/>
                      <w:szCs w:val="21"/>
                      <w:highlight w:val="none"/>
                      <w:vertAlign w:val="superscript"/>
                      <w:lang w:val="en-US" w:eastAsia="zh-CN"/>
                    </w:rPr>
                    <w:t>2</w:t>
                  </w:r>
                  <w:r>
                    <w:rPr>
                      <w:rFonts w:hint="default" w:ascii="Times New Roman" w:hAnsi="Times New Roman" w:cs="Times New Roman"/>
                      <w:color w:val="FF0000"/>
                      <w:sz w:val="21"/>
                      <w:szCs w:val="21"/>
                      <w:highlight w:val="none"/>
                      <w:vertAlign w:val="baseline"/>
                      <w:lang w:val="en-US" w:eastAsia="zh-CN"/>
                    </w:rPr>
                    <w:t>，</w:t>
                  </w:r>
                  <w:r>
                    <w:rPr>
                      <w:rFonts w:hint="default" w:ascii="Times New Roman" w:hAnsi="Times New Roman" w:cs="Times New Roman"/>
                      <w:color w:val="FF0000"/>
                      <w:sz w:val="21"/>
                      <w:szCs w:val="21"/>
                      <w:highlight w:val="none"/>
                      <w:lang w:val="en-US" w:eastAsia="zh-CN"/>
                    </w:rPr>
                    <w:t>建筑面积</w:t>
                  </w:r>
                  <w:r>
                    <w:rPr>
                      <w:rFonts w:hint="eastAsia" w:cs="Times New Roman"/>
                      <w:color w:val="FF0000"/>
                      <w:sz w:val="21"/>
                      <w:szCs w:val="21"/>
                      <w:highlight w:val="none"/>
                      <w:lang w:val="en-US" w:eastAsia="zh-CN"/>
                    </w:rPr>
                    <w:t>96</w:t>
                  </w:r>
                  <w:r>
                    <w:rPr>
                      <w:rFonts w:hint="default" w:ascii="Times New Roman" w:hAnsi="Times New Roman" w:cs="Times New Roman"/>
                      <w:color w:val="FF0000"/>
                      <w:sz w:val="21"/>
                      <w:szCs w:val="21"/>
                      <w:highlight w:val="none"/>
                      <w:lang w:val="en-US" w:eastAsia="zh-CN"/>
                    </w:rPr>
                    <w:t>m</w:t>
                  </w:r>
                  <w:r>
                    <w:rPr>
                      <w:rFonts w:hint="default" w:ascii="Times New Roman" w:hAnsi="Times New Roman" w:cs="Times New Roman"/>
                      <w:color w:val="FF0000"/>
                      <w:sz w:val="21"/>
                      <w:szCs w:val="21"/>
                      <w:highlight w:val="none"/>
                      <w:vertAlign w:val="superscript"/>
                      <w:lang w:val="en-US" w:eastAsia="zh-CN"/>
                    </w:rPr>
                    <w:t>2</w:t>
                  </w:r>
                  <w:r>
                    <w:rPr>
                      <w:rFonts w:hint="eastAsia" w:ascii="Times New Roman" w:hAnsi="Times New Roman" w:cs="Times New Roman"/>
                      <w:color w:val="FF0000"/>
                      <w:sz w:val="21"/>
                      <w:szCs w:val="21"/>
                      <w:highlight w:val="none"/>
                      <w:vertAlign w:val="baseline"/>
                      <w:lang w:val="en-US" w:eastAsia="zh-CN"/>
                    </w:rPr>
                    <w:t>，</w:t>
                  </w:r>
                  <w:r>
                    <w:rPr>
                      <w:rFonts w:hint="eastAsia" w:cs="Times New Roman"/>
                      <w:color w:val="FF0000"/>
                      <w:sz w:val="21"/>
                      <w:szCs w:val="21"/>
                      <w:highlight w:val="none"/>
                      <w:vertAlign w:val="baseline"/>
                      <w:lang w:val="en-US" w:eastAsia="zh-CN"/>
                    </w:rPr>
                    <w:t>设有一台6t/h生物质锅炉</w:t>
                  </w:r>
                  <w:r>
                    <w:rPr>
                      <w:rFonts w:hint="eastAsia" w:cs="Times New Roman"/>
                      <w:color w:val="FF0000"/>
                      <w:sz w:val="21"/>
                      <w:szCs w:val="21"/>
                      <w:highlight w:val="none"/>
                      <w:lang w:val="en-US" w:eastAsia="zh-CN"/>
                    </w:rPr>
                    <w:t>。</w:t>
                  </w:r>
                </w:p>
              </w:tc>
              <w:tc>
                <w:tcPr>
                  <w:tcW w:w="1411" w:type="pct"/>
                  <w:tcBorders>
                    <w:tl2br w:val="nil"/>
                    <w:tr2bl w:val="nil"/>
                  </w:tcBorders>
                  <w:shd w:val="clear" w:color="auto" w:fill="auto"/>
                  <w:noWrap w:val="0"/>
                  <w:vAlign w:val="center"/>
                </w:tcPr>
                <w:p w14:paraId="6227FAC0">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both"/>
                    <w:textAlignment w:val="baseline"/>
                    <w:rPr>
                      <w:rFonts w:hint="default" w:ascii="Times New Roman" w:hAnsi="Times New Roman" w:cs="Times New Roman"/>
                      <w:color w:val="FF0000"/>
                      <w:sz w:val="21"/>
                      <w:szCs w:val="21"/>
                      <w:highlight w:val="none"/>
                      <w:lang w:val="en-US" w:eastAsia="zh-CN"/>
                    </w:rPr>
                  </w:pPr>
                  <w:r>
                    <w:rPr>
                      <w:rFonts w:hint="default" w:ascii="Times New Roman" w:hAnsi="Times New Roman" w:cs="Times New Roman"/>
                      <w:color w:val="FF0000"/>
                      <w:sz w:val="21"/>
                      <w:szCs w:val="21"/>
                      <w:highlight w:val="none"/>
                      <w:lang w:val="en-US" w:eastAsia="zh-CN"/>
                    </w:rPr>
                    <w:t>1F，占地面积</w:t>
                  </w:r>
                  <w:r>
                    <w:rPr>
                      <w:rFonts w:hint="eastAsia" w:cs="Times New Roman"/>
                      <w:color w:val="FF0000"/>
                      <w:sz w:val="21"/>
                      <w:szCs w:val="21"/>
                      <w:highlight w:val="none"/>
                      <w:lang w:val="en-US" w:eastAsia="zh-CN"/>
                    </w:rPr>
                    <w:t>96</w:t>
                  </w:r>
                  <w:r>
                    <w:rPr>
                      <w:rFonts w:hint="default" w:ascii="Times New Roman" w:hAnsi="Times New Roman" w:cs="Times New Roman"/>
                      <w:color w:val="FF0000"/>
                      <w:sz w:val="21"/>
                      <w:szCs w:val="21"/>
                      <w:highlight w:val="none"/>
                      <w:lang w:val="en-US" w:eastAsia="zh-CN"/>
                    </w:rPr>
                    <w:t>m</w:t>
                  </w:r>
                  <w:r>
                    <w:rPr>
                      <w:rFonts w:hint="default" w:ascii="Times New Roman" w:hAnsi="Times New Roman" w:cs="Times New Roman"/>
                      <w:color w:val="FF0000"/>
                      <w:sz w:val="21"/>
                      <w:szCs w:val="21"/>
                      <w:highlight w:val="none"/>
                      <w:vertAlign w:val="superscript"/>
                      <w:lang w:val="en-US" w:eastAsia="zh-CN"/>
                    </w:rPr>
                    <w:t>2</w:t>
                  </w:r>
                  <w:r>
                    <w:rPr>
                      <w:rFonts w:hint="default" w:ascii="Times New Roman" w:hAnsi="Times New Roman" w:cs="Times New Roman"/>
                      <w:color w:val="FF0000"/>
                      <w:sz w:val="21"/>
                      <w:szCs w:val="21"/>
                      <w:highlight w:val="none"/>
                      <w:vertAlign w:val="baseline"/>
                      <w:lang w:val="en-US" w:eastAsia="zh-CN"/>
                    </w:rPr>
                    <w:t>，</w:t>
                  </w:r>
                  <w:r>
                    <w:rPr>
                      <w:rFonts w:hint="default" w:ascii="Times New Roman" w:hAnsi="Times New Roman" w:cs="Times New Roman"/>
                      <w:color w:val="FF0000"/>
                      <w:sz w:val="21"/>
                      <w:szCs w:val="21"/>
                      <w:highlight w:val="none"/>
                      <w:lang w:val="en-US" w:eastAsia="zh-CN"/>
                    </w:rPr>
                    <w:t>建筑面积</w:t>
                  </w:r>
                  <w:r>
                    <w:rPr>
                      <w:rFonts w:hint="eastAsia" w:cs="Times New Roman"/>
                      <w:color w:val="FF0000"/>
                      <w:sz w:val="21"/>
                      <w:szCs w:val="21"/>
                      <w:highlight w:val="none"/>
                      <w:lang w:val="en-US" w:eastAsia="zh-CN"/>
                    </w:rPr>
                    <w:t>96</w:t>
                  </w:r>
                  <w:r>
                    <w:rPr>
                      <w:rFonts w:hint="default" w:ascii="Times New Roman" w:hAnsi="Times New Roman" w:cs="Times New Roman"/>
                      <w:color w:val="FF0000"/>
                      <w:sz w:val="21"/>
                      <w:szCs w:val="21"/>
                      <w:highlight w:val="none"/>
                      <w:lang w:val="en-US" w:eastAsia="zh-CN"/>
                    </w:rPr>
                    <w:t>m</w:t>
                  </w:r>
                  <w:r>
                    <w:rPr>
                      <w:rFonts w:hint="default" w:ascii="Times New Roman" w:hAnsi="Times New Roman" w:cs="Times New Roman"/>
                      <w:color w:val="FF0000"/>
                      <w:sz w:val="21"/>
                      <w:szCs w:val="21"/>
                      <w:highlight w:val="none"/>
                      <w:vertAlign w:val="superscript"/>
                      <w:lang w:val="en-US" w:eastAsia="zh-CN"/>
                    </w:rPr>
                    <w:t>2</w:t>
                  </w:r>
                  <w:r>
                    <w:rPr>
                      <w:rFonts w:hint="eastAsia" w:ascii="Times New Roman" w:hAnsi="Times New Roman" w:cs="Times New Roman"/>
                      <w:color w:val="FF0000"/>
                      <w:sz w:val="21"/>
                      <w:szCs w:val="21"/>
                      <w:highlight w:val="none"/>
                      <w:vertAlign w:val="baseline"/>
                      <w:lang w:val="en-US" w:eastAsia="zh-CN"/>
                    </w:rPr>
                    <w:t>，</w:t>
                  </w:r>
                  <w:r>
                    <w:rPr>
                      <w:rFonts w:hint="eastAsia" w:cs="Times New Roman"/>
                      <w:color w:val="FF0000"/>
                      <w:sz w:val="21"/>
                      <w:szCs w:val="21"/>
                      <w:highlight w:val="none"/>
                      <w:vertAlign w:val="baseline"/>
                      <w:lang w:val="en-US" w:eastAsia="zh-CN"/>
                    </w:rPr>
                    <w:t>设有一台常用6t/h生物质锅炉、一台备用6t/h生物质锅炉</w:t>
                  </w:r>
                  <w:r>
                    <w:rPr>
                      <w:rFonts w:hint="eastAsia" w:cs="Times New Roman"/>
                      <w:color w:val="FF0000"/>
                      <w:sz w:val="21"/>
                      <w:szCs w:val="21"/>
                      <w:highlight w:val="none"/>
                      <w:lang w:val="en-US" w:eastAsia="zh-CN"/>
                    </w:rPr>
                    <w:t>。</w:t>
                  </w:r>
                </w:p>
              </w:tc>
              <w:tc>
                <w:tcPr>
                  <w:tcW w:w="942" w:type="pct"/>
                  <w:tcBorders>
                    <w:tl2br w:val="nil"/>
                    <w:tr2bl w:val="nil"/>
                  </w:tcBorders>
                  <w:noWrap w:val="0"/>
                  <w:vAlign w:val="center"/>
                </w:tcPr>
                <w:p w14:paraId="7C76A8FD">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both"/>
                    <w:textAlignment w:val="baseline"/>
                    <w:rPr>
                      <w:rFonts w:hint="default" w:ascii="Times New Roman" w:hAnsi="Times New Roman" w:cs="Times New Roman"/>
                      <w:color w:val="000000" w:themeColor="text1"/>
                      <w:sz w:val="21"/>
                      <w:szCs w:val="21"/>
                      <w:vertAlign w:val="baseline"/>
                      <w:lang w:val="en-US" w:eastAsia="zh-CN"/>
                      <w14:textFill>
                        <w14:solidFill>
                          <w14:schemeClr w14:val="tx1"/>
                        </w14:solidFill>
                      </w14:textFill>
                    </w:rPr>
                  </w:pPr>
                  <w:r>
                    <w:rPr>
                      <w:rFonts w:hint="eastAsia" w:cs="Times New Roman"/>
                      <w:color w:val="auto"/>
                      <w:sz w:val="21"/>
                      <w:szCs w:val="21"/>
                      <w:lang w:val="en-US" w:eastAsia="zh-CN"/>
                    </w:rPr>
                    <w:t>依托现有，属于</w:t>
                  </w:r>
                  <w:r>
                    <w:rPr>
                      <w:rFonts w:hint="eastAsia" w:cs="Times New Roman"/>
                      <w:color w:val="000000" w:themeColor="text1"/>
                      <w:sz w:val="21"/>
                      <w:szCs w:val="21"/>
                      <w:lang w:val="en-US" w:eastAsia="zh-CN"/>
                      <w14:textFill>
                        <w14:solidFill>
                          <w14:schemeClr w14:val="tx1"/>
                        </w14:solidFill>
                      </w14:textFill>
                    </w:rPr>
                    <w:t>本次技改范围，原有锅炉作为备用锅炉使用，新增锅炉作为常用锅炉使用；</w:t>
                  </w:r>
                  <w:r>
                    <w:rPr>
                      <w:rFonts w:hint="eastAsia" w:cs="Times New Roman"/>
                      <w:color w:val="FF0000"/>
                      <w:sz w:val="21"/>
                      <w:szCs w:val="21"/>
                      <w:lang w:val="en-US" w:eastAsia="zh-CN"/>
                    </w:rPr>
                    <w:t>本次技改仅占用现有锅炉房45</w:t>
                  </w:r>
                  <w:r>
                    <w:rPr>
                      <w:rFonts w:hint="default" w:ascii="Times New Roman" w:hAnsi="Times New Roman" w:cs="Times New Roman"/>
                      <w:color w:val="FF0000"/>
                      <w:sz w:val="21"/>
                      <w:szCs w:val="21"/>
                      <w:highlight w:val="none"/>
                      <w:lang w:val="en-US" w:eastAsia="zh-CN"/>
                    </w:rPr>
                    <w:t>m</w:t>
                  </w:r>
                  <w:r>
                    <w:rPr>
                      <w:rFonts w:hint="default" w:ascii="Times New Roman" w:hAnsi="Times New Roman" w:cs="Times New Roman"/>
                      <w:color w:val="FF0000"/>
                      <w:sz w:val="21"/>
                      <w:szCs w:val="21"/>
                      <w:highlight w:val="none"/>
                      <w:vertAlign w:val="superscript"/>
                      <w:lang w:val="en-US" w:eastAsia="zh-CN"/>
                    </w:rPr>
                    <w:t>2</w:t>
                  </w:r>
                  <w:r>
                    <w:rPr>
                      <w:rFonts w:hint="eastAsia" w:cs="Times New Roman"/>
                      <w:color w:val="FF0000"/>
                      <w:sz w:val="21"/>
                      <w:szCs w:val="21"/>
                      <w:highlight w:val="none"/>
                      <w:vertAlign w:val="baseline"/>
                      <w:lang w:val="en-US" w:eastAsia="zh-CN"/>
                    </w:rPr>
                    <w:t>作为技改空间</w:t>
                  </w:r>
                  <w:r>
                    <w:rPr>
                      <w:rFonts w:hint="eastAsia" w:cs="Times New Roman"/>
                      <w:color w:val="FF0000"/>
                      <w:sz w:val="21"/>
                      <w:szCs w:val="21"/>
                      <w:highlight w:val="none"/>
                      <w:lang w:val="en-US" w:eastAsia="zh-CN"/>
                    </w:rPr>
                    <w:t>。</w:t>
                  </w:r>
                </w:p>
              </w:tc>
            </w:tr>
            <w:tr w14:paraId="574606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45" w:hRule="atLeast"/>
              </w:trPr>
              <w:tc>
                <w:tcPr>
                  <w:tcW w:w="589" w:type="pct"/>
                  <w:vMerge w:val="continue"/>
                  <w:tcBorders>
                    <w:tl2br w:val="nil"/>
                    <w:tr2bl w:val="nil"/>
                  </w:tcBorders>
                  <w:noWrap w:val="0"/>
                  <w:vAlign w:val="center"/>
                </w:tcPr>
                <w:p w14:paraId="28F9A291">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eastAsia" w:cs="Times New Roman"/>
                      <w:color w:val="000000" w:themeColor="text1"/>
                      <w:sz w:val="21"/>
                      <w:szCs w:val="21"/>
                      <w:lang w:val="en-US" w:eastAsia="zh-CN"/>
                      <w14:textFill>
                        <w14:solidFill>
                          <w14:schemeClr w14:val="tx1"/>
                        </w14:solidFill>
                      </w14:textFill>
                    </w:rPr>
                  </w:pPr>
                </w:p>
              </w:tc>
              <w:tc>
                <w:tcPr>
                  <w:tcW w:w="649" w:type="pct"/>
                  <w:gridSpan w:val="2"/>
                  <w:tcBorders>
                    <w:tl2br w:val="nil"/>
                    <w:tr2bl w:val="nil"/>
                  </w:tcBorders>
                  <w:shd w:val="clear" w:color="auto" w:fill="auto"/>
                  <w:noWrap w:val="0"/>
                  <w:vAlign w:val="center"/>
                </w:tcPr>
                <w:p w14:paraId="341EC09B">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宿舍楼</w:t>
                  </w:r>
                </w:p>
              </w:tc>
              <w:tc>
                <w:tcPr>
                  <w:tcW w:w="1407" w:type="pct"/>
                  <w:gridSpan w:val="2"/>
                  <w:tcBorders>
                    <w:tl2br w:val="nil"/>
                    <w:tr2bl w:val="nil"/>
                  </w:tcBorders>
                  <w:shd w:val="clear" w:color="auto" w:fill="auto"/>
                  <w:noWrap w:val="0"/>
                  <w:vAlign w:val="center"/>
                </w:tcPr>
                <w:p w14:paraId="06FCEF15">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both"/>
                    <w:textAlignment w:val="baseline"/>
                    <w:rPr>
                      <w:rFonts w:hint="default" w:ascii="Times New Roman" w:hAnsi="Times New Roman" w:eastAsia="宋体" w:cs="Times New Roman"/>
                      <w:color w:val="FF0000"/>
                      <w:kern w:val="0"/>
                      <w:sz w:val="21"/>
                      <w:szCs w:val="21"/>
                      <w:lang w:val="en-US" w:eastAsia="zh-CN" w:bidi="ar-SA"/>
                    </w:rPr>
                  </w:pPr>
                  <w:r>
                    <w:rPr>
                      <w:rFonts w:hint="default" w:ascii="Times New Roman" w:hAnsi="Times New Roman" w:cs="Times New Roman"/>
                      <w:color w:val="FF0000"/>
                      <w:sz w:val="21"/>
                      <w:szCs w:val="21"/>
                      <w:highlight w:val="none"/>
                      <w:lang w:val="en-US" w:eastAsia="zh-CN"/>
                    </w:rPr>
                    <w:t>2F，</w:t>
                  </w:r>
                  <w:r>
                    <w:rPr>
                      <w:rFonts w:hint="eastAsia" w:cs="Times New Roman"/>
                      <w:color w:val="FF0000"/>
                      <w:sz w:val="21"/>
                      <w:szCs w:val="21"/>
                      <w:highlight w:val="none"/>
                      <w:lang w:val="en-US" w:eastAsia="zh-CN"/>
                    </w:rPr>
                    <w:t>长25m、宽20m、高16m，</w:t>
                  </w:r>
                  <w:r>
                    <w:rPr>
                      <w:rFonts w:hint="default" w:ascii="Times New Roman" w:hAnsi="Times New Roman" w:cs="Times New Roman"/>
                      <w:color w:val="FF0000"/>
                      <w:sz w:val="21"/>
                      <w:szCs w:val="21"/>
                      <w:highlight w:val="none"/>
                      <w:lang w:val="en-US" w:eastAsia="zh-CN"/>
                    </w:rPr>
                    <w:t>占地面积500m</w:t>
                  </w:r>
                  <w:r>
                    <w:rPr>
                      <w:rFonts w:hint="default" w:ascii="Times New Roman" w:hAnsi="Times New Roman" w:cs="Times New Roman"/>
                      <w:color w:val="FF0000"/>
                      <w:sz w:val="21"/>
                      <w:szCs w:val="21"/>
                      <w:highlight w:val="none"/>
                      <w:vertAlign w:val="superscript"/>
                      <w:lang w:val="en-US" w:eastAsia="zh-CN"/>
                    </w:rPr>
                    <w:t>2</w:t>
                  </w:r>
                  <w:r>
                    <w:rPr>
                      <w:rFonts w:hint="default" w:ascii="Times New Roman" w:hAnsi="Times New Roman" w:cs="Times New Roman"/>
                      <w:color w:val="FF0000"/>
                      <w:sz w:val="21"/>
                      <w:szCs w:val="21"/>
                      <w:highlight w:val="none"/>
                      <w:vertAlign w:val="baseline"/>
                      <w:lang w:val="en-US" w:eastAsia="zh-CN"/>
                    </w:rPr>
                    <w:t>，</w:t>
                  </w:r>
                  <w:r>
                    <w:rPr>
                      <w:rFonts w:hint="default" w:ascii="Times New Roman" w:hAnsi="Times New Roman" w:cs="Times New Roman"/>
                      <w:color w:val="FF0000"/>
                      <w:sz w:val="21"/>
                      <w:szCs w:val="21"/>
                      <w:highlight w:val="none"/>
                      <w:lang w:val="en-US" w:eastAsia="zh-CN"/>
                    </w:rPr>
                    <w:t>建筑面积1000m</w:t>
                  </w:r>
                  <w:r>
                    <w:rPr>
                      <w:rFonts w:hint="default" w:ascii="Times New Roman" w:hAnsi="Times New Roman" w:cs="Times New Roman"/>
                      <w:color w:val="FF0000"/>
                      <w:sz w:val="21"/>
                      <w:szCs w:val="21"/>
                      <w:highlight w:val="none"/>
                      <w:vertAlign w:val="superscript"/>
                      <w:lang w:val="en-US" w:eastAsia="zh-CN"/>
                    </w:rPr>
                    <w:t>2</w:t>
                  </w:r>
                  <w:r>
                    <w:rPr>
                      <w:rFonts w:hint="eastAsia" w:cs="Times New Roman"/>
                      <w:color w:val="FF0000"/>
                      <w:sz w:val="21"/>
                      <w:szCs w:val="21"/>
                      <w:highlight w:val="none"/>
                      <w:lang w:val="en-US" w:eastAsia="zh-CN"/>
                    </w:rPr>
                    <w:t>。</w:t>
                  </w:r>
                </w:p>
              </w:tc>
              <w:tc>
                <w:tcPr>
                  <w:tcW w:w="1411" w:type="pct"/>
                  <w:tcBorders>
                    <w:tl2br w:val="nil"/>
                    <w:tr2bl w:val="nil"/>
                  </w:tcBorders>
                  <w:shd w:val="clear" w:color="auto" w:fill="auto"/>
                  <w:noWrap w:val="0"/>
                  <w:vAlign w:val="center"/>
                </w:tcPr>
                <w:p w14:paraId="1576DEB8">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color w:val="FF0000"/>
                      <w:sz w:val="21"/>
                      <w:szCs w:val="21"/>
                      <w:highlight w:val="none"/>
                      <w:lang w:val="en-US" w:eastAsia="zh-CN"/>
                    </w:rPr>
                  </w:pPr>
                  <w:r>
                    <w:rPr>
                      <w:rFonts w:hint="eastAsia" w:cs="Times New Roman"/>
                      <w:color w:val="FF0000"/>
                      <w:sz w:val="21"/>
                      <w:szCs w:val="21"/>
                      <w:highlight w:val="none"/>
                      <w:lang w:val="en-US" w:eastAsia="zh-CN"/>
                    </w:rPr>
                    <w:t>不变</w:t>
                  </w:r>
                </w:p>
              </w:tc>
              <w:tc>
                <w:tcPr>
                  <w:tcW w:w="942" w:type="pct"/>
                  <w:vMerge w:val="restart"/>
                  <w:tcBorders>
                    <w:tl2br w:val="nil"/>
                    <w:tr2bl w:val="nil"/>
                  </w:tcBorders>
                  <w:noWrap w:val="0"/>
                  <w:vAlign w:val="center"/>
                </w:tcPr>
                <w:p w14:paraId="43AD519A">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auto"/>
                      <w:sz w:val="21"/>
                      <w:szCs w:val="21"/>
                      <w:lang w:val="en-US" w:eastAsia="zh-CN"/>
                    </w:rPr>
                    <w:t>依托现有</w:t>
                  </w:r>
                </w:p>
              </w:tc>
            </w:tr>
            <w:tr w14:paraId="4D00EC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45" w:hRule="atLeast"/>
              </w:trPr>
              <w:tc>
                <w:tcPr>
                  <w:tcW w:w="589" w:type="pct"/>
                  <w:vMerge w:val="continue"/>
                  <w:tcBorders>
                    <w:tl2br w:val="nil"/>
                    <w:tr2bl w:val="nil"/>
                  </w:tcBorders>
                  <w:noWrap w:val="0"/>
                  <w:vAlign w:val="center"/>
                </w:tcPr>
                <w:p w14:paraId="6B3265A5">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eastAsia" w:cs="Times New Roman"/>
                      <w:color w:val="000000" w:themeColor="text1"/>
                      <w:sz w:val="21"/>
                      <w:szCs w:val="21"/>
                      <w:lang w:val="en-US" w:eastAsia="zh-CN"/>
                      <w14:textFill>
                        <w14:solidFill>
                          <w14:schemeClr w14:val="tx1"/>
                        </w14:solidFill>
                      </w14:textFill>
                    </w:rPr>
                  </w:pPr>
                </w:p>
              </w:tc>
              <w:tc>
                <w:tcPr>
                  <w:tcW w:w="649" w:type="pct"/>
                  <w:gridSpan w:val="2"/>
                  <w:tcBorders>
                    <w:tl2br w:val="nil"/>
                    <w:tr2bl w:val="nil"/>
                  </w:tcBorders>
                  <w:shd w:val="clear" w:color="auto" w:fill="auto"/>
                  <w:noWrap w:val="0"/>
                  <w:vAlign w:val="center"/>
                </w:tcPr>
                <w:p w14:paraId="1779F4C0">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科研楼</w:t>
                  </w:r>
                </w:p>
              </w:tc>
              <w:tc>
                <w:tcPr>
                  <w:tcW w:w="1407" w:type="pct"/>
                  <w:gridSpan w:val="2"/>
                  <w:tcBorders>
                    <w:tl2br w:val="nil"/>
                    <w:tr2bl w:val="nil"/>
                  </w:tcBorders>
                  <w:shd w:val="clear" w:color="auto" w:fill="auto"/>
                  <w:noWrap w:val="0"/>
                  <w:vAlign w:val="center"/>
                </w:tcPr>
                <w:p w14:paraId="3F565C11">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both"/>
                    <w:textAlignment w:val="baseline"/>
                    <w:rPr>
                      <w:rFonts w:hint="default" w:ascii="Times New Roman" w:hAnsi="Times New Roman" w:eastAsia="宋体" w:cs="Times New Roman"/>
                      <w:color w:val="FF0000"/>
                      <w:kern w:val="0"/>
                      <w:sz w:val="21"/>
                      <w:szCs w:val="21"/>
                      <w:lang w:val="en-US" w:eastAsia="zh-CN" w:bidi="ar-SA"/>
                    </w:rPr>
                  </w:pPr>
                  <w:r>
                    <w:rPr>
                      <w:rFonts w:hint="default" w:ascii="Times New Roman" w:hAnsi="Times New Roman" w:cs="Times New Roman"/>
                      <w:color w:val="FF0000"/>
                      <w:sz w:val="21"/>
                      <w:szCs w:val="21"/>
                      <w:highlight w:val="none"/>
                      <w:lang w:val="en-US" w:eastAsia="zh-CN"/>
                    </w:rPr>
                    <w:t>2F，</w:t>
                  </w:r>
                  <w:r>
                    <w:rPr>
                      <w:rFonts w:hint="eastAsia" w:cs="Times New Roman"/>
                      <w:color w:val="FF0000"/>
                      <w:sz w:val="21"/>
                      <w:szCs w:val="21"/>
                      <w:highlight w:val="none"/>
                      <w:lang w:val="en-US" w:eastAsia="zh-CN"/>
                    </w:rPr>
                    <w:t>长23m、宽10m、高16m，</w:t>
                  </w:r>
                  <w:r>
                    <w:rPr>
                      <w:rFonts w:hint="default" w:ascii="Times New Roman" w:hAnsi="Times New Roman" w:cs="Times New Roman"/>
                      <w:color w:val="FF0000"/>
                      <w:sz w:val="21"/>
                      <w:szCs w:val="21"/>
                      <w:highlight w:val="none"/>
                      <w:lang w:val="en-US" w:eastAsia="zh-CN"/>
                    </w:rPr>
                    <w:t>占地面积230m</w:t>
                  </w:r>
                  <w:r>
                    <w:rPr>
                      <w:rFonts w:hint="default" w:ascii="Times New Roman" w:hAnsi="Times New Roman" w:cs="Times New Roman"/>
                      <w:color w:val="FF0000"/>
                      <w:sz w:val="21"/>
                      <w:szCs w:val="21"/>
                      <w:highlight w:val="none"/>
                      <w:vertAlign w:val="superscript"/>
                      <w:lang w:val="en-US" w:eastAsia="zh-CN"/>
                    </w:rPr>
                    <w:t>2</w:t>
                  </w:r>
                  <w:r>
                    <w:rPr>
                      <w:rFonts w:hint="default" w:ascii="Times New Roman" w:hAnsi="Times New Roman" w:cs="Times New Roman"/>
                      <w:color w:val="FF0000"/>
                      <w:sz w:val="21"/>
                      <w:szCs w:val="21"/>
                      <w:highlight w:val="none"/>
                      <w:vertAlign w:val="baseline"/>
                      <w:lang w:val="en-US" w:eastAsia="zh-CN"/>
                    </w:rPr>
                    <w:t>，</w:t>
                  </w:r>
                  <w:r>
                    <w:rPr>
                      <w:rFonts w:hint="default" w:ascii="Times New Roman" w:hAnsi="Times New Roman" w:cs="Times New Roman"/>
                      <w:color w:val="FF0000"/>
                      <w:sz w:val="21"/>
                      <w:szCs w:val="21"/>
                      <w:highlight w:val="none"/>
                      <w:lang w:val="en-US" w:eastAsia="zh-CN"/>
                    </w:rPr>
                    <w:t>建筑面积460m</w:t>
                  </w:r>
                  <w:r>
                    <w:rPr>
                      <w:rFonts w:hint="default" w:ascii="Times New Roman" w:hAnsi="Times New Roman" w:cs="Times New Roman"/>
                      <w:color w:val="FF0000"/>
                      <w:sz w:val="21"/>
                      <w:szCs w:val="21"/>
                      <w:highlight w:val="none"/>
                      <w:vertAlign w:val="superscript"/>
                      <w:lang w:val="en-US" w:eastAsia="zh-CN"/>
                    </w:rPr>
                    <w:t>2</w:t>
                  </w:r>
                  <w:r>
                    <w:rPr>
                      <w:rFonts w:hint="eastAsia" w:cs="Times New Roman"/>
                      <w:color w:val="FF0000"/>
                      <w:sz w:val="21"/>
                      <w:szCs w:val="21"/>
                      <w:highlight w:val="none"/>
                      <w:lang w:val="en-US" w:eastAsia="zh-CN"/>
                    </w:rPr>
                    <w:t>。</w:t>
                  </w:r>
                </w:p>
              </w:tc>
              <w:tc>
                <w:tcPr>
                  <w:tcW w:w="1411" w:type="pct"/>
                  <w:tcBorders>
                    <w:tl2br w:val="nil"/>
                    <w:tr2bl w:val="nil"/>
                  </w:tcBorders>
                  <w:shd w:val="clear" w:color="auto" w:fill="auto"/>
                  <w:noWrap w:val="0"/>
                  <w:vAlign w:val="center"/>
                </w:tcPr>
                <w:p w14:paraId="1AB02001">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color w:val="FF0000"/>
                      <w:sz w:val="21"/>
                      <w:szCs w:val="21"/>
                      <w:highlight w:val="none"/>
                      <w:lang w:val="en-US" w:eastAsia="zh-CN"/>
                    </w:rPr>
                  </w:pPr>
                  <w:r>
                    <w:rPr>
                      <w:rFonts w:hint="eastAsia" w:cs="Times New Roman"/>
                      <w:color w:val="FF0000"/>
                      <w:sz w:val="21"/>
                      <w:szCs w:val="21"/>
                      <w:highlight w:val="none"/>
                      <w:lang w:val="en-US" w:eastAsia="zh-CN"/>
                    </w:rPr>
                    <w:t>不变</w:t>
                  </w:r>
                </w:p>
              </w:tc>
              <w:tc>
                <w:tcPr>
                  <w:tcW w:w="942" w:type="pct"/>
                  <w:vMerge w:val="continue"/>
                  <w:tcBorders>
                    <w:tl2br w:val="nil"/>
                    <w:tr2bl w:val="nil"/>
                  </w:tcBorders>
                  <w:noWrap w:val="0"/>
                  <w:vAlign w:val="center"/>
                </w:tcPr>
                <w:p w14:paraId="5822BCB4">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000000" w:themeColor="text1"/>
                      <w:sz w:val="21"/>
                      <w:szCs w:val="21"/>
                      <w:lang w:val="en-US" w:eastAsia="zh-CN"/>
                      <w14:textFill>
                        <w14:solidFill>
                          <w14:schemeClr w14:val="tx1"/>
                        </w14:solidFill>
                      </w14:textFill>
                    </w:rPr>
                  </w:pPr>
                </w:p>
              </w:tc>
            </w:tr>
            <w:tr w14:paraId="445BF7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45" w:hRule="atLeast"/>
              </w:trPr>
              <w:tc>
                <w:tcPr>
                  <w:tcW w:w="589" w:type="pct"/>
                  <w:vMerge w:val="continue"/>
                  <w:tcBorders>
                    <w:tl2br w:val="nil"/>
                    <w:tr2bl w:val="nil"/>
                  </w:tcBorders>
                  <w:noWrap w:val="0"/>
                  <w:vAlign w:val="center"/>
                </w:tcPr>
                <w:p w14:paraId="5F85F02B">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eastAsia" w:cs="Times New Roman"/>
                      <w:color w:val="000000" w:themeColor="text1"/>
                      <w:sz w:val="21"/>
                      <w:szCs w:val="21"/>
                      <w:lang w:val="en-US" w:eastAsia="zh-CN"/>
                      <w14:textFill>
                        <w14:solidFill>
                          <w14:schemeClr w14:val="tx1"/>
                        </w14:solidFill>
                      </w14:textFill>
                    </w:rPr>
                  </w:pPr>
                </w:p>
              </w:tc>
              <w:tc>
                <w:tcPr>
                  <w:tcW w:w="649" w:type="pct"/>
                  <w:gridSpan w:val="2"/>
                  <w:tcBorders>
                    <w:tl2br w:val="nil"/>
                    <w:tr2bl w:val="nil"/>
                  </w:tcBorders>
                  <w:shd w:val="clear" w:color="auto" w:fill="auto"/>
                  <w:noWrap w:val="0"/>
                  <w:vAlign w:val="center"/>
                </w:tcPr>
                <w:p w14:paraId="5ABECDF6">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地磅房</w:t>
                  </w:r>
                </w:p>
              </w:tc>
              <w:tc>
                <w:tcPr>
                  <w:tcW w:w="1407" w:type="pct"/>
                  <w:gridSpan w:val="2"/>
                  <w:tcBorders>
                    <w:tl2br w:val="nil"/>
                    <w:tr2bl w:val="nil"/>
                  </w:tcBorders>
                  <w:shd w:val="clear" w:color="auto" w:fill="auto"/>
                  <w:noWrap w:val="0"/>
                  <w:vAlign w:val="center"/>
                </w:tcPr>
                <w:p w14:paraId="0A7F53FD">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both"/>
                    <w:textAlignment w:val="baseline"/>
                    <w:rPr>
                      <w:rFonts w:hint="default" w:ascii="Times New Roman" w:hAnsi="Times New Roman" w:eastAsia="宋体" w:cs="Times New Roman"/>
                      <w:color w:val="FF0000"/>
                      <w:kern w:val="0"/>
                      <w:sz w:val="21"/>
                      <w:szCs w:val="21"/>
                      <w:lang w:val="en-US" w:eastAsia="zh-CN" w:bidi="ar-SA"/>
                    </w:rPr>
                  </w:pPr>
                  <w:r>
                    <w:rPr>
                      <w:rFonts w:hint="default" w:ascii="Times New Roman" w:hAnsi="Times New Roman" w:cs="Times New Roman"/>
                      <w:color w:val="FF0000"/>
                      <w:sz w:val="21"/>
                      <w:szCs w:val="21"/>
                      <w:highlight w:val="none"/>
                      <w:lang w:val="en-US" w:eastAsia="zh-CN"/>
                    </w:rPr>
                    <w:t>1F，</w:t>
                  </w:r>
                  <w:r>
                    <w:rPr>
                      <w:rFonts w:hint="eastAsia" w:cs="Times New Roman"/>
                      <w:color w:val="FF0000"/>
                      <w:sz w:val="21"/>
                      <w:szCs w:val="21"/>
                      <w:highlight w:val="none"/>
                      <w:lang w:val="en-US" w:eastAsia="zh-CN"/>
                    </w:rPr>
                    <w:t>长25m、宽18m、高8m，</w:t>
                  </w:r>
                  <w:r>
                    <w:rPr>
                      <w:rFonts w:hint="default" w:ascii="Times New Roman" w:hAnsi="Times New Roman" w:cs="Times New Roman"/>
                      <w:color w:val="FF0000"/>
                      <w:sz w:val="21"/>
                      <w:szCs w:val="21"/>
                      <w:highlight w:val="none"/>
                      <w:lang w:val="en-US" w:eastAsia="zh-CN"/>
                    </w:rPr>
                    <w:t>占地面积450m</w:t>
                  </w:r>
                  <w:r>
                    <w:rPr>
                      <w:rFonts w:hint="default" w:ascii="Times New Roman" w:hAnsi="Times New Roman" w:cs="Times New Roman"/>
                      <w:color w:val="FF0000"/>
                      <w:sz w:val="21"/>
                      <w:szCs w:val="21"/>
                      <w:highlight w:val="none"/>
                      <w:vertAlign w:val="superscript"/>
                      <w:lang w:val="en-US" w:eastAsia="zh-CN"/>
                    </w:rPr>
                    <w:t>2</w:t>
                  </w:r>
                  <w:r>
                    <w:rPr>
                      <w:rFonts w:hint="default" w:ascii="Times New Roman" w:hAnsi="Times New Roman" w:cs="Times New Roman"/>
                      <w:color w:val="FF0000"/>
                      <w:sz w:val="21"/>
                      <w:szCs w:val="21"/>
                      <w:highlight w:val="none"/>
                      <w:vertAlign w:val="baseline"/>
                      <w:lang w:val="en-US" w:eastAsia="zh-CN"/>
                    </w:rPr>
                    <w:t>，</w:t>
                  </w:r>
                  <w:r>
                    <w:rPr>
                      <w:rFonts w:hint="default" w:ascii="Times New Roman" w:hAnsi="Times New Roman" w:cs="Times New Roman"/>
                      <w:color w:val="FF0000"/>
                      <w:sz w:val="21"/>
                      <w:szCs w:val="21"/>
                      <w:highlight w:val="none"/>
                      <w:lang w:val="en-US" w:eastAsia="zh-CN"/>
                    </w:rPr>
                    <w:t>建筑面积450m</w:t>
                  </w:r>
                  <w:r>
                    <w:rPr>
                      <w:rFonts w:hint="default" w:ascii="Times New Roman" w:hAnsi="Times New Roman" w:cs="Times New Roman"/>
                      <w:color w:val="FF0000"/>
                      <w:sz w:val="21"/>
                      <w:szCs w:val="21"/>
                      <w:highlight w:val="none"/>
                      <w:vertAlign w:val="superscript"/>
                      <w:lang w:val="en-US" w:eastAsia="zh-CN"/>
                    </w:rPr>
                    <w:t>2</w:t>
                  </w:r>
                  <w:r>
                    <w:rPr>
                      <w:rFonts w:hint="eastAsia" w:cs="Times New Roman"/>
                      <w:color w:val="FF0000"/>
                      <w:sz w:val="21"/>
                      <w:szCs w:val="21"/>
                      <w:highlight w:val="none"/>
                      <w:lang w:val="en-US" w:eastAsia="zh-CN"/>
                    </w:rPr>
                    <w:t>。</w:t>
                  </w:r>
                </w:p>
              </w:tc>
              <w:tc>
                <w:tcPr>
                  <w:tcW w:w="1411" w:type="pct"/>
                  <w:tcBorders>
                    <w:tl2br w:val="nil"/>
                    <w:tr2bl w:val="nil"/>
                  </w:tcBorders>
                  <w:shd w:val="clear" w:color="auto" w:fill="auto"/>
                  <w:noWrap w:val="0"/>
                  <w:vAlign w:val="center"/>
                </w:tcPr>
                <w:p w14:paraId="705490CF">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color w:val="FF0000"/>
                      <w:sz w:val="21"/>
                      <w:szCs w:val="21"/>
                      <w:highlight w:val="none"/>
                      <w:lang w:val="en-US" w:eastAsia="zh-CN"/>
                    </w:rPr>
                  </w:pPr>
                  <w:r>
                    <w:rPr>
                      <w:rFonts w:hint="eastAsia" w:cs="Times New Roman"/>
                      <w:color w:val="FF0000"/>
                      <w:sz w:val="21"/>
                      <w:szCs w:val="21"/>
                      <w:highlight w:val="none"/>
                      <w:lang w:val="en-US" w:eastAsia="zh-CN"/>
                    </w:rPr>
                    <w:t>不变</w:t>
                  </w:r>
                </w:p>
              </w:tc>
              <w:tc>
                <w:tcPr>
                  <w:tcW w:w="942" w:type="pct"/>
                  <w:vMerge w:val="continue"/>
                  <w:tcBorders>
                    <w:tl2br w:val="nil"/>
                    <w:tr2bl w:val="nil"/>
                  </w:tcBorders>
                  <w:noWrap w:val="0"/>
                  <w:vAlign w:val="center"/>
                </w:tcPr>
                <w:p w14:paraId="37838BAE">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000000" w:themeColor="text1"/>
                      <w:sz w:val="21"/>
                      <w:szCs w:val="21"/>
                      <w:lang w:val="en-US" w:eastAsia="zh-CN"/>
                      <w14:textFill>
                        <w14:solidFill>
                          <w14:schemeClr w14:val="tx1"/>
                        </w14:solidFill>
                      </w14:textFill>
                    </w:rPr>
                  </w:pPr>
                </w:p>
              </w:tc>
            </w:tr>
            <w:tr w14:paraId="224CF0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589" w:type="pct"/>
                  <w:vMerge w:val="restart"/>
                  <w:tcBorders>
                    <w:tl2br w:val="nil"/>
                    <w:tr2bl w:val="nil"/>
                  </w:tcBorders>
                  <w:noWrap w:val="0"/>
                  <w:vAlign w:val="center"/>
                </w:tcPr>
                <w:p w14:paraId="6C45A140">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公用工程</w:t>
                  </w:r>
                </w:p>
              </w:tc>
              <w:tc>
                <w:tcPr>
                  <w:tcW w:w="649" w:type="pct"/>
                  <w:gridSpan w:val="2"/>
                  <w:tcBorders>
                    <w:tl2br w:val="nil"/>
                    <w:tr2bl w:val="nil"/>
                  </w:tcBorders>
                  <w:noWrap w:val="0"/>
                  <w:vAlign w:val="center"/>
                </w:tcPr>
                <w:p w14:paraId="0A3FF079">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供电</w:t>
                  </w:r>
                </w:p>
              </w:tc>
              <w:tc>
                <w:tcPr>
                  <w:tcW w:w="1407" w:type="pct"/>
                  <w:gridSpan w:val="2"/>
                  <w:tcBorders>
                    <w:tl2br w:val="nil"/>
                    <w:tr2bl w:val="nil"/>
                  </w:tcBorders>
                  <w:noWrap w:val="0"/>
                  <w:vAlign w:val="center"/>
                </w:tcPr>
                <w:p w14:paraId="167C327A">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color w:val="000000" w:themeColor="text1"/>
                      <w:sz w:val="21"/>
                      <w:szCs w:val="21"/>
                      <w:lang w:val="en-US"/>
                      <w14:textFill>
                        <w14:solidFill>
                          <w14:schemeClr w14:val="tx1"/>
                        </w14:solidFill>
                      </w14:textFill>
                    </w:rPr>
                  </w:pP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由市政府供电所供给</w:t>
                  </w:r>
                </w:p>
              </w:tc>
              <w:tc>
                <w:tcPr>
                  <w:tcW w:w="1411" w:type="pct"/>
                  <w:tcBorders>
                    <w:tl2br w:val="nil"/>
                    <w:tr2bl w:val="nil"/>
                  </w:tcBorders>
                  <w:noWrap w:val="0"/>
                  <w:vAlign w:val="center"/>
                </w:tcPr>
                <w:p w14:paraId="18D7F351">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color w:val="FF0000"/>
                      <w:kern w:val="0"/>
                      <w:sz w:val="21"/>
                      <w:szCs w:val="21"/>
                      <w:highlight w:val="none"/>
                      <w:lang w:val="en-US" w:eastAsia="zh-CN"/>
                    </w:rPr>
                  </w:pPr>
                  <w:r>
                    <w:rPr>
                      <w:rFonts w:hint="eastAsia" w:cs="Times New Roman"/>
                      <w:color w:val="FF0000"/>
                      <w:sz w:val="21"/>
                      <w:szCs w:val="21"/>
                      <w:highlight w:val="none"/>
                      <w:lang w:val="en-US" w:eastAsia="zh-CN"/>
                    </w:rPr>
                    <w:t>不变</w:t>
                  </w:r>
                </w:p>
              </w:tc>
              <w:tc>
                <w:tcPr>
                  <w:tcW w:w="942" w:type="pct"/>
                  <w:tcBorders>
                    <w:tl2br w:val="nil"/>
                    <w:tr2bl w:val="nil"/>
                  </w:tcBorders>
                  <w:noWrap w:val="0"/>
                  <w:vAlign w:val="center"/>
                </w:tcPr>
                <w:p w14:paraId="2922C4F6">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依托市政管网</w:t>
                  </w:r>
                </w:p>
              </w:tc>
            </w:tr>
            <w:tr w14:paraId="0C620D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589" w:type="pct"/>
                  <w:vMerge w:val="continue"/>
                  <w:tcBorders>
                    <w:tl2br w:val="nil"/>
                    <w:tr2bl w:val="nil"/>
                  </w:tcBorders>
                  <w:noWrap w:val="0"/>
                  <w:vAlign w:val="center"/>
                </w:tcPr>
                <w:p w14:paraId="4E45F7EB">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000000" w:themeColor="text1"/>
                      <w:sz w:val="21"/>
                      <w:szCs w:val="21"/>
                      <w14:textFill>
                        <w14:solidFill>
                          <w14:schemeClr w14:val="tx1"/>
                        </w14:solidFill>
                      </w14:textFill>
                    </w:rPr>
                  </w:pPr>
                </w:p>
              </w:tc>
              <w:tc>
                <w:tcPr>
                  <w:tcW w:w="649" w:type="pct"/>
                  <w:gridSpan w:val="2"/>
                  <w:tcBorders>
                    <w:tl2br w:val="nil"/>
                    <w:tr2bl w:val="nil"/>
                  </w:tcBorders>
                  <w:noWrap w:val="0"/>
                  <w:vAlign w:val="center"/>
                </w:tcPr>
                <w:p w14:paraId="696BE3F0">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供水</w:t>
                  </w:r>
                </w:p>
              </w:tc>
              <w:tc>
                <w:tcPr>
                  <w:tcW w:w="1407" w:type="pct"/>
                  <w:gridSpan w:val="2"/>
                  <w:tcBorders>
                    <w:tl2br w:val="nil"/>
                    <w:tr2bl w:val="nil"/>
                  </w:tcBorders>
                  <w:noWrap w:val="0"/>
                  <w:vAlign w:val="center"/>
                </w:tcPr>
                <w:p w14:paraId="5C43F3D3">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由</w:t>
                  </w:r>
                  <w:r>
                    <w:rPr>
                      <w:rFonts w:hint="default" w:ascii="Times New Roman" w:hAnsi="Times New Roman" w:cs="Times New Roman"/>
                      <w:color w:val="000000" w:themeColor="text1"/>
                      <w:kern w:val="0"/>
                      <w:sz w:val="21"/>
                      <w:szCs w:val="21"/>
                      <w:highlight w:val="none"/>
                      <w:lang w:val="en-US" w:eastAsia="zh-CN"/>
                      <w14:textFill>
                        <w14:solidFill>
                          <w14:schemeClr w14:val="tx1"/>
                        </w14:solidFill>
                      </w14:textFill>
                    </w:rPr>
                    <w:t>市政府</w:t>
                  </w: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水管网供给</w:t>
                  </w:r>
                </w:p>
              </w:tc>
              <w:tc>
                <w:tcPr>
                  <w:tcW w:w="1411" w:type="pct"/>
                  <w:tcBorders>
                    <w:tl2br w:val="nil"/>
                    <w:tr2bl w:val="nil"/>
                  </w:tcBorders>
                  <w:noWrap w:val="0"/>
                  <w:vAlign w:val="center"/>
                </w:tcPr>
                <w:p w14:paraId="33DBFED4">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FF0000"/>
                      <w:kern w:val="0"/>
                      <w:sz w:val="21"/>
                      <w:szCs w:val="21"/>
                      <w:highlight w:val="none"/>
                      <w:lang w:val="en-US" w:eastAsia="zh-CN"/>
                    </w:rPr>
                  </w:pPr>
                  <w:r>
                    <w:rPr>
                      <w:rFonts w:hint="eastAsia" w:cs="Times New Roman"/>
                      <w:color w:val="FF0000"/>
                      <w:sz w:val="21"/>
                      <w:szCs w:val="21"/>
                      <w:highlight w:val="none"/>
                      <w:lang w:val="en-US" w:eastAsia="zh-CN"/>
                    </w:rPr>
                    <w:t>不变</w:t>
                  </w:r>
                </w:p>
              </w:tc>
              <w:tc>
                <w:tcPr>
                  <w:tcW w:w="942" w:type="pct"/>
                  <w:tcBorders>
                    <w:tl2br w:val="nil"/>
                    <w:tr2bl w:val="nil"/>
                  </w:tcBorders>
                  <w:noWrap w:val="0"/>
                  <w:vAlign w:val="center"/>
                </w:tcPr>
                <w:p w14:paraId="01A4E7D3">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依托市政管网</w:t>
                  </w:r>
                </w:p>
              </w:tc>
            </w:tr>
            <w:tr w14:paraId="4F5C7B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589" w:type="pct"/>
                  <w:vMerge w:val="continue"/>
                  <w:tcBorders>
                    <w:tl2br w:val="nil"/>
                    <w:tr2bl w:val="nil"/>
                  </w:tcBorders>
                  <w:noWrap w:val="0"/>
                  <w:vAlign w:val="center"/>
                </w:tcPr>
                <w:p w14:paraId="20269C44">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000000" w:themeColor="text1"/>
                      <w:sz w:val="21"/>
                      <w:szCs w:val="21"/>
                      <w14:textFill>
                        <w14:solidFill>
                          <w14:schemeClr w14:val="tx1"/>
                        </w14:solidFill>
                      </w14:textFill>
                    </w:rPr>
                  </w:pPr>
                </w:p>
              </w:tc>
              <w:tc>
                <w:tcPr>
                  <w:tcW w:w="649" w:type="pct"/>
                  <w:gridSpan w:val="2"/>
                  <w:tcBorders>
                    <w:tl2br w:val="nil"/>
                    <w:tr2bl w:val="nil"/>
                  </w:tcBorders>
                  <w:noWrap w:val="0"/>
                  <w:vAlign w:val="center"/>
                </w:tcPr>
                <w:p w14:paraId="78F47658">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排水系统</w:t>
                  </w:r>
                </w:p>
              </w:tc>
              <w:tc>
                <w:tcPr>
                  <w:tcW w:w="1407" w:type="pct"/>
                  <w:gridSpan w:val="2"/>
                  <w:tcBorders>
                    <w:tl2br w:val="nil"/>
                    <w:tr2bl w:val="nil"/>
                  </w:tcBorders>
                  <w:noWrap w:val="0"/>
                  <w:vAlign w:val="center"/>
                </w:tcPr>
                <w:p w14:paraId="7E0BE487">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color w:val="000000" w:themeColor="text1"/>
                      <w:sz w:val="21"/>
                      <w:szCs w:val="21"/>
                      <w14:textFill>
                        <w14:solidFill>
                          <w14:schemeClr w14:val="tx1"/>
                        </w14:solidFill>
                      </w14:textFill>
                    </w:rPr>
                    <w:t>雨污分流，</w:t>
                  </w:r>
                  <w:r>
                    <w:rPr>
                      <w:rFonts w:hint="default"/>
                      <w:bCs/>
                      <w:color w:val="000000" w:themeColor="text1"/>
                      <w:sz w:val="21"/>
                      <w:szCs w:val="21"/>
                      <w14:textFill>
                        <w14:solidFill>
                          <w14:schemeClr w14:val="tx1"/>
                        </w14:solidFill>
                      </w14:textFill>
                    </w:rPr>
                    <w:t>雨水</w:t>
                  </w:r>
                  <w:r>
                    <w:rPr>
                      <w:rFonts w:hint="eastAsia"/>
                      <w:bCs/>
                      <w:color w:val="000000" w:themeColor="text1"/>
                      <w:sz w:val="21"/>
                      <w:szCs w:val="21"/>
                      <w:lang w:val="en-US" w:eastAsia="zh-CN"/>
                      <w14:textFill>
                        <w14:solidFill>
                          <w14:schemeClr w14:val="tx1"/>
                        </w14:solidFill>
                      </w14:textFill>
                    </w:rPr>
                    <w:t>经厂内雨水管道进入雨污管网</w:t>
                  </w:r>
                </w:p>
              </w:tc>
              <w:tc>
                <w:tcPr>
                  <w:tcW w:w="1411" w:type="pct"/>
                  <w:tcBorders>
                    <w:tl2br w:val="nil"/>
                    <w:tr2bl w:val="nil"/>
                  </w:tcBorders>
                  <w:noWrap w:val="0"/>
                  <w:vAlign w:val="center"/>
                </w:tcPr>
                <w:p w14:paraId="3D66E7E7">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color w:val="FF0000"/>
                      <w:sz w:val="21"/>
                      <w:szCs w:val="21"/>
                    </w:rPr>
                  </w:pPr>
                  <w:r>
                    <w:rPr>
                      <w:rFonts w:hint="eastAsia" w:cs="Times New Roman"/>
                      <w:color w:val="FF0000"/>
                      <w:sz w:val="21"/>
                      <w:szCs w:val="21"/>
                      <w:highlight w:val="none"/>
                      <w:lang w:val="en-US" w:eastAsia="zh-CN"/>
                    </w:rPr>
                    <w:t>不变</w:t>
                  </w:r>
                </w:p>
              </w:tc>
              <w:tc>
                <w:tcPr>
                  <w:tcW w:w="942" w:type="pct"/>
                  <w:tcBorders>
                    <w:tl2br w:val="nil"/>
                    <w:tr2bl w:val="nil"/>
                  </w:tcBorders>
                  <w:noWrap w:val="0"/>
                  <w:vAlign w:val="center"/>
                </w:tcPr>
                <w:p w14:paraId="032F3D70">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FF0000"/>
                      <w:sz w:val="21"/>
                      <w:szCs w:val="21"/>
                      <w:lang w:val="en-US" w:eastAsia="zh-CN"/>
                    </w:rPr>
                  </w:pPr>
                  <w:r>
                    <w:rPr>
                      <w:rFonts w:hint="eastAsia" w:cs="Times New Roman"/>
                      <w:color w:val="000000" w:themeColor="text1"/>
                      <w:sz w:val="21"/>
                      <w:szCs w:val="21"/>
                      <w:lang w:val="en-US" w:eastAsia="zh-CN"/>
                      <w14:textFill>
                        <w14:solidFill>
                          <w14:schemeClr w14:val="tx1"/>
                        </w14:solidFill>
                      </w14:textFill>
                    </w:rPr>
                    <w:t>新建</w:t>
                  </w:r>
                </w:p>
              </w:tc>
            </w:tr>
            <w:tr w14:paraId="7DD6D3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95" w:hRule="atLeast"/>
              </w:trPr>
              <w:tc>
                <w:tcPr>
                  <w:tcW w:w="589" w:type="pct"/>
                  <w:vMerge w:val="restart"/>
                  <w:tcBorders>
                    <w:tl2br w:val="nil"/>
                    <w:tr2bl w:val="nil"/>
                  </w:tcBorders>
                  <w:noWrap w:val="0"/>
                  <w:vAlign w:val="center"/>
                </w:tcPr>
                <w:p w14:paraId="68E2942F">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环保工程</w:t>
                  </w:r>
                </w:p>
              </w:tc>
              <w:tc>
                <w:tcPr>
                  <w:tcW w:w="323" w:type="pct"/>
                  <w:vMerge w:val="restart"/>
                  <w:tcBorders>
                    <w:tl2br w:val="nil"/>
                    <w:tr2bl w:val="nil"/>
                  </w:tcBorders>
                  <w:noWrap w:val="0"/>
                  <w:vAlign w:val="center"/>
                </w:tcPr>
                <w:p w14:paraId="78787250">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rPr>
                    <w:t>废气</w:t>
                  </w:r>
                </w:p>
              </w:tc>
              <w:tc>
                <w:tcPr>
                  <w:tcW w:w="326" w:type="pct"/>
                  <w:tcBorders>
                    <w:tl2br w:val="nil"/>
                    <w:tr2bl w:val="nil"/>
                  </w:tcBorders>
                  <w:noWrap w:val="0"/>
                  <w:vAlign w:val="center"/>
                </w:tcPr>
                <w:p w14:paraId="49744970">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有组织</w:t>
                  </w:r>
                </w:p>
              </w:tc>
              <w:tc>
                <w:tcPr>
                  <w:tcW w:w="1407" w:type="pct"/>
                  <w:gridSpan w:val="2"/>
                  <w:tcBorders>
                    <w:tl2br w:val="nil"/>
                    <w:tr2bl w:val="nil"/>
                  </w:tcBorders>
                  <w:noWrap w:val="0"/>
                  <w:vAlign w:val="center"/>
                </w:tcPr>
                <w:p w14:paraId="187FC280">
                  <w:pPr>
                    <w:pStyle w:val="9"/>
                    <w:spacing w:line="240" w:lineRule="auto"/>
                    <w:ind w:left="0" w:firstLine="0"/>
                    <w:jc w:val="both"/>
                    <w:rPr>
                      <w:rFonts w:hint="default" w:ascii="Times New Roman" w:hAnsi="Times New Roman" w:eastAsia="宋体" w:cs="Times New Roman"/>
                      <w:bCs/>
                      <w:color w:val="auto"/>
                      <w:sz w:val="21"/>
                      <w:szCs w:val="21"/>
                      <w:highlight w:val="none"/>
                      <w:lang w:val="en-US" w:eastAsia="zh-CN"/>
                    </w:rPr>
                  </w:pPr>
                  <w:r>
                    <w:rPr>
                      <w:rFonts w:hint="eastAsia"/>
                      <w:bCs/>
                      <w:sz w:val="21"/>
                      <w:szCs w:val="21"/>
                      <w:highlight w:val="none"/>
                      <w:lang w:val="en-US" w:eastAsia="zh-CN"/>
                    </w:rPr>
                    <w:t>锅炉</w:t>
                  </w:r>
                  <w:r>
                    <w:rPr>
                      <w:rFonts w:hint="eastAsia"/>
                      <w:bCs/>
                      <w:sz w:val="21"/>
                      <w:szCs w:val="21"/>
                      <w:highlight w:val="none"/>
                    </w:rPr>
                    <w:t>烟气</w:t>
                  </w:r>
                  <w:r>
                    <w:rPr>
                      <w:rFonts w:hint="eastAsia"/>
                      <w:bCs/>
                      <w:sz w:val="21"/>
                      <w:szCs w:val="21"/>
                      <w:highlight w:val="none"/>
                      <w:lang w:val="en-US" w:eastAsia="zh-CN"/>
                    </w:rPr>
                    <w:t>经</w:t>
                  </w:r>
                  <w:r>
                    <w:rPr>
                      <w:rFonts w:hint="eastAsia"/>
                      <w:bCs/>
                      <w:sz w:val="21"/>
                      <w:szCs w:val="21"/>
                      <w:highlight w:val="none"/>
                    </w:rPr>
                    <w:t>一套</w:t>
                  </w:r>
                  <w:r>
                    <w:rPr>
                      <w:rFonts w:hint="eastAsia"/>
                      <w:bCs/>
                      <w:sz w:val="21"/>
                      <w:szCs w:val="21"/>
                      <w:highlight w:val="none"/>
                      <w:lang w:eastAsia="zh-CN"/>
                    </w:rPr>
                    <w:t>“</w:t>
                  </w:r>
                  <w:r>
                    <w:rPr>
                      <w:rFonts w:hint="eastAsia"/>
                      <w:bCs/>
                      <w:sz w:val="21"/>
                      <w:szCs w:val="21"/>
                      <w:highlight w:val="none"/>
                      <w:lang w:val="en-US" w:eastAsia="zh-CN"/>
                    </w:rPr>
                    <w:t>水膜除尘</w:t>
                  </w:r>
                  <w:r>
                    <w:rPr>
                      <w:rFonts w:hint="eastAsia"/>
                      <w:bCs/>
                      <w:sz w:val="21"/>
                      <w:szCs w:val="21"/>
                      <w:highlight w:val="none"/>
                      <w:lang w:eastAsia="zh-CN"/>
                    </w:rPr>
                    <w:t>”</w:t>
                  </w:r>
                  <w:r>
                    <w:rPr>
                      <w:rFonts w:hint="eastAsia"/>
                      <w:bCs/>
                      <w:sz w:val="21"/>
                      <w:szCs w:val="21"/>
                      <w:highlight w:val="none"/>
                      <w:lang w:val="en-US" w:eastAsia="zh-CN"/>
                    </w:rPr>
                    <w:t>设施</w:t>
                  </w:r>
                  <w:r>
                    <w:rPr>
                      <w:rFonts w:hint="eastAsia"/>
                      <w:bCs/>
                      <w:sz w:val="21"/>
                      <w:szCs w:val="21"/>
                      <w:highlight w:val="none"/>
                    </w:rPr>
                    <w:t>处理后通过</w:t>
                  </w:r>
                  <w:r>
                    <w:rPr>
                      <w:rFonts w:hint="eastAsia"/>
                      <w:bCs/>
                      <w:sz w:val="21"/>
                      <w:szCs w:val="21"/>
                      <w:highlight w:val="none"/>
                      <w:lang w:val="en-US" w:eastAsia="zh-CN"/>
                    </w:rPr>
                    <w:t>35</w:t>
                  </w:r>
                  <w:r>
                    <w:rPr>
                      <w:rFonts w:hint="eastAsia"/>
                      <w:sz w:val="21"/>
                      <w:szCs w:val="21"/>
                      <w:highlight w:val="none"/>
                    </w:rPr>
                    <w:t>m高排气筒DA001排放</w:t>
                  </w:r>
                  <w:r>
                    <w:rPr>
                      <w:rFonts w:hint="eastAsia"/>
                      <w:sz w:val="21"/>
                      <w:szCs w:val="21"/>
                      <w:highlight w:val="none"/>
                      <w:lang w:eastAsia="zh-CN"/>
                    </w:rPr>
                    <w:t>；</w:t>
                  </w:r>
                  <w:r>
                    <w:rPr>
                      <w:rFonts w:hint="eastAsia"/>
                      <w:bCs/>
                      <w:color w:val="000000" w:themeColor="text1"/>
                      <w:sz w:val="21"/>
                      <w:szCs w:val="21"/>
                      <w:highlight w:val="none"/>
                      <w:lang w:val="en-US" w:eastAsia="zh-CN"/>
                      <w14:textFill>
                        <w14:solidFill>
                          <w14:schemeClr w14:val="tx1"/>
                        </w14:solidFill>
                      </w14:textFill>
                    </w:rPr>
                    <w:t>各工段工艺粉尘分别收集后各经一套布袋除尘设备处理后通过15m高排气筒排放；食堂油烟收集后经一套</w:t>
                  </w:r>
                  <w:r>
                    <w:rPr>
                      <w:rFonts w:hint="eastAsia" w:ascii="Times New Roman" w:hAnsi="Times New Roman" w:eastAsia="宋体" w:cs="Times New Roman"/>
                      <w:b w:val="0"/>
                      <w:color w:val="000000" w:themeColor="text1"/>
                      <w:sz w:val="21"/>
                      <w:szCs w:val="21"/>
                      <w:lang w:val="en-US" w:eastAsia="zh-CN"/>
                      <w14:textFill>
                        <w14:solidFill>
                          <w14:schemeClr w14:val="tx1"/>
                        </w14:solidFill>
                      </w14:textFill>
                    </w:rPr>
                    <w:t>油烟净化器处理后高空外排</w:t>
                  </w:r>
                  <w:r>
                    <w:rPr>
                      <w:rFonts w:hint="eastAsia" w:cs="Times New Roman"/>
                      <w:color w:val="FF0000"/>
                      <w:sz w:val="21"/>
                      <w:szCs w:val="21"/>
                      <w:highlight w:val="none"/>
                      <w:lang w:val="en-US" w:eastAsia="zh-CN"/>
                    </w:rPr>
                    <w:t>。</w:t>
                  </w:r>
                </w:p>
              </w:tc>
              <w:tc>
                <w:tcPr>
                  <w:tcW w:w="1411" w:type="pct"/>
                  <w:tcBorders>
                    <w:tl2br w:val="nil"/>
                    <w:tr2bl w:val="nil"/>
                  </w:tcBorders>
                  <w:noWrap w:val="0"/>
                  <w:vAlign w:val="center"/>
                </w:tcPr>
                <w:p w14:paraId="1C3E7A27">
                  <w:pPr>
                    <w:pStyle w:val="9"/>
                    <w:spacing w:line="240" w:lineRule="auto"/>
                    <w:ind w:left="0" w:firstLine="0"/>
                    <w:jc w:val="both"/>
                    <w:rPr>
                      <w:rFonts w:hint="eastAsia"/>
                      <w:bCs/>
                      <w:color w:val="FF0000"/>
                      <w:sz w:val="21"/>
                      <w:szCs w:val="21"/>
                      <w:highlight w:val="none"/>
                    </w:rPr>
                  </w:pPr>
                  <w:r>
                    <w:rPr>
                      <w:rFonts w:hint="eastAsia"/>
                      <w:bCs/>
                      <w:color w:val="FF0000"/>
                      <w:sz w:val="21"/>
                      <w:szCs w:val="21"/>
                      <w:highlight w:val="none"/>
                    </w:rPr>
                    <w:t>原有1台6</w:t>
                  </w:r>
                  <w:r>
                    <w:rPr>
                      <w:rFonts w:hint="eastAsia"/>
                      <w:bCs/>
                      <w:color w:val="FF0000"/>
                      <w:sz w:val="21"/>
                      <w:szCs w:val="21"/>
                      <w:highlight w:val="none"/>
                      <w:lang w:val="en-US" w:eastAsia="zh-CN"/>
                    </w:rPr>
                    <w:t>t</w:t>
                  </w:r>
                  <w:r>
                    <w:rPr>
                      <w:rFonts w:hint="eastAsia"/>
                      <w:bCs/>
                      <w:color w:val="FF0000"/>
                      <w:sz w:val="21"/>
                      <w:szCs w:val="21"/>
                      <w:highlight w:val="none"/>
                    </w:rPr>
                    <w:t>/h</w:t>
                  </w:r>
                  <w:r>
                    <w:rPr>
                      <w:rFonts w:hint="eastAsia"/>
                      <w:bCs/>
                      <w:color w:val="FF0000"/>
                      <w:sz w:val="21"/>
                      <w:szCs w:val="21"/>
                      <w:highlight w:val="none"/>
                      <w:lang w:val="en-US" w:eastAsia="zh-CN"/>
                    </w:rPr>
                    <w:t>生物质</w:t>
                  </w:r>
                  <w:r>
                    <w:rPr>
                      <w:rFonts w:hint="eastAsia"/>
                      <w:bCs/>
                      <w:color w:val="FF0000"/>
                      <w:sz w:val="21"/>
                      <w:szCs w:val="21"/>
                      <w:highlight w:val="none"/>
                    </w:rPr>
                    <w:t>锅炉与新增的1台6</w:t>
                  </w:r>
                  <w:r>
                    <w:rPr>
                      <w:rFonts w:hint="eastAsia"/>
                      <w:bCs/>
                      <w:color w:val="FF0000"/>
                      <w:sz w:val="21"/>
                      <w:szCs w:val="21"/>
                      <w:highlight w:val="none"/>
                      <w:lang w:val="en-US" w:eastAsia="zh-CN"/>
                    </w:rPr>
                    <w:t>t/h生物质</w:t>
                  </w:r>
                  <w:r>
                    <w:rPr>
                      <w:rFonts w:hint="eastAsia"/>
                      <w:bCs/>
                      <w:color w:val="FF0000"/>
                      <w:sz w:val="21"/>
                      <w:szCs w:val="21"/>
                      <w:highlight w:val="none"/>
                    </w:rPr>
                    <w:t>锅炉</w:t>
                  </w:r>
                  <w:r>
                    <w:rPr>
                      <w:rFonts w:hint="eastAsia"/>
                      <w:bCs/>
                      <w:color w:val="FF0000"/>
                      <w:sz w:val="21"/>
                      <w:szCs w:val="21"/>
                      <w:highlight w:val="none"/>
                      <w:lang w:val="en-US" w:eastAsia="zh-CN"/>
                    </w:rPr>
                    <w:t>运行过程中产生的锅炉</w:t>
                  </w:r>
                  <w:r>
                    <w:rPr>
                      <w:rFonts w:hint="eastAsia"/>
                      <w:bCs/>
                      <w:color w:val="FF0000"/>
                      <w:sz w:val="21"/>
                      <w:szCs w:val="21"/>
                      <w:highlight w:val="none"/>
                    </w:rPr>
                    <w:t>烟气分别通过一套</w:t>
                  </w:r>
                  <w:r>
                    <w:rPr>
                      <w:rFonts w:hint="eastAsia"/>
                      <w:bCs/>
                      <w:color w:val="FF0000"/>
                      <w:sz w:val="21"/>
                      <w:szCs w:val="21"/>
                      <w:highlight w:val="none"/>
                      <w:lang w:eastAsia="zh-CN"/>
                    </w:rPr>
                    <w:t>“</w:t>
                  </w:r>
                  <w:r>
                    <w:rPr>
                      <w:rFonts w:hint="eastAsia"/>
                      <w:bCs/>
                      <w:color w:val="FF0000"/>
                      <w:sz w:val="21"/>
                      <w:szCs w:val="21"/>
                      <w:highlight w:val="none"/>
                      <w:lang w:val="en-US" w:eastAsia="zh-CN"/>
                    </w:rPr>
                    <w:t>冷却塔+</w:t>
                  </w:r>
                  <w:r>
                    <w:rPr>
                      <w:rFonts w:hint="eastAsia"/>
                      <w:bCs/>
                      <w:color w:val="FF0000"/>
                      <w:sz w:val="21"/>
                      <w:szCs w:val="21"/>
                      <w:highlight w:val="none"/>
                    </w:rPr>
                    <w:t>布袋除尘</w:t>
                  </w:r>
                  <w:r>
                    <w:rPr>
                      <w:rFonts w:hint="eastAsia"/>
                      <w:bCs/>
                      <w:color w:val="FF0000"/>
                      <w:sz w:val="21"/>
                      <w:szCs w:val="21"/>
                      <w:highlight w:val="none"/>
                      <w:lang w:eastAsia="zh-CN"/>
                    </w:rPr>
                    <w:t>”</w:t>
                  </w:r>
                  <w:r>
                    <w:rPr>
                      <w:rFonts w:hint="eastAsia"/>
                      <w:bCs/>
                      <w:color w:val="FF0000"/>
                      <w:sz w:val="21"/>
                      <w:szCs w:val="21"/>
                      <w:highlight w:val="none"/>
                      <w:lang w:val="en-US" w:eastAsia="zh-CN"/>
                    </w:rPr>
                    <w:t>设施</w:t>
                  </w:r>
                  <w:r>
                    <w:rPr>
                      <w:rFonts w:hint="eastAsia"/>
                      <w:bCs/>
                      <w:color w:val="FF0000"/>
                      <w:sz w:val="21"/>
                      <w:szCs w:val="21"/>
                      <w:highlight w:val="none"/>
                    </w:rPr>
                    <w:t>处理后通过</w:t>
                  </w:r>
                  <w:r>
                    <w:rPr>
                      <w:rFonts w:hint="eastAsia"/>
                      <w:bCs/>
                      <w:color w:val="FF0000"/>
                      <w:sz w:val="21"/>
                      <w:szCs w:val="21"/>
                      <w:highlight w:val="none"/>
                      <w:lang w:val="en-US" w:eastAsia="zh-CN"/>
                    </w:rPr>
                    <w:t>35</w:t>
                  </w:r>
                  <w:r>
                    <w:rPr>
                      <w:rFonts w:hint="eastAsia"/>
                      <w:color w:val="FF0000"/>
                      <w:sz w:val="21"/>
                      <w:szCs w:val="21"/>
                      <w:highlight w:val="none"/>
                    </w:rPr>
                    <w:t>m高排气筒DA001排放</w:t>
                  </w:r>
                  <w:r>
                    <w:rPr>
                      <w:rFonts w:hint="eastAsia"/>
                      <w:color w:val="FF0000"/>
                      <w:sz w:val="21"/>
                      <w:szCs w:val="21"/>
                      <w:highlight w:val="none"/>
                      <w:lang w:eastAsia="zh-CN"/>
                    </w:rPr>
                    <w:t>；</w:t>
                  </w:r>
                  <w:r>
                    <w:rPr>
                      <w:rFonts w:hint="eastAsia"/>
                      <w:bCs/>
                      <w:color w:val="FF0000"/>
                      <w:sz w:val="21"/>
                      <w:szCs w:val="21"/>
                      <w:highlight w:val="none"/>
                      <w:lang w:val="en-US" w:eastAsia="zh-CN"/>
                    </w:rPr>
                    <w:t>各工段工艺粉尘分别收集后各经一套布袋除尘设备处理后通过15m高排气筒排放；食堂油烟收集后经一套</w:t>
                  </w:r>
                  <w:r>
                    <w:rPr>
                      <w:rFonts w:hint="eastAsia" w:ascii="Times New Roman" w:hAnsi="Times New Roman" w:eastAsia="宋体" w:cs="Times New Roman"/>
                      <w:b w:val="0"/>
                      <w:color w:val="FF0000"/>
                      <w:sz w:val="21"/>
                      <w:szCs w:val="21"/>
                      <w:lang w:val="en-US" w:eastAsia="zh-CN"/>
                    </w:rPr>
                    <w:t>油烟净化器处理后高空外排</w:t>
                  </w:r>
                  <w:r>
                    <w:rPr>
                      <w:rFonts w:hint="eastAsia" w:cs="Times New Roman"/>
                      <w:color w:val="FF0000"/>
                      <w:sz w:val="21"/>
                      <w:szCs w:val="21"/>
                      <w:highlight w:val="none"/>
                      <w:lang w:val="en-US" w:eastAsia="zh-CN"/>
                    </w:rPr>
                    <w:t>。</w:t>
                  </w:r>
                </w:p>
              </w:tc>
              <w:tc>
                <w:tcPr>
                  <w:tcW w:w="942" w:type="pct"/>
                  <w:tcBorders>
                    <w:tl2br w:val="nil"/>
                    <w:tr2bl w:val="nil"/>
                  </w:tcBorders>
                  <w:noWrap w:val="0"/>
                  <w:vAlign w:val="center"/>
                </w:tcPr>
                <w:p w14:paraId="5BDA8652">
                  <w:pPr>
                    <w:pStyle w:val="9"/>
                    <w:spacing w:line="240" w:lineRule="auto"/>
                    <w:ind w:left="0" w:firstLine="0"/>
                    <w:jc w:val="both"/>
                    <w:rPr>
                      <w:rFonts w:hint="eastAsia"/>
                      <w:bCs/>
                      <w:color w:val="auto"/>
                      <w:sz w:val="21"/>
                      <w:szCs w:val="21"/>
                      <w:highlight w:val="none"/>
                      <w:lang w:val="en-US" w:eastAsia="zh-CN"/>
                    </w:rPr>
                  </w:pPr>
                  <w:r>
                    <w:rPr>
                      <w:rFonts w:hint="eastAsia"/>
                      <w:color w:val="auto"/>
                      <w:sz w:val="21"/>
                      <w:szCs w:val="21"/>
                      <w:highlight w:val="none"/>
                    </w:rPr>
                    <w:t>保留现有</w:t>
                  </w:r>
                  <w:bookmarkStart w:id="3" w:name="OLE_LINK44"/>
                  <w:r>
                    <w:rPr>
                      <w:rFonts w:hint="eastAsia"/>
                      <w:color w:val="auto"/>
                      <w:sz w:val="21"/>
                      <w:szCs w:val="21"/>
                      <w:highlight w:val="none"/>
                    </w:rPr>
                    <w:t>1套</w:t>
                  </w:r>
                  <w:r>
                    <w:rPr>
                      <w:rFonts w:hint="eastAsia"/>
                      <w:bCs/>
                      <w:color w:val="auto"/>
                      <w:sz w:val="21"/>
                      <w:szCs w:val="21"/>
                      <w:highlight w:val="none"/>
                    </w:rPr>
                    <w:t>6</w:t>
                  </w:r>
                  <w:r>
                    <w:rPr>
                      <w:rFonts w:hint="eastAsia"/>
                      <w:bCs/>
                      <w:color w:val="auto"/>
                      <w:sz w:val="21"/>
                      <w:szCs w:val="21"/>
                      <w:highlight w:val="none"/>
                      <w:lang w:val="en-US" w:eastAsia="zh-CN"/>
                    </w:rPr>
                    <w:t>t</w:t>
                  </w:r>
                </w:p>
                <w:p w14:paraId="213FC7CE">
                  <w:pPr>
                    <w:pStyle w:val="9"/>
                    <w:spacing w:line="240" w:lineRule="auto"/>
                    <w:ind w:left="0" w:firstLine="0"/>
                    <w:jc w:val="both"/>
                    <w:rPr>
                      <w:rFonts w:hint="default" w:ascii="Times New Roman" w:hAnsi="Times New Roman" w:eastAsia="宋体" w:cs="Times New Roman"/>
                      <w:color w:val="auto"/>
                      <w:sz w:val="21"/>
                      <w:szCs w:val="21"/>
                      <w:lang w:val="en-US" w:eastAsia="zh-CN"/>
                    </w:rPr>
                  </w:pPr>
                  <w:r>
                    <w:rPr>
                      <w:rFonts w:hint="eastAsia"/>
                      <w:bCs/>
                      <w:color w:val="auto"/>
                      <w:sz w:val="21"/>
                      <w:szCs w:val="21"/>
                      <w:highlight w:val="none"/>
                    </w:rPr>
                    <w:t>/h</w:t>
                  </w:r>
                  <w:r>
                    <w:rPr>
                      <w:rFonts w:hint="eastAsia"/>
                      <w:bCs/>
                      <w:color w:val="auto"/>
                      <w:sz w:val="21"/>
                      <w:szCs w:val="21"/>
                      <w:highlight w:val="none"/>
                      <w:lang w:val="en-US" w:eastAsia="zh-CN"/>
                    </w:rPr>
                    <w:t>生物质</w:t>
                  </w:r>
                  <w:r>
                    <w:rPr>
                      <w:rFonts w:hint="eastAsia"/>
                      <w:bCs/>
                      <w:color w:val="auto"/>
                      <w:sz w:val="21"/>
                      <w:szCs w:val="21"/>
                      <w:highlight w:val="none"/>
                    </w:rPr>
                    <w:t>锅炉</w:t>
                  </w:r>
                  <w:bookmarkEnd w:id="3"/>
                  <w:r>
                    <w:rPr>
                      <w:rFonts w:hint="eastAsia"/>
                      <w:bCs/>
                      <w:color w:val="auto"/>
                      <w:sz w:val="21"/>
                      <w:szCs w:val="21"/>
                      <w:highlight w:val="none"/>
                      <w:lang w:val="en-US" w:eastAsia="zh-CN"/>
                    </w:rPr>
                    <w:t>作为备用锅炉使用</w:t>
                  </w:r>
                  <w:r>
                    <w:rPr>
                      <w:rFonts w:hint="eastAsia"/>
                      <w:bCs/>
                      <w:color w:val="auto"/>
                      <w:sz w:val="21"/>
                      <w:szCs w:val="21"/>
                      <w:highlight w:val="none"/>
                    </w:rPr>
                    <w:t>，原锅炉</w:t>
                  </w:r>
                  <w:r>
                    <w:rPr>
                      <w:rFonts w:hint="eastAsia"/>
                      <w:bCs/>
                      <w:color w:val="FF0000"/>
                      <w:sz w:val="21"/>
                      <w:szCs w:val="21"/>
                      <w:highlight w:val="none"/>
                      <w:lang w:val="en-US" w:eastAsia="zh-CN"/>
                    </w:rPr>
                    <w:t>烟</w:t>
                  </w:r>
                  <w:r>
                    <w:rPr>
                      <w:rFonts w:hint="eastAsia"/>
                      <w:bCs/>
                      <w:color w:val="auto"/>
                      <w:sz w:val="21"/>
                      <w:szCs w:val="21"/>
                      <w:highlight w:val="none"/>
                    </w:rPr>
                    <w:t>气处理设施由</w:t>
                  </w:r>
                  <w:r>
                    <w:rPr>
                      <w:rFonts w:hint="eastAsia"/>
                      <w:bCs/>
                      <w:color w:val="auto"/>
                      <w:sz w:val="21"/>
                      <w:szCs w:val="21"/>
                      <w:highlight w:val="none"/>
                      <w:lang w:eastAsia="zh-CN"/>
                    </w:rPr>
                    <w:t>“</w:t>
                  </w:r>
                  <w:r>
                    <w:rPr>
                      <w:rFonts w:hint="eastAsia"/>
                      <w:bCs/>
                      <w:color w:val="auto"/>
                      <w:sz w:val="21"/>
                      <w:szCs w:val="21"/>
                      <w:highlight w:val="none"/>
                    </w:rPr>
                    <w:t>水膜</w:t>
                  </w:r>
                  <w:r>
                    <w:rPr>
                      <w:rFonts w:hint="eastAsia"/>
                      <w:bCs/>
                      <w:color w:val="auto"/>
                      <w:sz w:val="21"/>
                      <w:szCs w:val="21"/>
                      <w:highlight w:val="none"/>
                      <w:lang w:val="en-US" w:eastAsia="zh-CN"/>
                    </w:rPr>
                    <w:t>除尘”</w:t>
                  </w:r>
                  <w:r>
                    <w:rPr>
                      <w:rFonts w:hint="eastAsia"/>
                      <w:bCs/>
                      <w:color w:val="auto"/>
                      <w:sz w:val="21"/>
                      <w:szCs w:val="21"/>
                      <w:highlight w:val="none"/>
                    </w:rPr>
                    <w:t>改为</w:t>
                  </w:r>
                  <w:r>
                    <w:rPr>
                      <w:rFonts w:hint="eastAsia"/>
                      <w:bCs/>
                      <w:color w:val="auto"/>
                      <w:sz w:val="21"/>
                      <w:szCs w:val="21"/>
                      <w:highlight w:val="none"/>
                      <w:lang w:eastAsia="zh-CN"/>
                    </w:rPr>
                    <w:t>“</w:t>
                  </w:r>
                  <w:r>
                    <w:rPr>
                      <w:rFonts w:hint="eastAsia"/>
                      <w:bCs/>
                      <w:color w:val="auto"/>
                      <w:sz w:val="21"/>
                      <w:szCs w:val="21"/>
                      <w:highlight w:val="none"/>
                      <w:lang w:val="en-US" w:eastAsia="zh-CN"/>
                    </w:rPr>
                    <w:t>冷却塔+</w:t>
                  </w:r>
                  <w:r>
                    <w:rPr>
                      <w:rFonts w:hint="eastAsia"/>
                      <w:bCs/>
                      <w:color w:val="auto"/>
                      <w:sz w:val="21"/>
                      <w:szCs w:val="21"/>
                      <w:highlight w:val="none"/>
                    </w:rPr>
                    <w:t>布袋</w:t>
                  </w:r>
                  <w:r>
                    <w:rPr>
                      <w:rFonts w:hint="eastAsia"/>
                      <w:bCs/>
                      <w:color w:val="auto"/>
                      <w:sz w:val="21"/>
                      <w:szCs w:val="21"/>
                      <w:highlight w:val="none"/>
                      <w:lang w:val="en-US" w:eastAsia="zh-CN"/>
                    </w:rPr>
                    <w:t>除尘”</w:t>
                  </w:r>
                  <w:r>
                    <w:rPr>
                      <w:rFonts w:hint="eastAsia"/>
                      <w:bCs/>
                      <w:color w:val="auto"/>
                      <w:sz w:val="21"/>
                      <w:szCs w:val="21"/>
                      <w:highlight w:val="none"/>
                    </w:rPr>
                    <w:t>；新增1</w:t>
                  </w:r>
                  <w:r>
                    <w:rPr>
                      <w:rFonts w:hint="eastAsia"/>
                      <w:bCs/>
                      <w:color w:val="auto"/>
                      <w:sz w:val="21"/>
                      <w:szCs w:val="21"/>
                      <w:highlight w:val="none"/>
                      <w:lang w:val="en-US" w:eastAsia="zh-CN"/>
                    </w:rPr>
                    <w:t>台</w:t>
                  </w:r>
                  <w:r>
                    <w:rPr>
                      <w:rFonts w:hint="eastAsia"/>
                      <w:bCs/>
                      <w:color w:val="auto"/>
                      <w:sz w:val="21"/>
                      <w:szCs w:val="21"/>
                      <w:highlight w:val="none"/>
                    </w:rPr>
                    <w:t>6</w:t>
                  </w:r>
                  <w:r>
                    <w:rPr>
                      <w:rFonts w:hint="eastAsia"/>
                      <w:bCs/>
                      <w:color w:val="auto"/>
                      <w:sz w:val="21"/>
                      <w:szCs w:val="21"/>
                      <w:highlight w:val="none"/>
                      <w:lang w:val="en-US" w:eastAsia="zh-CN"/>
                    </w:rPr>
                    <w:t>t</w:t>
                  </w:r>
                  <w:r>
                    <w:rPr>
                      <w:rFonts w:hint="eastAsia"/>
                      <w:bCs/>
                      <w:color w:val="auto"/>
                      <w:sz w:val="21"/>
                      <w:szCs w:val="21"/>
                      <w:highlight w:val="none"/>
                    </w:rPr>
                    <w:t>/h</w:t>
                  </w:r>
                  <w:r>
                    <w:rPr>
                      <w:rFonts w:hint="eastAsia"/>
                      <w:bCs/>
                      <w:color w:val="auto"/>
                      <w:sz w:val="21"/>
                      <w:szCs w:val="21"/>
                      <w:highlight w:val="none"/>
                      <w:lang w:val="en-US" w:eastAsia="zh-CN"/>
                    </w:rPr>
                    <w:t>生物质</w:t>
                  </w:r>
                  <w:r>
                    <w:rPr>
                      <w:rFonts w:hint="eastAsia"/>
                      <w:bCs/>
                      <w:color w:val="auto"/>
                      <w:sz w:val="21"/>
                      <w:szCs w:val="21"/>
                      <w:highlight w:val="none"/>
                    </w:rPr>
                    <w:t>锅炉及</w:t>
                  </w:r>
                  <w:r>
                    <w:rPr>
                      <w:rFonts w:hint="eastAsia"/>
                      <w:bCs/>
                      <w:color w:val="FF0000"/>
                      <w:sz w:val="21"/>
                      <w:szCs w:val="21"/>
                      <w:highlight w:val="none"/>
                      <w:lang w:val="en-US" w:eastAsia="zh-CN"/>
                    </w:rPr>
                    <w:t>烟</w:t>
                  </w:r>
                  <w:r>
                    <w:rPr>
                      <w:rFonts w:hint="eastAsia"/>
                      <w:bCs/>
                      <w:color w:val="auto"/>
                      <w:sz w:val="21"/>
                      <w:szCs w:val="21"/>
                      <w:highlight w:val="none"/>
                    </w:rPr>
                    <w:t>气处理设施</w:t>
                  </w:r>
                  <w:r>
                    <w:rPr>
                      <w:rFonts w:hint="eastAsia" w:cs="Times New Roman"/>
                      <w:color w:val="FF0000"/>
                      <w:sz w:val="21"/>
                      <w:szCs w:val="21"/>
                      <w:highlight w:val="none"/>
                      <w:lang w:val="en-US" w:eastAsia="zh-CN"/>
                    </w:rPr>
                    <w:t>。</w:t>
                  </w:r>
                </w:p>
              </w:tc>
            </w:tr>
            <w:tr w14:paraId="54DE52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62" w:hRule="atLeast"/>
              </w:trPr>
              <w:tc>
                <w:tcPr>
                  <w:tcW w:w="589" w:type="pct"/>
                  <w:vMerge w:val="continue"/>
                  <w:tcBorders>
                    <w:tl2br w:val="nil"/>
                    <w:tr2bl w:val="nil"/>
                  </w:tcBorders>
                  <w:noWrap w:val="0"/>
                  <w:vAlign w:val="center"/>
                </w:tcPr>
                <w:p w14:paraId="0596D67C">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000000" w:themeColor="text1"/>
                      <w:sz w:val="21"/>
                      <w:szCs w:val="21"/>
                      <w:lang w:eastAsia="zh-CN"/>
                      <w14:textFill>
                        <w14:solidFill>
                          <w14:schemeClr w14:val="tx1"/>
                        </w14:solidFill>
                      </w14:textFill>
                    </w:rPr>
                  </w:pPr>
                </w:p>
              </w:tc>
              <w:tc>
                <w:tcPr>
                  <w:tcW w:w="323" w:type="pct"/>
                  <w:vMerge w:val="continue"/>
                  <w:tcBorders>
                    <w:tl2br w:val="nil"/>
                    <w:tr2bl w:val="nil"/>
                  </w:tcBorders>
                  <w:noWrap w:val="0"/>
                  <w:vAlign w:val="center"/>
                </w:tcPr>
                <w:p w14:paraId="40FFB6D8">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auto"/>
                      <w:sz w:val="21"/>
                      <w:szCs w:val="21"/>
                      <w:highlight w:val="none"/>
                    </w:rPr>
                  </w:pPr>
                </w:p>
              </w:tc>
              <w:tc>
                <w:tcPr>
                  <w:tcW w:w="326" w:type="pct"/>
                  <w:tcBorders>
                    <w:tl2br w:val="nil"/>
                    <w:tr2bl w:val="nil"/>
                  </w:tcBorders>
                  <w:noWrap w:val="0"/>
                  <w:vAlign w:val="center"/>
                </w:tcPr>
                <w:p w14:paraId="0625ED88">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无组织</w:t>
                  </w:r>
                </w:p>
              </w:tc>
              <w:tc>
                <w:tcPr>
                  <w:tcW w:w="1407" w:type="pct"/>
                  <w:gridSpan w:val="2"/>
                  <w:tcBorders>
                    <w:tl2br w:val="nil"/>
                    <w:tr2bl w:val="nil"/>
                  </w:tcBorders>
                  <w:noWrap w:val="0"/>
                  <w:vAlign w:val="center"/>
                </w:tcPr>
                <w:p w14:paraId="11259072">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车间通风</w:t>
                  </w:r>
                </w:p>
              </w:tc>
              <w:tc>
                <w:tcPr>
                  <w:tcW w:w="1411" w:type="pct"/>
                  <w:tcBorders>
                    <w:tl2br w:val="nil"/>
                    <w:tr2bl w:val="nil"/>
                  </w:tcBorders>
                  <w:noWrap w:val="0"/>
                  <w:vAlign w:val="center"/>
                </w:tcPr>
                <w:p w14:paraId="3E7A95DB">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eastAsia" w:cs="Times New Roman"/>
                      <w:color w:val="FF0000"/>
                      <w:sz w:val="21"/>
                      <w:szCs w:val="21"/>
                      <w:highlight w:val="none"/>
                      <w:lang w:val="en-US" w:eastAsia="zh-CN"/>
                    </w:rPr>
                  </w:pPr>
                  <w:r>
                    <w:rPr>
                      <w:rFonts w:hint="eastAsia" w:cs="Times New Roman"/>
                      <w:color w:val="FF0000"/>
                      <w:sz w:val="21"/>
                      <w:szCs w:val="21"/>
                      <w:highlight w:val="none"/>
                      <w:lang w:val="en-US" w:eastAsia="zh-CN"/>
                    </w:rPr>
                    <w:t>不变</w:t>
                  </w:r>
                </w:p>
              </w:tc>
              <w:tc>
                <w:tcPr>
                  <w:tcW w:w="942" w:type="pct"/>
                  <w:tcBorders>
                    <w:tl2br w:val="nil"/>
                    <w:tr2bl w:val="nil"/>
                  </w:tcBorders>
                  <w:noWrap w:val="0"/>
                  <w:vAlign w:val="center"/>
                </w:tcPr>
                <w:p w14:paraId="5DF4FA34">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auto"/>
                      <w:sz w:val="21"/>
                      <w:szCs w:val="21"/>
                    </w:rPr>
                  </w:pPr>
                  <w:r>
                    <w:rPr>
                      <w:rFonts w:hint="eastAsia" w:cs="Times New Roman"/>
                      <w:color w:val="auto"/>
                      <w:sz w:val="21"/>
                      <w:szCs w:val="21"/>
                      <w:lang w:val="en-US" w:eastAsia="zh-CN"/>
                    </w:rPr>
                    <w:t>依托现有</w:t>
                  </w:r>
                </w:p>
              </w:tc>
            </w:tr>
            <w:tr w14:paraId="77E503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122" w:hRule="atLeast"/>
              </w:trPr>
              <w:tc>
                <w:tcPr>
                  <w:tcW w:w="589" w:type="pct"/>
                  <w:vMerge w:val="continue"/>
                  <w:tcBorders>
                    <w:tl2br w:val="nil"/>
                    <w:tr2bl w:val="nil"/>
                  </w:tcBorders>
                  <w:noWrap w:val="0"/>
                  <w:vAlign w:val="center"/>
                </w:tcPr>
                <w:p w14:paraId="2D578EA5">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FF0000"/>
                      <w:sz w:val="21"/>
                      <w:szCs w:val="21"/>
                      <w:lang w:eastAsia="zh-CN"/>
                    </w:rPr>
                  </w:pPr>
                </w:p>
              </w:tc>
              <w:tc>
                <w:tcPr>
                  <w:tcW w:w="649" w:type="pct"/>
                  <w:gridSpan w:val="2"/>
                  <w:tcBorders>
                    <w:tl2br w:val="nil"/>
                    <w:tr2bl w:val="nil"/>
                  </w:tcBorders>
                  <w:noWrap w:val="0"/>
                  <w:vAlign w:val="center"/>
                </w:tcPr>
                <w:p w14:paraId="6C4B0588">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废水</w:t>
                  </w:r>
                </w:p>
              </w:tc>
              <w:tc>
                <w:tcPr>
                  <w:tcW w:w="1407" w:type="pct"/>
                  <w:gridSpan w:val="2"/>
                  <w:tcBorders>
                    <w:tl2br w:val="nil"/>
                    <w:tr2bl w:val="nil"/>
                  </w:tcBorders>
                  <w:noWrap w:val="0"/>
                  <w:vAlign w:val="center"/>
                </w:tcPr>
                <w:p w14:paraId="72E0E277">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both"/>
                    <w:textAlignment w:val="baseline"/>
                    <w:rPr>
                      <w:rFonts w:hint="default" w:eastAsia="宋体" w:cs="Times New Roman"/>
                      <w:color w:val="FF0000"/>
                      <w:sz w:val="21"/>
                      <w:szCs w:val="21"/>
                      <w:vertAlign w:val="baseline"/>
                      <w:lang w:val="en-US" w:eastAsia="zh-CN" w:bidi="ar"/>
                    </w:rPr>
                  </w:pPr>
                  <w:r>
                    <w:rPr>
                      <w:rFonts w:hint="eastAsia" w:cs="Times New Roman"/>
                      <w:color w:val="FF0000"/>
                      <w:sz w:val="21"/>
                      <w:szCs w:val="21"/>
                      <w:vertAlign w:val="baseline"/>
                      <w:lang w:val="en-US" w:eastAsia="zh-CN" w:bidi="ar"/>
                    </w:rPr>
                    <w:t>树脂再生废水</w:t>
                  </w:r>
                  <w:r>
                    <w:rPr>
                      <w:rFonts w:hint="eastAsia" w:cs="Times New Roman"/>
                      <w:color w:val="000000" w:themeColor="text1"/>
                      <w:sz w:val="21"/>
                      <w:szCs w:val="21"/>
                      <w:vertAlign w:val="baseline"/>
                      <w:lang w:val="en-US" w:eastAsia="zh-CN" w:bidi="ar"/>
                      <w14:textFill>
                        <w14:solidFill>
                          <w14:schemeClr w14:val="tx1"/>
                        </w14:solidFill>
                      </w14:textFill>
                    </w:rPr>
                    <w:t>经一座50m</w:t>
                  </w:r>
                  <w:r>
                    <w:rPr>
                      <w:rFonts w:hint="eastAsia" w:cs="Times New Roman"/>
                      <w:color w:val="000000" w:themeColor="text1"/>
                      <w:sz w:val="21"/>
                      <w:szCs w:val="21"/>
                      <w:vertAlign w:val="superscript"/>
                      <w:lang w:val="en-US" w:eastAsia="zh-CN" w:bidi="ar"/>
                      <w14:textFill>
                        <w14:solidFill>
                          <w14:schemeClr w14:val="tx1"/>
                        </w14:solidFill>
                      </w14:textFill>
                    </w:rPr>
                    <w:t>2</w:t>
                  </w:r>
                  <w:r>
                    <w:rPr>
                      <w:rFonts w:hint="eastAsia" w:cs="Times New Roman"/>
                      <w:color w:val="000000" w:themeColor="text1"/>
                      <w:sz w:val="21"/>
                      <w:szCs w:val="21"/>
                      <w:vertAlign w:val="baseline"/>
                      <w:lang w:val="en-US" w:eastAsia="zh-CN" w:bidi="ar"/>
                      <w14:textFill>
                        <w14:solidFill>
                          <w14:schemeClr w14:val="tx1"/>
                        </w14:solidFill>
                      </w14:textFill>
                    </w:rPr>
                    <w:t>、容积为150m</w:t>
                  </w:r>
                  <w:r>
                    <w:rPr>
                      <w:rFonts w:hint="eastAsia" w:cs="Times New Roman"/>
                      <w:color w:val="000000" w:themeColor="text1"/>
                      <w:sz w:val="21"/>
                      <w:szCs w:val="21"/>
                      <w:vertAlign w:val="superscript"/>
                      <w:lang w:val="en-US" w:eastAsia="zh-CN" w:bidi="ar"/>
                      <w14:textFill>
                        <w14:solidFill>
                          <w14:schemeClr w14:val="tx1"/>
                        </w14:solidFill>
                      </w14:textFill>
                    </w:rPr>
                    <w:t>3</w:t>
                  </w:r>
                  <w:r>
                    <w:rPr>
                      <w:rFonts w:hint="eastAsia" w:cs="Times New Roman"/>
                      <w:color w:val="000000" w:themeColor="text1"/>
                      <w:sz w:val="21"/>
                      <w:szCs w:val="21"/>
                      <w:vertAlign w:val="baseline"/>
                      <w:lang w:val="en-US" w:eastAsia="zh-CN" w:bidi="ar"/>
                      <w14:textFill>
                        <w14:solidFill>
                          <w14:schemeClr w14:val="tx1"/>
                        </w14:solidFill>
                      </w14:textFill>
                    </w:rPr>
                    <w:t>中和沉淀池</w:t>
                  </w:r>
                  <w:r>
                    <w:rPr>
                      <w:rFonts w:hint="eastAsia" w:cs="Times New Roman"/>
                      <w:color w:val="FF0000"/>
                      <w:sz w:val="21"/>
                      <w:szCs w:val="21"/>
                      <w:vertAlign w:val="baseline"/>
                      <w:lang w:val="en-US" w:eastAsia="zh-CN" w:bidi="ar"/>
                    </w:rPr>
                    <w:t>（调节+沉淀）</w:t>
                  </w:r>
                  <w:r>
                    <w:rPr>
                      <w:rFonts w:hint="eastAsia" w:cs="Times New Roman"/>
                      <w:color w:val="000000" w:themeColor="text1"/>
                      <w:sz w:val="21"/>
                      <w:szCs w:val="21"/>
                      <w:vertAlign w:val="baseline"/>
                      <w:lang w:val="en-US" w:eastAsia="zh-CN" w:bidi="ar"/>
                      <w14:textFill>
                        <w14:solidFill>
                          <w14:schemeClr w14:val="tx1"/>
                        </w14:solidFill>
                      </w14:textFill>
                    </w:rPr>
                    <w:t>处理后回用于厂区绿化、洒水冷却灰渣</w:t>
                  </w:r>
                  <w:r>
                    <w:rPr>
                      <w:rFonts w:hint="eastAsia" w:cs="Times New Roman"/>
                      <w:color w:val="auto"/>
                      <w:sz w:val="21"/>
                      <w:szCs w:val="21"/>
                      <w:vertAlign w:val="baseline"/>
                      <w:lang w:val="en-US" w:eastAsia="zh-CN" w:bidi="ar"/>
                    </w:rPr>
                    <w:t>等；</w:t>
                  </w:r>
                  <w:r>
                    <w:rPr>
                      <w:rFonts w:hint="eastAsia" w:cs="Times New Roman"/>
                      <w:color w:val="000000" w:themeColor="text1"/>
                      <w:sz w:val="21"/>
                      <w:szCs w:val="21"/>
                      <w:vertAlign w:val="baseline"/>
                      <w:lang w:val="en-US" w:eastAsia="zh-CN" w:bidi="ar"/>
                      <w14:textFill>
                        <w14:solidFill>
                          <w14:schemeClr w14:val="tx1"/>
                        </w14:solidFill>
                      </w14:textFill>
                    </w:rPr>
                    <w:t>生活污水经隔油池+化粪池预处理后再经一体化设施（膜生物法）处理达标后经园区管网排入肖江</w:t>
                  </w:r>
                  <w:r>
                    <w:rPr>
                      <w:rFonts w:hint="eastAsia" w:cs="Times New Roman"/>
                      <w:color w:val="FF0000"/>
                      <w:sz w:val="21"/>
                      <w:szCs w:val="21"/>
                      <w:highlight w:val="none"/>
                      <w:lang w:val="en-US" w:eastAsia="zh-CN"/>
                    </w:rPr>
                    <w:t>。</w:t>
                  </w:r>
                </w:p>
              </w:tc>
              <w:tc>
                <w:tcPr>
                  <w:tcW w:w="1411" w:type="pct"/>
                  <w:tcBorders>
                    <w:tl2br w:val="nil"/>
                    <w:tr2bl w:val="nil"/>
                  </w:tcBorders>
                  <w:noWrap w:val="0"/>
                  <w:vAlign w:val="center"/>
                </w:tcPr>
                <w:p w14:paraId="14F447FF">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eastAsia" w:cs="Times New Roman"/>
                      <w:color w:val="FF0000"/>
                      <w:sz w:val="21"/>
                      <w:szCs w:val="21"/>
                      <w:vertAlign w:val="baseline"/>
                      <w:lang w:val="en-US" w:eastAsia="zh-CN" w:bidi="ar"/>
                    </w:rPr>
                  </w:pPr>
                  <w:r>
                    <w:rPr>
                      <w:rFonts w:hint="eastAsia" w:cs="Times New Roman"/>
                      <w:color w:val="FF0000"/>
                      <w:sz w:val="21"/>
                      <w:szCs w:val="21"/>
                      <w:highlight w:val="none"/>
                      <w:lang w:val="en-US" w:eastAsia="zh-CN"/>
                    </w:rPr>
                    <w:t>不变</w:t>
                  </w:r>
                </w:p>
              </w:tc>
              <w:tc>
                <w:tcPr>
                  <w:tcW w:w="942" w:type="pct"/>
                  <w:tcBorders>
                    <w:tl2br w:val="nil"/>
                    <w:tr2bl w:val="nil"/>
                  </w:tcBorders>
                  <w:noWrap w:val="0"/>
                  <w:vAlign w:val="center"/>
                </w:tcPr>
                <w:p w14:paraId="1048C2A1">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auto"/>
                      <w:sz w:val="21"/>
                      <w:szCs w:val="21"/>
                      <w:lang w:val="en-US" w:eastAsia="zh-CN"/>
                    </w:rPr>
                    <w:t>依托现有</w:t>
                  </w:r>
                </w:p>
              </w:tc>
            </w:tr>
            <w:tr w14:paraId="7979F6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589" w:type="pct"/>
                  <w:vMerge w:val="continue"/>
                  <w:tcBorders>
                    <w:tl2br w:val="nil"/>
                    <w:tr2bl w:val="nil"/>
                  </w:tcBorders>
                  <w:noWrap w:val="0"/>
                  <w:vAlign w:val="center"/>
                </w:tcPr>
                <w:p w14:paraId="2A6BC270">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FF0000"/>
                      <w:sz w:val="21"/>
                      <w:szCs w:val="21"/>
                    </w:rPr>
                  </w:pPr>
                </w:p>
              </w:tc>
              <w:tc>
                <w:tcPr>
                  <w:tcW w:w="649" w:type="pct"/>
                  <w:gridSpan w:val="2"/>
                  <w:tcBorders>
                    <w:tl2br w:val="nil"/>
                    <w:tr2bl w:val="nil"/>
                  </w:tcBorders>
                  <w:noWrap w:val="0"/>
                  <w:vAlign w:val="center"/>
                </w:tcPr>
                <w:p w14:paraId="70D5BE50">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噪声</w:t>
                  </w:r>
                </w:p>
              </w:tc>
              <w:tc>
                <w:tcPr>
                  <w:tcW w:w="1407" w:type="pct"/>
                  <w:gridSpan w:val="2"/>
                  <w:tcBorders>
                    <w:tl2br w:val="nil"/>
                    <w:tr2bl w:val="nil"/>
                  </w:tcBorders>
                  <w:noWrap w:val="0"/>
                  <w:vAlign w:val="center"/>
                </w:tcPr>
                <w:p w14:paraId="75ABAE9B">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厂房隔音、设备减震垫等</w:t>
                  </w:r>
                  <w:r>
                    <w:rPr>
                      <w:rFonts w:hint="eastAsia" w:cs="Times New Roman"/>
                      <w:color w:val="000000" w:themeColor="text1"/>
                      <w:sz w:val="21"/>
                      <w:szCs w:val="21"/>
                      <w:lang w:eastAsia="zh-CN"/>
                      <w14:textFill>
                        <w14:solidFill>
                          <w14:schemeClr w14:val="tx1"/>
                        </w14:solidFill>
                      </w14:textFill>
                    </w:rPr>
                    <w:t>。</w:t>
                  </w:r>
                </w:p>
              </w:tc>
              <w:tc>
                <w:tcPr>
                  <w:tcW w:w="1411" w:type="pct"/>
                  <w:tcBorders>
                    <w:tl2br w:val="nil"/>
                    <w:tr2bl w:val="nil"/>
                  </w:tcBorders>
                  <w:noWrap w:val="0"/>
                  <w:vAlign w:val="center"/>
                </w:tcPr>
                <w:p w14:paraId="0B055B71">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FF0000"/>
                      <w:sz w:val="21"/>
                      <w:szCs w:val="21"/>
                    </w:rPr>
                  </w:pPr>
                  <w:r>
                    <w:rPr>
                      <w:rFonts w:hint="eastAsia" w:cs="Times New Roman"/>
                      <w:color w:val="FF0000"/>
                      <w:sz w:val="21"/>
                      <w:szCs w:val="21"/>
                      <w:highlight w:val="none"/>
                      <w:lang w:val="en-US" w:eastAsia="zh-CN"/>
                    </w:rPr>
                    <w:t>不变</w:t>
                  </w:r>
                </w:p>
              </w:tc>
              <w:tc>
                <w:tcPr>
                  <w:tcW w:w="942" w:type="pct"/>
                  <w:tcBorders>
                    <w:tl2br w:val="nil"/>
                    <w:tr2bl w:val="nil"/>
                  </w:tcBorders>
                  <w:noWrap w:val="0"/>
                  <w:vAlign w:val="center"/>
                </w:tcPr>
                <w:p w14:paraId="6326C8DE">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000000" w:themeColor="text1"/>
                      <w:sz w:val="21"/>
                      <w:szCs w:val="21"/>
                      <w14:textFill>
                        <w14:solidFill>
                          <w14:schemeClr w14:val="tx1"/>
                        </w14:solidFill>
                      </w14:textFill>
                    </w:rPr>
                  </w:pPr>
                  <w:r>
                    <w:rPr>
                      <w:rFonts w:hint="eastAsia" w:cs="Times New Roman"/>
                      <w:color w:val="auto"/>
                      <w:sz w:val="21"/>
                      <w:szCs w:val="21"/>
                      <w:lang w:val="en-US" w:eastAsia="zh-CN"/>
                    </w:rPr>
                    <w:t>依托现有</w:t>
                  </w:r>
                </w:p>
              </w:tc>
            </w:tr>
            <w:tr w14:paraId="5DFB41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93" w:hRule="atLeast"/>
              </w:trPr>
              <w:tc>
                <w:tcPr>
                  <w:tcW w:w="589" w:type="pct"/>
                  <w:vMerge w:val="continue"/>
                  <w:tcBorders>
                    <w:tl2br w:val="nil"/>
                    <w:tr2bl w:val="nil"/>
                  </w:tcBorders>
                  <w:noWrap w:val="0"/>
                  <w:vAlign w:val="center"/>
                </w:tcPr>
                <w:p w14:paraId="0695BD5F">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FF0000"/>
                      <w:sz w:val="21"/>
                      <w:szCs w:val="21"/>
                    </w:rPr>
                  </w:pPr>
                </w:p>
              </w:tc>
              <w:tc>
                <w:tcPr>
                  <w:tcW w:w="649" w:type="pct"/>
                  <w:gridSpan w:val="2"/>
                  <w:vMerge w:val="restart"/>
                  <w:tcBorders>
                    <w:tl2br w:val="nil"/>
                    <w:tr2bl w:val="nil"/>
                  </w:tcBorders>
                  <w:noWrap w:val="0"/>
                  <w:vAlign w:val="center"/>
                </w:tcPr>
                <w:p w14:paraId="57F9CE92">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固体</w:t>
                  </w:r>
                </w:p>
                <w:p w14:paraId="78D6477E">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FF0000"/>
                      <w:sz w:val="21"/>
                      <w:szCs w:val="21"/>
                    </w:rPr>
                  </w:pPr>
                  <w:r>
                    <w:rPr>
                      <w:rFonts w:hint="default" w:ascii="Times New Roman" w:hAnsi="Times New Roman" w:cs="Times New Roman"/>
                      <w:color w:val="000000" w:themeColor="text1"/>
                      <w:sz w:val="21"/>
                      <w:szCs w:val="21"/>
                      <w14:textFill>
                        <w14:solidFill>
                          <w14:schemeClr w14:val="tx1"/>
                        </w14:solidFill>
                      </w14:textFill>
                    </w:rPr>
                    <w:t>废物</w:t>
                  </w:r>
                </w:p>
              </w:tc>
              <w:tc>
                <w:tcPr>
                  <w:tcW w:w="703" w:type="pct"/>
                  <w:tcBorders>
                    <w:tl2br w:val="nil"/>
                    <w:tr2bl w:val="nil"/>
                  </w:tcBorders>
                  <w:noWrap w:val="0"/>
                  <w:vAlign w:val="center"/>
                </w:tcPr>
                <w:p w14:paraId="02A5D64C">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一般固废</w:t>
                  </w:r>
                  <w:r>
                    <w:rPr>
                      <w:rFonts w:hint="default" w:ascii="Times New Roman" w:hAnsi="Times New Roman" w:cs="Times New Roman"/>
                      <w:color w:val="000000" w:themeColor="text1"/>
                      <w:sz w:val="21"/>
                      <w:szCs w:val="21"/>
                      <w:lang w:val="en-US" w:eastAsia="zh-CN"/>
                      <w14:textFill>
                        <w14:solidFill>
                          <w14:schemeClr w14:val="tx1"/>
                        </w14:solidFill>
                      </w14:textFill>
                    </w:rPr>
                    <w:t>暂存间</w:t>
                  </w:r>
                </w:p>
              </w:tc>
              <w:tc>
                <w:tcPr>
                  <w:tcW w:w="703" w:type="pct"/>
                  <w:tcBorders>
                    <w:tl2br w:val="nil"/>
                    <w:tr2bl w:val="nil"/>
                  </w:tcBorders>
                  <w:noWrap w:val="0"/>
                  <w:vAlign w:val="center"/>
                </w:tcPr>
                <w:p w14:paraId="10815106">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占地</w:t>
                  </w:r>
                  <w:r>
                    <w:rPr>
                      <w:rFonts w:hint="default" w:ascii="Times New Roman" w:hAnsi="Times New Roman" w:cs="Times New Roman"/>
                      <w:color w:val="000000" w:themeColor="text1"/>
                      <w:sz w:val="21"/>
                      <w:szCs w:val="21"/>
                      <w:lang w:val="en-US" w:eastAsia="zh-CN"/>
                      <w14:textFill>
                        <w14:solidFill>
                          <w14:schemeClr w14:val="tx1"/>
                        </w14:solidFill>
                      </w14:textFill>
                    </w:rPr>
                    <w:t>面积</w:t>
                  </w:r>
                  <w:r>
                    <w:rPr>
                      <w:rFonts w:hint="eastAsia" w:cs="Times New Roman"/>
                      <w:color w:val="000000" w:themeColor="text1"/>
                      <w:sz w:val="21"/>
                      <w:szCs w:val="21"/>
                      <w:lang w:val="en-US" w:eastAsia="zh-CN"/>
                      <w14:textFill>
                        <w14:solidFill>
                          <w14:schemeClr w14:val="tx1"/>
                        </w14:solidFill>
                      </w14:textFill>
                    </w:rPr>
                    <w:t>12</w:t>
                  </w:r>
                  <w:r>
                    <w:rPr>
                      <w:rFonts w:hint="default" w:ascii="Times New Roman" w:hAnsi="Times New Roman" w:cs="Times New Roman"/>
                      <w:color w:val="000000" w:themeColor="text1"/>
                      <w:sz w:val="21"/>
                      <w:szCs w:val="21"/>
                      <w:lang w:val="en-US" w:eastAsia="zh-CN"/>
                      <w14:textFill>
                        <w14:solidFill>
                          <w14:schemeClr w14:val="tx1"/>
                        </w14:solidFill>
                      </w14:textFill>
                    </w:rPr>
                    <w:t>0</w:t>
                  </w:r>
                  <w:r>
                    <w:rPr>
                      <w:rFonts w:hint="default" w:ascii="Times New Roman" w:hAnsi="Times New Roman" w:cs="Times New Roman"/>
                      <w:color w:val="000000" w:themeColor="text1"/>
                      <w:sz w:val="21"/>
                      <w:szCs w:val="21"/>
                      <w14:textFill>
                        <w14:solidFill>
                          <w14:schemeClr w14:val="tx1"/>
                        </w14:solidFill>
                      </w14:textFill>
                    </w:rPr>
                    <w:t>m</w:t>
                  </w:r>
                  <w:r>
                    <w:rPr>
                      <w:rFonts w:hint="default" w:ascii="Times New Roman" w:hAnsi="Times New Roman" w:cs="Times New Roman"/>
                      <w:color w:val="000000" w:themeColor="text1"/>
                      <w:sz w:val="21"/>
                      <w:szCs w:val="21"/>
                      <w:vertAlign w:val="superscript"/>
                      <w14:textFill>
                        <w14:solidFill>
                          <w14:schemeClr w14:val="tx1"/>
                        </w14:solidFill>
                      </w14:textFill>
                    </w:rPr>
                    <w:t>2</w:t>
                  </w:r>
                  <w:r>
                    <w:rPr>
                      <w:rFonts w:hint="eastAsia" w:cs="Times New Roman"/>
                      <w:color w:val="000000" w:themeColor="text1"/>
                      <w:sz w:val="21"/>
                      <w:szCs w:val="21"/>
                      <w:vertAlign w:val="baseline"/>
                      <w:lang w:eastAsia="zh-CN"/>
                      <w14:textFill>
                        <w14:solidFill>
                          <w14:schemeClr w14:val="tx1"/>
                        </w14:solidFill>
                      </w14:textFill>
                    </w:rPr>
                    <w:t>、</w:t>
                  </w:r>
                  <w:r>
                    <w:rPr>
                      <w:rFonts w:hint="eastAsia" w:cs="Times New Roman"/>
                      <w:color w:val="000000" w:themeColor="text1"/>
                      <w:sz w:val="21"/>
                      <w:szCs w:val="21"/>
                      <w:vertAlign w:val="baseline"/>
                      <w:lang w:val="en-US" w:eastAsia="zh-CN"/>
                      <w14:textFill>
                        <w14:solidFill>
                          <w14:schemeClr w14:val="tx1"/>
                        </w14:solidFill>
                      </w14:textFill>
                    </w:rPr>
                    <w:t>容积为180m</w:t>
                  </w:r>
                  <w:r>
                    <w:rPr>
                      <w:rFonts w:hint="eastAsia" w:cs="Times New Roman"/>
                      <w:color w:val="000000" w:themeColor="text1"/>
                      <w:sz w:val="21"/>
                      <w:szCs w:val="21"/>
                      <w:vertAlign w:val="superscript"/>
                      <w:lang w:val="en-US" w:eastAsia="zh-CN"/>
                      <w14:textFill>
                        <w14:solidFill>
                          <w14:schemeClr w14:val="tx1"/>
                        </w14:solidFill>
                      </w14:textFill>
                    </w:rPr>
                    <w:t>3</w:t>
                  </w:r>
                  <w:r>
                    <w:rPr>
                      <w:rFonts w:hint="eastAsia" w:cs="Times New Roman"/>
                      <w:color w:val="FF0000"/>
                      <w:sz w:val="21"/>
                      <w:szCs w:val="21"/>
                      <w:highlight w:val="none"/>
                      <w:lang w:val="en-US" w:eastAsia="zh-CN"/>
                    </w:rPr>
                    <w:t>。</w:t>
                  </w:r>
                </w:p>
              </w:tc>
              <w:tc>
                <w:tcPr>
                  <w:tcW w:w="1411" w:type="pct"/>
                  <w:tcBorders>
                    <w:tl2br w:val="nil"/>
                    <w:tr2bl w:val="nil"/>
                  </w:tcBorders>
                  <w:noWrap w:val="0"/>
                  <w:vAlign w:val="center"/>
                </w:tcPr>
                <w:p w14:paraId="63867365">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color w:val="FF0000"/>
                      <w:sz w:val="21"/>
                      <w:szCs w:val="21"/>
                    </w:rPr>
                  </w:pPr>
                  <w:r>
                    <w:rPr>
                      <w:rFonts w:hint="eastAsia" w:cs="Times New Roman"/>
                      <w:color w:val="FF0000"/>
                      <w:sz w:val="21"/>
                      <w:szCs w:val="21"/>
                      <w:highlight w:val="none"/>
                      <w:lang w:val="en-US" w:eastAsia="zh-CN"/>
                    </w:rPr>
                    <w:t>不变</w:t>
                  </w:r>
                </w:p>
              </w:tc>
              <w:tc>
                <w:tcPr>
                  <w:tcW w:w="942" w:type="pct"/>
                  <w:tcBorders>
                    <w:tl2br w:val="nil"/>
                    <w:tr2bl w:val="nil"/>
                  </w:tcBorders>
                  <w:noWrap w:val="0"/>
                  <w:vAlign w:val="center"/>
                </w:tcPr>
                <w:p w14:paraId="7C9301F6">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auto"/>
                      <w:sz w:val="21"/>
                      <w:szCs w:val="21"/>
                      <w:lang w:val="en-US" w:eastAsia="zh-CN"/>
                    </w:rPr>
                    <w:t>依托现有</w:t>
                  </w:r>
                </w:p>
              </w:tc>
            </w:tr>
            <w:tr w14:paraId="2C40D1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589" w:type="pct"/>
                  <w:vMerge w:val="continue"/>
                  <w:tcBorders>
                    <w:tl2br w:val="nil"/>
                    <w:tr2bl w:val="nil"/>
                  </w:tcBorders>
                  <w:noWrap w:val="0"/>
                  <w:vAlign w:val="center"/>
                </w:tcPr>
                <w:p w14:paraId="6453A5DD">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FF0000"/>
                      <w:sz w:val="21"/>
                      <w:szCs w:val="21"/>
                    </w:rPr>
                  </w:pPr>
                </w:p>
              </w:tc>
              <w:tc>
                <w:tcPr>
                  <w:tcW w:w="649" w:type="pct"/>
                  <w:gridSpan w:val="2"/>
                  <w:vMerge w:val="continue"/>
                  <w:tcBorders>
                    <w:tl2br w:val="nil"/>
                    <w:tr2bl w:val="nil"/>
                  </w:tcBorders>
                  <w:noWrap w:val="0"/>
                  <w:vAlign w:val="center"/>
                </w:tcPr>
                <w:p w14:paraId="2FA1E45E">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FF0000"/>
                      <w:sz w:val="21"/>
                      <w:szCs w:val="21"/>
                    </w:rPr>
                  </w:pPr>
                </w:p>
              </w:tc>
              <w:tc>
                <w:tcPr>
                  <w:tcW w:w="703" w:type="pct"/>
                  <w:tcBorders>
                    <w:tl2br w:val="nil"/>
                    <w:tr2bl w:val="nil"/>
                  </w:tcBorders>
                  <w:noWrap w:val="0"/>
                  <w:vAlign w:val="center"/>
                </w:tcPr>
                <w:p w14:paraId="7F682557">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生活垃圾</w:t>
                  </w:r>
                </w:p>
              </w:tc>
              <w:tc>
                <w:tcPr>
                  <w:tcW w:w="703" w:type="pct"/>
                  <w:tcBorders>
                    <w:tl2br w:val="nil"/>
                    <w:tr2bl w:val="nil"/>
                  </w:tcBorders>
                  <w:noWrap w:val="0"/>
                  <w:vAlign w:val="center"/>
                </w:tcPr>
                <w:p w14:paraId="4B138625">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垃圾桶</w:t>
                  </w:r>
                </w:p>
              </w:tc>
              <w:tc>
                <w:tcPr>
                  <w:tcW w:w="1411" w:type="pct"/>
                  <w:tcBorders>
                    <w:tl2br w:val="nil"/>
                    <w:tr2bl w:val="nil"/>
                  </w:tcBorders>
                  <w:noWrap w:val="0"/>
                  <w:vAlign w:val="center"/>
                </w:tcPr>
                <w:p w14:paraId="44D094CF">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color w:val="FF0000"/>
                      <w:sz w:val="21"/>
                      <w:szCs w:val="21"/>
                    </w:rPr>
                  </w:pPr>
                  <w:r>
                    <w:rPr>
                      <w:rFonts w:hint="eastAsia" w:cs="Times New Roman"/>
                      <w:color w:val="FF0000"/>
                      <w:sz w:val="21"/>
                      <w:szCs w:val="21"/>
                      <w:highlight w:val="none"/>
                      <w:lang w:val="en-US" w:eastAsia="zh-CN"/>
                    </w:rPr>
                    <w:t>不变</w:t>
                  </w:r>
                </w:p>
              </w:tc>
              <w:tc>
                <w:tcPr>
                  <w:tcW w:w="942" w:type="pct"/>
                  <w:tcBorders>
                    <w:tl2br w:val="nil"/>
                    <w:tr2bl w:val="nil"/>
                  </w:tcBorders>
                  <w:noWrap w:val="0"/>
                  <w:vAlign w:val="center"/>
                </w:tcPr>
                <w:p w14:paraId="3E8BC456">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jc w:val="center"/>
                    <w:textAlignment w:val="baseline"/>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auto"/>
                      <w:sz w:val="21"/>
                      <w:szCs w:val="21"/>
                      <w:lang w:val="en-US" w:eastAsia="zh-CN"/>
                    </w:rPr>
                    <w:t>依托现有</w:t>
                  </w:r>
                </w:p>
              </w:tc>
            </w:tr>
            <w:bookmarkEnd w:id="2"/>
          </w:tbl>
          <w:p w14:paraId="27A55CA2">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b/>
                <w:bCs/>
                <w:kern w:val="0"/>
                <w:sz w:val="24"/>
              </w:rPr>
            </w:pPr>
            <w:bookmarkStart w:id="4" w:name="OLE_LINK40"/>
            <w:r>
              <w:rPr>
                <w:rFonts w:hint="eastAsia"/>
                <w:b/>
                <w:bCs/>
                <w:kern w:val="0"/>
                <w:sz w:val="24"/>
              </w:rPr>
              <w:t>三、</w:t>
            </w:r>
            <w:bookmarkEnd w:id="4"/>
            <w:r>
              <w:rPr>
                <w:rFonts w:hint="eastAsia"/>
                <w:b/>
                <w:bCs/>
                <w:kern w:val="0"/>
                <w:sz w:val="24"/>
              </w:rPr>
              <w:t>产品方案</w:t>
            </w:r>
          </w:p>
          <w:p w14:paraId="3CC49619">
            <w:pPr>
              <w:pStyle w:val="9"/>
              <w:keepNext w:val="0"/>
              <w:keepLines w:val="0"/>
              <w:pageBreakBefore w:val="0"/>
              <w:widowControl w:val="0"/>
              <w:kinsoku/>
              <w:wordWrap/>
              <w:overflowPunct/>
              <w:topLinePunct w:val="0"/>
              <w:autoSpaceDE/>
              <w:autoSpaceDN/>
              <w:bidi w:val="0"/>
              <w:adjustRightInd/>
              <w:spacing w:line="360" w:lineRule="auto"/>
              <w:ind w:left="0" w:firstLine="480" w:firstLineChars="200"/>
              <w:jc w:val="left"/>
              <w:textAlignment w:val="auto"/>
              <w:rPr>
                <w:rFonts w:hint="eastAsia"/>
                <w:b w:val="0"/>
                <w:bCs w:val="0"/>
                <w:color w:val="000000" w:themeColor="text1"/>
                <w:kern w:val="2"/>
                <w:szCs w:val="24"/>
                <w14:textFill>
                  <w14:solidFill>
                    <w14:schemeClr w14:val="tx1"/>
                  </w14:solidFill>
                </w14:textFill>
              </w:rPr>
            </w:pPr>
            <w:bookmarkStart w:id="5" w:name="OLE_LINK39"/>
            <w:r>
              <w:rPr>
                <w:rFonts w:hint="eastAsia" w:cs="Times New Roman"/>
                <w:color w:val="000000" w:themeColor="text1"/>
                <w:sz w:val="24"/>
                <w:szCs w:val="24"/>
                <w:lang w:val="en-US" w:eastAsia="zh-CN" w:bidi="ar"/>
                <w14:textFill>
                  <w14:solidFill>
                    <w14:schemeClr w14:val="tx1"/>
                  </w14:solidFill>
                </w14:textFill>
              </w:rPr>
              <w:t>此次</w:t>
            </w:r>
            <w:r>
              <w:rPr>
                <w:rFonts w:hint="eastAsia"/>
                <w:b w:val="0"/>
                <w:bCs w:val="0"/>
                <w:color w:val="000000" w:themeColor="text1"/>
                <w:kern w:val="2"/>
                <w:szCs w:val="24"/>
                <w14:textFill>
                  <w14:solidFill>
                    <w14:schemeClr w14:val="tx1"/>
                  </w14:solidFill>
                </w14:textFill>
              </w:rPr>
              <w:t>锅炉技改</w:t>
            </w:r>
            <w:r>
              <w:rPr>
                <w:rFonts w:hint="eastAsia"/>
                <w:b w:val="0"/>
                <w:bCs w:val="0"/>
                <w:color w:val="000000" w:themeColor="text1"/>
                <w:kern w:val="2"/>
                <w:szCs w:val="24"/>
                <w:lang w:val="en-US" w:eastAsia="zh-CN"/>
                <w14:textFill>
                  <w14:solidFill>
                    <w14:schemeClr w14:val="tx1"/>
                  </w14:solidFill>
                </w14:textFill>
              </w:rPr>
              <w:t>项目</w:t>
            </w:r>
            <w:r>
              <w:rPr>
                <w:rFonts w:hint="eastAsia" w:cs="Times New Roman"/>
                <w:color w:val="000000" w:themeColor="text1"/>
                <w:sz w:val="24"/>
                <w:szCs w:val="24"/>
                <w:lang w:val="en-US" w:eastAsia="zh-CN"/>
                <w14:textFill>
                  <w14:solidFill>
                    <w14:schemeClr w14:val="tx1"/>
                  </w14:solidFill>
                </w14:textFill>
              </w:rPr>
              <w:t>在</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原有一台6t/h生物质锅炉基础上申请增加一台6t/h生物质锅炉</w:t>
            </w:r>
            <w:r>
              <w:rPr>
                <w:rFonts w:hint="eastAsia" w:ascii="Times New Roman" w:hAnsi="Times New Roman" w:cs="Times New Roman"/>
                <w:color w:val="000000" w:themeColor="text1"/>
                <w:sz w:val="24"/>
                <w:szCs w:val="24"/>
                <w:lang w:val="en-US" w:eastAsia="zh-CN"/>
                <w14:textFill>
                  <w14:solidFill>
                    <w14:schemeClr w14:val="tx1"/>
                  </w14:solidFill>
                </w14:textFill>
              </w:rPr>
              <w:t>，原有生物质锅炉</w:t>
            </w:r>
            <w:r>
              <w:rPr>
                <w:rFonts w:hint="eastAsia" w:cs="Times New Roman"/>
                <w:color w:val="000000" w:themeColor="text1"/>
                <w:sz w:val="24"/>
                <w:szCs w:val="24"/>
                <w:lang w:val="en-US" w:eastAsia="zh-CN"/>
                <w14:textFill>
                  <w14:solidFill>
                    <w14:schemeClr w14:val="tx1"/>
                  </w14:solidFill>
                </w14:textFill>
              </w:rPr>
              <w:t>作为备用锅炉使用</w:t>
            </w:r>
            <w:r>
              <w:rPr>
                <w:rFonts w:hint="eastAsia"/>
                <w:b w:val="0"/>
                <w:bCs w:val="0"/>
                <w:color w:val="000000" w:themeColor="text1"/>
                <w:kern w:val="2"/>
                <w:szCs w:val="24"/>
                <w14:textFill>
                  <w14:solidFill>
                    <w14:schemeClr w14:val="tx1"/>
                  </w14:solidFill>
                </w14:textFill>
              </w:rPr>
              <w:t>，</w:t>
            </w:r>
            <w:r>
              <w:rPr>
                <w:rFonts w:hint="eastAsia"/>
                <w:b w:val="0"/>
                <w:bCs w:val="0"/>
                <w:color w:val="000000" w:themeColor="text1"/>
                <w:kern w:val="2"/>
                <w:szCs w:val="24"/>
                <w:lang w:val="en-US" w:eastAsia="zh-CN"/>
                <w14:textFill>
                  <w14:solidFill>
                    <w14:schemeClr w14:val="tx1"/>
                  </w14:solidFill>
                </w14:textFill>
              </w:rPr>
              <w:t>故</w:t>
            </w:r>
            <w:r>
              <w:rPr>
                <w:rFonts w:hint="eastAsia"/>
                <w:b w:val="0"/>
                <w:bCs w:val="0"/>
                <w:color w:val="000000" w:themeColor="text1"/>
                <w:kern w:val="2"/>
                <w:szCs w:val="24"/>
                <w14:textFill>
                  <w14:solidFill>
                    <w14:schemeClr w14:val="tx1"/>
                  </w14:solidFill>
                </w14:textFill>
              </w:rPr>
              <w:t>不涉及产品产量变化。</w:t>
            </w:r>
          </w:p>
          <w:p w14:paraId="26D84AAA">
            <w:pPr>
              <w:pStyle w:val="9"/>
              <w:keepNext w:val="0"/>
              <w:keepLines w:val="0"/>
              <w:pageBreakBefore w:val="0"/>
              <w:widowControl w:val="0"/>
              <w:kinsoku/>
              <w:wordWrap/>
              <w:overflowPunct/>
              <w:topLinePunct w:val="0"/>
              <w:autoSpaceDE/>
              <w:autoSpaceDN/>
              <w:bidi w:val="0"/>
              <w:adjustRightInd/>
              <w:snapToGrid/>
              <w:spacing w:line="240" w:lineRule="auto"/>
              <w:ind w:left="0" w:firstLine="0"/>
              <w:jc w:val="center"/>
              <w:textAlignment w:val="auto"/>
              <w:rPr>
                <w:b/>
                <w:bCs/>
                <w:color w:val="000000" w:themeColor="text1"/>
                <w:kern w:val="2"/>
                <w:szCs w:val="24"/>
                <w14:textFill>
                  <w14:solidFill>
                    <w14:schemeClr w14:val="tx1"/>
                  </w14:solidFill>
                </w14:textFill>
              </w:rPr>
            </w:pPr>
            <w:r>
              <w:rPr>
                <w:rFonts w:hint="eastAsia"/>
                <w:b/>
                <w:bCs/>
                <w:color w:val="000000" w:themeColor="text1"/>
                <w:kern w:val="2"/>
                <w:szCs w:val="24"/>
                <w14:textFill>
                  <w14:solidFill>
                    <w14:schemeClr w14:val="tx1"/>
                  </w14:solidFill>
                </w14:textFill>
              </w:rPr>
              <w:t>表2-</w:t>
            </w:r>
            <w:bookmarkEnd w:id="5"/>
            <w:r>
              <w:rPr>
                <w:rFonts w:hint="eastAsia"/>
                <w:b/>
                <w:bCs/>
                <w:color w:val="000000" w:themeColor="text1"/>
                <w:kern w:val="2"/>
                <w:szCs w:val="24"/>
                <w:lang w:val="en-US" w:eastAsia="zh-CN"/>
                <w14:textFill>
                  <w14:solidFill>
                    <w14:schemeClr w14:val="tx1"/>
                  </w14:solidFill>
                </w14:textFill>
              </w:rPr>
              <w:t>2</w:t>
            </w:r>
            <w:r>
              <w:rPr>
                <w:rFonts w:hint="eastAsia"/>
                <w:b/>
                <w:bCs/>
                <w:color w:val="000000" w:themeColor="text1"/>
                <w:kern w:val="2"/>
                <w:szCs w:val="24"/>
                <w14:textFill>
                  <w14:solidFill>
                    <w14:schemeClr w14:val="tx1"/>
                  </w14:solidFill>
                </w14:textFill>
              </w:rPr>
              <w:t xml:space="preserve">  产品方案一览表</w:t>
            </w:r>
          </w:p>
          <w:tbl>
            <w:tblPr>
              <w:tblStyle w:val="27"/>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73"/>
              <w:gridCol w:w="1533"/>
              <w:gridCol w:w="1436"/>
              <w:gridCol w:w="1562"/>
              <w:gridCol w:w="2179"/>
            </w:tblGrid>
            <w:tr w14:paraId="13E31FA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77" w:hRule="atLeast"/>
                <w:jc w:val="center"/>
              </w:trPr>
              <w:tc>
                <w:tcPr>
                  <w:tcW w:w="849" w:type="pct"/>
                  <w:noWrap w:val="0"/>
                  <w:vAlign w:val="center"/>
                </w:tcPr>
                <w:p w14:paraId="01D65538">
                  <w:pPr>
                    <w:adjustRightInd w:val="0"/>
                    <w:snapToGrid w:val="0"/>
                    <w:spacing w:line="0" w:lineRule="atLeast"/>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序号</w:t>
                  </w:r>
                </w:p>
              </w:tc>
              <w:tc>
                <w:tcPr>
                  <w:tcW w:w="948" w:type="pct"/>
                  <w:noWrap w:val="0"/>
                  <w:vAlign w:val="center"/>
                </w:tcPr>
                <w:p w14:paraId="064DC3B2">
                  <w:pPr>
                    <w:adjustRightInd w:val="0"/>
                    <w:snapToGrid w:val="0"/>
                    <w:spacing w:line="0" w:lineRule="atLeas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产品名称</w:t>
                  </w:r>
                </w:p>
              </w:tc>
              <w:tc>
                <w:tcPr>
                  <w:tcW w:w="888" w:type="pct"/>
                  <w:noWrap w:val="0"/>
                  <w:vAlign w:val="center"/>
                </w:tcPr>
                <w:p w14:paraId="6AF3222E">
                  <w:pPr>
                    <w:adjustRightInd w:val="0"/>
                    <w:snapToGrid w:val="0"/>
                    <w:spacing w:line="0" w:lineRule="atLeast"/>
                    <w:jc w:val="center"/>
                    <w:rPr>
                      <w:rFonts w:hint="default" w:ascii="Times New Roman" w:hAnsi="Times New Roman" w:cs="Times New Roman"/>
                      <w:color w:val="000000" w:themeColor="text1"/>
                      <w:szCs w:val="21"/>
                      <w:lang w:bidi="ar"/>
                      <w14:textFill>
                        <w14:solidFill>
                          <w14:schemeClr w14:val="tx1"/>
                        </w14:solidFill>
                      </w14:textFill>
                    </w:rPr>
                  </w:pPr>
                  <w:r>
                    <w:rPr>
                      <w:rFonts w:hint="eastAsia" w:cs="Times New Roman"/>
                      <w:b/>
                      <w:bCs/>
                      <w:color w:val="000000" w:themeColor="text1"/>
                      <w:szCs w:val="21"/>
                      <w:lang w:val="en-US" w:eastAsia="zh-CN"/>
                      <w14:textFill>
                        <w14:solidFill>
                          <w14:schemeClr w14:val="tx1"/>
                        </w14:solidFill>
                      </w14:textFill>
                    </w:rPr>
                    <w:t>单位</w:t>
                  </w:r>
                </w:p>
              </w:tc>
              <w:tc>
                <w:tcPr>
                  <w:tcW w:w="966" w:type="pct"/>
                  <w:noWrap w:val="0"/>
                  <w:vAlign w:val="center"/>
                </w:tcPr>
                <w:p w14:paraId="4FA48082">
                  <w:pPr>
                    <w:adjustRightInd w:val="0"/>
                    <w:snapToGrid w:val="0"/>
                    <w:spacing w:line="0" w:lineRule="atLeast"/>
                    <w:jc w:val="center"/>
                    <w:rPr>
                      <w:rFonts w:hint="eastAsia" w:ascii="Times New Roman" w:hAnsi="Times New Roman" w:eastAsia="宋体" w:cs="Times New Roman"/>
                      <w:b/>
                      <w:bCs/>
                      <w:color w:val="000000" w:themeColor="text1"/>
                      <w:szCs w:val="21"/>
                      <w:lang w:val="en-US" w:eastAsia="zh-CN"/>
                      <w14:textFill>
                        <w14:solidFill>
                          <w14:schemeClr w14:val="tx1"/>
                        </w14:solidFill>
                      </w14:textFill>
                    </w:rPr>
                  </w:pPr>
                  <w:r>
                    <w:rPr>
                      <w:rFonts w:hint="eastAsia" w:cs="Times New Roman"/>
                      <w:b/>
                      <w:bCs/>
                      <w:color w:val="000000" w:themeColor="text1"/>
                      <w:szCs w:val="21"/>
                      <w:lang w:val="en-US" w:eastAsia="zh-CN"/>
                      <w14:textFill>
                        <w14:solidFill>
                          <w14:schemeClr w14:val="tx1"/>
                        </w14:solidFill>
                      </w14:textFill>
                    </w:rPr>
                    <w:t>用量</w:t>
                  </w:r>
                </w:p>
              </w:tc>
              <w:tc>
                <w:tcPr>
                  <w:tcW w:w="1347" w:type="pct"/>
                  <w:noWrap w:val="0"/>
                  <w:vAlign w:val="center"/>
                </w:tcPr>
                <w:p w14:paraId="741BCC1C">
                  <w:pPr>
                    <w:adjustRightInd w:val="0"/>
                    <w:snapToGrid w:val="0"/>
                    <w:spacing w:line="0" w:lineRule="atLeast"/>
                    <w:jc w:val="center"/>
                    <w:rPr>
                      <w:rFonts w:hint="default" w:cs="Times New Roman"/>
                      <w:b/>
                      <w:bCs/>
                      <w:color w:val="000000" w:themeColor="text1"/>
                      <w:szCs w:val="21"/>
                      <w:lang w:val="en-US" w:eastAsia="zh-CN"/>
                      <w14:textFill>
                        <w14:solidFill>
                          <w14:schemeClr w14:val="tx1"/>
                        </w14:solidFill>
                      </w14:textFill>
                    </w:rPr>
                  </w:pPr>
                  <w:r>
                    <w:rPr>
                      <w:rFonts w:hint="eastAsia" w:cs="Times New Roman"/>
                      <w:b/>
                      <w:bCs/>
                      <w:color w:val="000000" w:themeColor="text1"/>
                      <w:szCs w:val="21"/>
                      <w:lang w:val="en-US" w:eastAsia="zh-CN"/>
                      <w14:textFill>
                        <w14:solidFill>
                          <w14:schemeClr w14:val="tx1"/>
                        </w14:solidFill>
                      </w14:textFill>
                    </w:rPr>
                    <w:t>备注</w:t>
                  </w:r>
                </w:p>
              </w:tc>
            </w:tr>
            <w:tr w14:paraId="230E457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49" w:type="pct"/>
                  <w:noWrap w:val="0"/>
                  <w:vAlign w:val="center"/>
                </w:tcPr>
                <w:p w14:paraId="6FC02812">
                  <w:pPr>
                    <w:adjustRightInd w:val="0"/>
                    <w:snapToGrid w:val="0"/>
                    <w:spacing w:line="0" w:lineRule="atLeas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w:t>
                  </w:r>
                </w:p>
              </w:tc>
              <w:tc>
                <w:tcPr>
                  <w:tcW w:w="948" w:type="pct"/>
                  <w:noWrap w:val="0"/>
                  <w:vAlign w:val="center"/>
                </w:tcPr>
                <w:p w14:paraId="3B87D89C">
                  <w:pPr>
                    <w:adjustRightInd w:val="0"/>
                    <w:snapToGrid w:val="0"/>
                    <w:spacing w:line="0" w:lineRule="atLeast"/>
                    <w:jc w:val="center"/>
                    <w:rPr>
                      <w:rFonts w:hint="default" w:ascii="Times New Roman" w:hAnsi="Times New Roman" w:cs="Times New Roman"/>
                      <w:color w:val="000000" w:themeColor="text1"/>
                      <w:szCs w:val="21"/>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蒸汽</w:t>
                  </w:r>
                </w:p>
              </w:tc>
              <w:tc>
                <w:tcPr>
                  <w:tcW w:w="888" w:type="pct"/>
                  <w:noWrap w:val="0"/>
                  <w:vAlign w:val="center"/>
                </w:tcPr>
                <w:p w14:paraId="4F521F5E">
                  <w:pPr>
                    <w:adjustRightInd w:val="0"/>
                    <w:snapToGrid w:val="0"/>
                    <w:spacing w:line="0" w:lineRule="atLeast"/>
                    <w:jc w:val="center"/>
                    <w:rPr>
                      <w:rFonts w:hint="default" w:ascii="Times New Roman" w:hAnsi="Times New Roman" w:eastAsia="宋体" w:cs="Times New Roman"/>
                      <w:color w:val="000000" w:themeColor="text1"/>
                      <w:szCs w:val="21"/>
                      <w:lang w:val="en-US" w:eastAsia="zh-CN" w:bidi="ar"/>
                      <w14:textFill>
                        <w14:solidFill>
                          <w14:schemeClr w14:val="tx1"/>
                        </w14:solidFill>
                      </w14:textFill>
                    </w:rPr>
                  </w:pPr>
                  <w:r>
                    <w:rPr>
                      <w:rFonts w:hint="eastAsia" w:cs="Times New Roman"/>
                      <w:color w:val="000000" w:themeColor="text1"/>
                      <w:szCs w:val="21"/>
                      <w:lang w:val="en-US" w:eastAsia="zh-CN" w:bidi="ar"/>
                      <w14:textFill>
                        <w14:solidFill>
                          <w14:schemeClr w14:val="tx1"/>
                        </w14:solidFill>
                      </w14:textFill>
                    </w:rPr>
                    <w:t>t/a</w:t>
                  </w:r>
                </w:p>
              </w:tc>
              <w:tc>
                <w:tcPr>
                  <w:tcW w:w="966" w:type="pct"/>
                  <w:shd w:val="clear" w:color="auto" w:fill="auto"/>
                  <w:noWrap w:val="0"/>
                  <w:vAlign w:val="center"/>
                </w:tcPr>
                <w:p w14:paraId="07DA2468">
                  <w:pPr>
                    <w:adjustRightInd w:val="0"/>
                    <w:snapToGrid w:val="0"/>
                    <w:spacing w:line="0" w:lineRule="atLeast"/>
                    <w:jc w:val="cente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eastAsia" w:cs="Times New Roman"/>
                      <w:color w:val="000000" w:themeColor="text1"/>
                      <w:szCs w:val="21"/>
                      <w:lang w:val="en-US" w:eastAsia="zh-CN" w:bidi="ar"/>
                      <w14:textFill>
                        <w14:solidFill>
                          <w14:schemeClr w14:val="tx1"/>
                        </w14:solidFill>
                      </w14:textFill>
                    </w:rPr>
                    <w:t>23715</w:t>
                  </w:r>
                </w:p>
              </w:tc>
              <w:tc>
                <w:tcPr>
                  <w:tcW w:w="1347" w:type="pct"/>
                  <w:shd w:val="clear" w:color="auto" w:fill="auto"/>
                  <w:noWrap w:val="0"/>
                  <w:vAlign w:val="center"/>
                </w:tcPr>
                <w:p w14:paraId="7A8C1152">
                  <w:pPr>
                    <w:adjustRightInd w:val="0"/>
                    <w:snapToGrid w:val="0"/>
                    <w:spacing w:line="0" w:lineRule="atLeast"/>
                    <w:jc w:val="center"/>
                    <w:rPr>
                      <w:rFonts w:hint="default" w:cs="Times New Roman"/>
                      <w:color w:val="000000" w:themeColor="text1"/>
                      <w:szCs w:val="21"/>
                      <w:lang w:val="en-US" w:eastAsia="zh-CN" w:bidi="ar"/>
                      <w14:textFill>
                        <w14:solidFill>
                          <w14:schemeClr w14:val="tx1"/>
                        </w14:solidFill>
                      </w14:textFill>
                    </w:rPr>
                  </w:pPr>
                  <w:r>
                    <w:rPr>
                      <w:rFonts w:hint="eastAsia" w:cs="Times New Roman"/>
                      <w:color w:val="FF0000"/>
                      <w:szCs w:val="21"/>
                      <w:lang w:val="en-US" w:eastAsia="zh-CN" w:bidi="ar"/>
                    </w:rPr>
                    <w:t>新增生物质锅炉按最大运行时长以4650h计</w:t>
                  </w:r>
                </w:p>
              </w:tc>
            </w:tr>
          </w:tbl>
          <w:p w14:paraId="710CBEA5">
            <w:pPr>
              <w:pStyle w:val="17"/>
              <w:spacing w:line="360" w:lineRule="auto"/>
              <w:ind w:firstLine="482" w:firstLineChars="200"/>
              <w:rPr>
                <w:rFonts w:hint="eastAsia" w:ascii="Times New Roman" w:hAnsi="Times New Roman" w:eastAsia="宋体"/>
                <w:b/>
                <w:bCs/>
                <w:sz w:val="24"/>
                <w:szCs w:val="24"/>
                <w:lang w:val="en-US" w:eastAsia="zh-CN"/>
              </w:rPr>
            </w:pPr>
            <w:r>
              <w:rPr>
                <w:rFonts w:hint="eastAsia" w:ascii="Times New Roman" w:hAnsi="Times New Roman"/>
                <w:b/>
                <w:bCs/>
                <w:sz w:val="24"/>
                <w:szCs w:val="24"/>
              </w:rPr>
              <w:t>四、主要设备</w:t>
            </w:r>
          </w:p>
          <w:p w14:paraId="71895862">
            <w:pPr>
              <w:spacing w:line="360" w:lineRule="auto"/>
              <w:ind w:firstLine="480" w:firstLineChars="200"/>
              <w:jc w:val="left"/>
            </w:pPr>
            <w:r>
              <w:rPr>
                <w:rFonts w:hint="eastAsia" w:cs="Times New Roman"/>
                <w:color w:val="000000" w:themeColor="text1"/>
                <w:sz w:val="24"/>
                <w:szCs w:val="24"/>
                <w:lang w:val="en-US" w:eastAsia="zh-CN" w:bidi="ar"/>
                <w14:textFill>
                  <w14:solidFill>
                    <w14:schemeClr w14:val="tx1"/>
                  </w14:solidFill>
                </w14:textFill>
              </w:rPr>
              <w:t>此次</w:t>
            </w:r>
            <w:r>
              <w:rPr>
                <w:rFonts w:hint="eastAsia"/>
                <w:color w:val="000000" w:themeColor="text1"/>
                <w:sz w:val="24"/>
                <w14:textFill>
                  <w14:solidFill>
                    <w14:schemeClr w14:val="tx1"/>
                  </w14:solidFill>
                </w14:textFill>
              </w:rPr>
              <w:t>技改</w:t>
            </w:r>
            <w:r>
              <w:rPr>
                <w:rFonts w:hint="eastAsia" w:cs="Times New Roman"/>
                <w:color w:val="000000" w:themeColor="text1"/>
                <w:sz w:val="24"/>
                <w:szCs w:val="24"/>
                <w:lang w:val="en-US" w:eastAsia="zh-CN" w:bidi="ar"/>
                <w14:textFill>
                  <w14:solidFill>
                    <w14:schemeClr w14:val="tx1"/>
                  </w14:solidFill>
                </w14:textFill>
              </w:rPr>
              <w:t>项目</w:t>
            </w:r>
            <w:r>
              <w:rPr>
                <w:rFonts w:hint="eastAsia" w:cs="Times New Roman"/>
                <w:color w:val="000000" w:themeColor="text1"/>
                <w:sz w:val="24"/>
                <w:szCs w:val="24"/>
                <w:lang w:val="en-US" w:eastAsia="zh-CN"/>
                <w14:textFill>
                  <w14:solidFill>
                    <w14:schemeClr w14:val="tx1"/>
                  </w14:solidFill>
                </w14:textFill>
              </w:rPr>
              <w:t>在</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原有一台6t/h生物质锅炉基础上申请增加一台6t/h生物质锅炉</w:t>
            </w:r>
            <w:r>
              <w:rPr>
                <w:rFonts w:hint="eastAsia" w:ascii="Times New Roman" w:hAnsi="Times New Roman" w:cs="Times New Roman"/>
                <w:color w:val="000000" w:themeColor="text1"/>
                <w:sz w:val="24"/>
                <w:szCs w:val="24"/>
                <w:lang w:val="en-US" w:eastAsia="zh-CN"/>
                <w14:textFill>
                  <w14:solidFill>
                    <w14:schemeClr w14:val="tx1"/>
                  </w14:solidFill>
                </w14:textFill>
              </w:rPr>
              <w:t>，</w:t>
            </w:r>
            <w:r>
              <w:rPr>
                <w:rFonts w:hint="eastAsia" w:cs="Times New Roman"/>
                <w:color w:val="auto"/>
                <w:sz w:val="24"/>
                <w:szCs w:val="24"/>
                <w:lang w:val="en-US" w:eastAsia="zh-CN"/>
              </w:rPr>
              <w:t>原有锅炉</w:t>
            </w:r>
            <w:r>
              <w:rPr>
                <w:rFonts w:hint="eastAsia" w:cs="Times New Roman"/>
                <w:color w:val="000000" w:themeColor="text1"/>
                <w:sz w:val="24"/>
                <w:szCs w:val="24"/>
                <w:lang w:val="en-US" w:eastAsia="zh-CN"/>
                <w14:textFill>
                  <w14:solidFill>
                    <w14:schemeClr w14:val="tx1"/>
                  </w14:solidFill>
                </w14:textFill>
              </w:rPr>
              <w:t>作为备用锅炉使用，并配套相应烟气处理设施；锅炉所用软水依托现有软水制备系统，现有项目其余生产设备不发生变化。</w:t>
            </w:r>
            <w:r>
              <w:rPr>
                <w:rFonts w:hint="eastAsia"/>
                <w:color w:val="000000" w:themeColor="text1"/>
                <w:sz w:val="24"/>
                <w14:textFill>
                  <w14:solidFill>
                    <w14:schemeClr w14:val="tx1"/>
                  </w14:solidFill>
                </w14:textFill>
              </w:rPr>
              <w:t>主要生产设备见表 2-</w:t>
            </w:r>
            <w:r>
              <w:rPr>
                <w:rFonts w:hint="eastAsia"/>
                <w:color w:val="000000" w:themeColor="text1"/>
                <w:sz w:val="24"/>
                <w:lang w:val="en-US" w:eastAsia="zh-CN"/>
                <w14:textFill>
                  <w14:solidFill>
                    <w14:schemeClr w14:val="tx1"/>
                  </w14:solidFill>
                </w14:textFill>
              </w:rPr>
              <w:t>3</w:t>
            </w:r>
            <w:r>
              <w:rPr>
                <w:rFonts w:hint="eastAsia"/>
                <w:color w:val="000000" w:themeColor="text1"/>
                <w:sz w:val="24"/>
                <w14:textFill>
                  <w14:solidFill>
                    <w14:schemeClr w14:val="tx1"/>
                  </w14:solidFill>
                </w14:textFill>
              </w:rPr>
              <w:t>。</w:t>
            </w:r>
          </w:p>
          <w:p w14:paraId="0171FE72">
            <w:pPr>
              <w:pStyle w:val="9"/>
              <w:autoSpaceDE/>
              <w:autoSpaceDN/>
              <w:adjustRightInd/>
              <w:spacing w:line="240" w:lineRule="auto"/>
              <w:ind w:left="0" w:firstLine="0"/>
              <w:jc w:val="center"/>
              <w:textAlignment w:val="auto"/>
              <w:rPr>
                <w:rFonts w:hint="eastAsia"/>
                <w:b/>
                <w:bCs/>
                <w:color w:val="000000" w:themeColor="text1"/>
                <w:kern w:val="2"/>
                <w:szCs w:val="24"/>
                <w14:textFill>
                  <w14:solidFill>
                    <w14:schemeClr w14:val="tx1"/>
                  </w14:solidFill>
                </w14:textFill>
              </w:rPr>
            </w:pPr>
            <w:r>
              <w:rPr>
                <w:rFonts w:hint="eastAsia"/>
                <w:b/>
                <w:bCs/>
                <w:color w:val="000000" w:themeColor="text1"/>
                <w:kern w:val="2"/>
                <w:szCs w:val="24"/>
                <w14:textFill>
                  <w14:solidFill>
                    <w14:schemeClr w14:val="tx1"/>
                  </w14:solidFill>
                </w14:textFill>
              </w:rPr>
              <w:t>表2-</w:t>
            </w:r>
            <w:r>
              <w:rPr>
                <w:rFonts w:hint="eastAsia"/>
                <w:b/>
                <w:bCs/>
                <w:color w:val="000000" w:themeColor="text1"/>
                <w:kern w:val="2"/>
                <w:szCs w:val="24"/>
                <w:lang w:val="en-US" w:eastAsia="zh-CN"/>
                <w14:textFill>
                  <w14:solidFill>
                    <w14:schemeClr w14:val="tx1"/>
                  </w14:solidFill>
                </w14:textFill>
              </w:rPr>
              <w:t>3</w:t>
            </w:r>
            <w:r>
              <w:rPr>
                <w:rFonts w:hint="eastAsia"/>
                <w:b/>
                <w:bCs/>
                <w:color w:val="000000" w:themeColor="text1"/>
                <w:kern w:val="2"/>
                <w:szCs w:val="24"/>
                <w14:textFill>
                  <w14:solidFill>
                    <w14:schemeClr w14:val="tx1"/>
                  </w14:solidFill>
                </w14:textFill>
              </w:rPr>
              <w:t xml:space="preserve">  主要生产设备表</w:t>
            </w:r>
          </w:p>
          <w:tbl>
            <w:tblPr>
              <w:tblStyle w:val="27"/>
              <w:tblW w:w="4996"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30"/>
              <w:gridCol w:w="1598"/>
              <w:gridCol w:w="1358"/>
              <w:gridCol w:w="1949"/>
              <w:gridCol w:w="1455"/>
              <w:gridCol w:w="1190"/>
            </w:tblGrid>
            <w:tr w14:paraId="372A583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28" w:type="pct"/>
                  <w:noWrap w:val="0"/>
                  <w:vAlign w:val="center"/>
                </w:tcPr>
                <w:p w14:paraId="4DFC7CE7">
                  <w:pPr>
                    <w:adjustRightInd w:val="0"/>
                    <w:snapToGrid w:val="0"/>
                    <w:jc w:val="center"/>
                    <w:rPr>
                      <w:rFonts w:hint="default" w:ascii="Times New Roman" w:hAnsi="Times New Roman" w:cs="Times New Roman"/>
                      <w:b/>
                      <w:bCs/>
                      <w:snapToGrid w:val="0"/>
                      <w:color w:val="auto"/>
                      <w:szCs w:val="21"/>
                    </w:rPr>
                  </w:pPr>
                  <w:r>
                    <w:rPr>
                      <w:rFonts w:hint="default" w:ascii="Times New Roman" w:hAnsi="Times New Roman" w:cs="Times New Roman"/>
                      <w:b/>
                      <w:bCs/>
                      <w:snapToGrid w:val="0"/>
                      <w:color w:val="auto"/>
                      <w:szCs w:val="21"/>
                    </w:rPr>
                    <w:t>序号</w:t>
                  </w:r>
                </w:p>
              </w:tc>
              <w:tc>
                <w:tcPr>
                  <w:tcW w:w="988" w:type="pct"/>
                  <w:noWrap w:val="0"/>
                  <w:vAlign w:val="center"/>
                </w:tcPr>
                <w:p w14:paraId="724923A3">
                  <w:pPr>
                    <w:adjustRightInd w:val="0"/>
                    <w:snapToGrid w:val="0"/>
                    <w:jc w:val="center"/>
                    <w:rPr>
                      <w:rFonts w:hint="default" w:ascii="Times New Roman" w:hAnsi="Times New Roman" w:cs="Times New Roman"/>
                      <w:b/>
                      <w:bCs/>
                      <w:snapToGrid w:val="0"/>
                      <w:color w:val="auto"/>
                      <w:szCs w:val="21"/>
                    </w:rPr>
                  </w:pPr>
                  <w:r>
                    <w:rPr>
                      <w:rFonts w:hint="default" w:ascii="Times New Roman" w:hAnsi="Times New Roman" w:cs="Times New Roman"/>
                      <w:b/>
                      <w:bCs/>
                      <w:snapToGrid w:val="0"/>
                      <w:color w:val="auto"/>
                      <w:szCs w:val="21"/>
                    </w:rPr>
                    <w:t>名称</w:t>
                  </w:r>
                </w:p>
              </w:tc>
              <w:tc>
                <w:tcPr>
                  <w:tcW w:w="840" w:type="pct"/>
                  <w:noWrap w:val="0"/>
                  <w:vAlign w:val="center"/>
                </w:tcPr>
                <w:p w14:paraId="57F61C66">
                  <w:pPr>
                    <w:adjustRightInd w:val="0"/>
                    <w:snapToGrid w:val="0"/>
                    <w:jc w:val="center"/>
                    <w:rPr>
                      <w:rFonts w:hint="default" w:ascii="Times New Roman" w:hAnsi="Times New Roman" w:cs="Times New Roman"/>
                      <w:b/>
                      <w:bCs/>
                      <w:snapToGrid w:val="0"/>
                      <w:color w:val="auto"/>
                      <w:szCs w:val="21"/>
                    </w:rPr>
                  </w:pPr>
                  <w:r>
                    <w:rPr>
                      <w:rFonts w:hint="default" w:ascii="Times New Roman" w:hAnsi="Times New Roman" w:cs="Times New Roman"/>
                      <w:b/>
                      <w:bCs/>
                      <w:snapToGrid w:val="0"/>
                      <w:color w:val="auto"/>
                      <w:szCs w:val="21"/>
                    </w:rPr>
                    <w:t>型号</w:t>
                  </w:r>
                </w:p>
              </w:tc>
              <w:tc>
                <w:tcPr>
                  <w:tcW w:w="1205" w:type="pct"/>
                  <w:noWrap w:val="0"/>
                  <w:vAlign w:val="center"/>
                </w:tcPr>
                <w:p w14:paraId="604561E1">
                  <w:pPr>
                    <w:adjustRightInd w:val="0"/>
                    <w:snapToGrid w:val="0"/>
                    <w:jc w:val="center"/>
                    <w:rPr>
                      <w:rFonts w:hint="default" w:ascii="Times New Roman" w:hAnsi="Times New Roman" w:cs="Times New Roman"/>
                      <w:b/>
                      <w:bCs/>
                      <w:snapToGrid w:val="0"/>
                      <w:color w:val="auto"/>
                      <w:szCs w:val="21"/>
                    </w:rPr>
                  </w:pPr>
                  <w:r>
                    <w:rPr>
                      <w:rFonts w:hint="eastAsia" w:cs="Times New Roman"/>
                      <w:b/>
                      <w:bCs/>
                      <w:snapToGrid w:val="0"/>
                      <w:color w:val="auto"/>
                      <w:szCs w:val="21"/>
                      <w:lang w:val="en-US" w:eastAsia="zh-CN"/>
                    </w:rPr>
                    <w:t>现有设备数量</w:t>
                  </w:r>
                </w:p>
              </w:tc>
              <w:tc>
                <w:tcPr>
                  <w:tcW w:w="900" w:type="pct"/>
                  <w:noWrap w:val="0"/>
                  <w:vAlign w:val="center"/>
                </w:tcPr>
                <w:p w14:paraId="17D8E6F4">
                  <w:pPr>
                    <w:adjustRightInd w:val="0"/>
                    <w:snapToGrid w:val="0"/>
                    <w:jc w:val="center"/>
                    <w:rPr>
                      <w:rFonts w:hint="eastAsia" w:ascii="Times New Roman" w:hAnsi="Times New Roman" w:eastAsia="宋体" w:cs="Times New Roman"/>
                      <w:b/>
                      <w:bCs/>
                      <w:snapToGrid w:val="0"/>
                      <w:color w:val="auto"/>
                      <w:szCs w:val="21"/>
                      <w:lang w:eastAsia="zh-CN"/>
                    </w:rPr>
                  </w:pPr>
                  <w:r>
                    <w:rPr>
                      <w:rFonts w:hint="eastAsia" w:cs="Times New Roman"/>
                      <w:b/>
                      <w:bCs/>
                      <w:snapToGrid w:val="0"/>
                      <w:color w:val="auto"/>
                      <w:szCs w:val="21"/>
                      <w:lang w:val="en-US" w:eastAsia="zh-CN"/>
                    </w:rPr>
                    <w:t>技改后设备数量</w:t>
                  </w:r>
                </w:p>
              </w:tc>
              <w:tc>
                <w:tcPr>
                  <w:tcW w:w="735" w:type="pct"/>
                  <w:noWrap w:val="0"/>
                  <w:vAlign w:val="center"/>
                </w:tcPr>
                <w:p w14:paraId="4BA61E21">
                  <w:pPr>
                    <w:adjustRightInd w:val="0"/>
                    <w:snapToGrid w:val="0"/>
                    <w:jc w:val="center"/>
                    <w:rPr>
                      <w:rFonts w:hint="default" w:cs="Times New Roman"/>
                      <w:b/>
                      <w:bCs/>
                      <w:snapToGrid w:val="0"/>
                      <w:color w:val="FF0000"/>
                      <w:szCs w:val="21"/>
                      <w:lang w:val="en-US" w:eastAsia="zh-CN"/>
                    </w:rPr>
                  </w:pPr>
                  <w:r>
                    <w:rPr>
                      <w:rFonts w:hint="eastAsia" w:cs="Times New Roman"/>
                      <w:b/>
                      <w:bCs/>
                      <w:snapToGrid w:val="0"/>
                      <w:color w:val="FF0000"/>
                      <w:szCs w:val="21"/>
                      <w:lang w:val="en-US" w:eastAsia="zh-CN"/>
                    </w:rPr>
                    <w:t>变化情况</w:t>
                  </w:r>
                </w:p>
              </w:tc>
            </w:tr>
            <w:tr w14:paraId="3E5DE3D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4" w:hRule="atLeast"/>
                <w:jc w:val="center"/>
              </w:trPr>
              <w:tc>
                <w:tcPr>
                  <w:tcW w:w="328" w:type="pct"/>
                  <w:noWrap w:val="0"/>
                  <w:vAlign w:val="center"/>
                </w:tcPr>
                <w:p w14:paraId="3EBE3BB8">
                  <w:pPr>
                    <w:adjustRightInd w:val="0"/>
                    <w:snapToGrid w:val="0"/>
                    <w:jc w:val="center"/>
                    <w:rPr>
                      <w:rFonts w:hint="default" w:ascii="Times New Roman" w:hAnsi="Times New Roman" w:cs="Times New Roman"/>
                      <w:snapToGrid w:val="0"/>
                      <w:color w:val="auto"/>
                      <w:szCs w:val="21"/>
                    </w:rPr>
                  </w:pPr>
                  <w:r>
                    <w:rPr>
                      <w:rFonts w:hint="default" w:ascii="Times New Roman" w:hAnsi="Times New Roman" w:cs="Times New Roman"/>
                      <w:snapToGrid w:val="0"/>
                      <w:color w:val="000000" w:themeColor="text1"/>
                      <w:szCs w:val="21"/>
                      <w14:textFill>
                        <w14:solidFill>
                          <w14:schemeClr w14:val="tx1"/>
                        </w14:solidFill>
                      </w14:textFill>
                    </w:rPr>
                    <w:t>1</w:t>
                  </w:r>
                </w:p>
              </w:tc>
              <w:tc>
                <w:tcPr>
                  <w:tcW w:w="988" w:type="pct"/>
                  <w:noWrap w:val="0"/>
                  <w:vAlign w:val="center"/>
                </w:tcPr>
                <w:p w14:paraId="40143EA5">
                  <w:pPr>
                    <w:adjustRightInd w:val="0"/>
                    <w:snapToGrid w:val="0"/>
                    <w:jc w:val="center"/>
                    <w:rPr>
                      <w:rFonts w:hint="default" w:ascii="Times New Roman" w:hAnsi="Times New Roman" w:eastAsia="宋体" w:cs="Times New Roman"/>
                      <w:snapToGrid w:val="0"/>
                      <w:color w:val="auto"/>
                      <w:szCs w:val="21"/>
                      <w:lang w:val="en-US" w:eastAsia="zh-CN"/>
                    </w:rPr>
                  </w:pPr>
                  <w:r>
                    <w:rPr>
                      <w:rFonts w:hint="eastAsia" w:cs="Times New Roman"/>
                      <w:snapToGrid w:val="0"/>
                      <w:color w:val="000000" w:themeColor="text1"/>
                      <w:szCs w:val="21"/>
                      <w:lang w:val="en-US" w:eastAsia="zh-CN"/>
                      <w14:textFill>
                        <w14:solidFill>
                          <w14:schemeClr w14:val="tx1"/>
                        </w14:solidFill>
                      </w14:textFill>
                    </w:rPr>
                    <w:t>生物质蒸汽锅炉</w:t>
                  </w:r>
                </w:p>
              </w:tc>
              <w:tc>
                <w:tcPr>
                  <w:tcW w:w="840" w:type="pct"/>
                  <w:noWrap w:val="0"/>
                  <w:vAlign w:val="center"/>
                </w:tcPr>
                <w:p w14:paraId="006B69E8">
                  <w:pPr>
                    <w:adjustRightInd w:val="0"/>
                    <w:snapToGrid w:val="0"/>
                    <w:jc w:val="center"/>
                    <w:rPr>
                      <w:rFonts w:hint="default" w:ascii="Times New Roman" w:hAnsi="Times New Roman" w:eastAsia="宋体" w:cs="Times New Roman"/>
                      <w:snapToGrid w:val="0"/>
                      <w:color w:val="FF0000"/>
                      <w:szCs w:val="21"/>
                      <w:lang w:val="en-US" w:eastAsia="zh-CN"/>
                    </w:rPr>
                  </w:pPr>
                  <w:r>
                    <w:rPr>
                      <w:rFonts w:hint="default" w:ascii="Times New Roman" w:hAnsi="Times New Roman" w:cs="Times New Roman"/>
                      <w:color w:val="FF0000"/>
                      <w:sz w:val="21"/>
                      <w:szCs w:val="21"/>
                      <w:lang w:val="en-US" w:eastAsia="zh-CN"/>
                    </w:rPr>
                    <w:t>DZL</w:t>
                  </w:r>
                  <w:r>
                    <w:rPr>
                      <w:rFonts w:hint="eastAsia" w:ascii="Times New Roman" w:hAnsi="Times New Roman" w:cs="Times New Roman"/>
                      <w:color w:val="FF0000"/>
                      <w:sz w:val="21"/>
                      <w:szCs w:val="21"/>
                      <w:lang w:val="en-US" w:eastAsia="zh-CN"/>
                    </w:rPr>
                    <w:t>6</w:t>
                  </w:r>
                  <w:r>
                    <w:rPr>
                      <w:rFonts w:hint="default" w:ascii="Times New Roman" w:hAnsi="Times New Roman" w:cs="Times New Roman"/>
                      <w:color w:val="FF0000"/>
                      <w:sz w:val="21"/>
                      <w:szCs w:val="21"/>
                      <w:lang w:val="en-US" w:eastAsia="zh-CN"/>
                    </w:rPr>
                    <w:t>-1.25-S</w:t>
                  </w:r>
                </w:p>
              </w:tc>
              <w:tc>
                <w:tcPr>
                  <w:tcW w:w="1205" w:type="pct"/>
                  <w:noWrap w:val="0"/>
                  <w:vAlign w:val="center"/>
                </w:tcPr>
                <w:p w14:paraId="3521861A">
                  <w:pPr>
                    <w:adjustRightInd w:val="0"/>
                    <w:snapToGrid w:val="0"/>
                    <w:jc w:val="center"/>
                    <w:rPr>
                      <w:rFonts w:hint="default" w:ascii="Times New Roman" w:hAnsi="Times New Roman" w:cs="Times New Roman"/>
                      <w:snapToGrid w:val="0"/>
                      <w:color w:val="auto"/>
                      <w:szCs w:val="21"/>
                    </w:rPr>
                  </w:pPr>
                  <w:r>
                    <w:rPr>
                      <w:rFonts w:hint="eastAsia" w:cs="Times New Roman"/>
                      <w:color w:val="000000" w:themeColor="text1"/>
                      <w:lang w:val="en-US" w:eastAsia="zh-CN"/>
                      <w14:textFill>
                        <w14:solidFill>
                          <w14:schemeClr w14:val="tx1"/>
                        </w14:solidFill>
                      </w14:textFill>
                    </w:rPr>
                    <w:t>1</w:t>
                  </w:r>
                  <w:r>
                    <w:rPr>
                      <w:rFonts w:hint="default" w:ascii="Times New Roman" w:hAnsi="Times New Roman" w:cs="Times New Roman"/>
                      <w:color w:val="000000" w:themeColor="text1"/>
                      <w14:textFill>
                        <w14:solidFill>
                          <w14:schemeClr w14:val="tx1"/>
                        </w14:solidFill>
                      </w14:textFill>
                    </w:rPr>
                    <w:t>台</w:t>
                  </w:r>
                </w:p>
              </w:tc>
              <w:tc>
                <w:tcPr>
                  <w:tcW w:w="900" w:type="pct"/>
                  <w:noWrap w:val="0"/>
                  <w:vAlign w:val="center"/>
                </w:tcPr>
                <w:p w14:paraId="10AC01A8">
                  <w:pPr>
                    <w:adjustRightInd w:val="0"/>
                    <w:snapToGrid w:val="0"/>
                    <w:jc w:val="center"/>
                    <w:rPr>
                      <w:rFonts w:hint="default" w:ascii="Times New Roman" w:hAnsi="Times New Roman" w:eastAsia="宋体" w:cs="Times New Roman"/>
                      <w:color w:val="FF0000"/>
                      <w:lang w:val="en-US" w:eastAsia="zh-CN"/>
                    </w:rPr>
                  </w:pPr>
                  <w:r>
                    <w:rPr>
                      <w:rFonts w:hint="eastAsia" w:cs="Times New Roman"/>
                      <w:color w:val="auto"/>
                      <w:lang w:val="en-US" w:eastAsia="zh-CN"/>
                    </w:rPr>
                    <w:t>2</w:t>
                  </w:r>
                  <w:r>
                    <w:rPr>
                      <w:rFonts w:hint="default" w:ascii="Times New Roman" w:hAnsi="Times New Roman" w:cs="Times New Roman"/>
                      <w:color w:val="auto"/>
                    </w:rPr>
                    <w:t>台</w:t>
                  </w:r>
                </w:p>
              </w:tc>
              <w:tc>
                <w:tcPr>
                  <w:tcW w:w="735" w:type="pct"/>
                  <w:noWrap w:val="0"/>
                  <w:vAlign w:val="center"/>
                </w:tcPr>
                <w:p w14:paraId="784CDF85">
                  <w:pPr>
                    <w:adjustRightInd w:val="0"/>
                    <w:snapToGrid w:val="0"/>
                    <w:jc w:val="center"/>
                    <w:rPr>
                      <w:rFonts w:hint="default" w:cs="Times New Roman"/>
                      <w:color w:val="FF0000"/>
                      <w:lang w:val="en-US" w:eastAsia="zh-CN"/>
                    </w:rPr>
                  </w:pPr>
                  <w:r>
                    <w:rPr>
                      <w:rFonts w:hint="eastAsia" w:cs="Times New Roman"/>
                      <w:color w:val="FF0000"/>
                      <w:lang w:val="en-US" w:eastAsia="zh-CN"/>
                    </w:rPr>
                    <w:t>+1台</w:t>
                  </w:r>
                </w:p>
              </w:tc>
            </w:tr>
            <w:tr w14:paraId="2D14E71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8" w:type="pct"/>
                  <w:noWrap w:val="0"/>
                  <w:vAlign w:val="center"/>
                </w:tcPr>
                <w:p w14:paraId="35E46EE3">
                  <w:pPr>
                    <w:adjustRightInd w:val="0"/>
                    <w:snapToGrid w:val="0"/>
                    <w:jc w:val="center"/>
                    <w:rPr>
                      <w:rFonts w:hint="eastAsia" w:ascii="Times New Roman" w:hAnsi="Times New Roman" w:eastAsia="宋体" w:cs="Times New Roman"/>
                      <w:snapToGrid w:val="0"/>
                      <w:color w:val="auto"/>
                      <w:szCs w:val="21"/>
                      <w:lang w:val="en-US" w:eastAsia="zh-CN"/>
                    </w:rPr>
                  </w:pPr>
                  <w:r>
                    <w:rPr>
                      <w:rFonts w:hint="eastAsia" w:cs="Times New Roman"/>
                      <w:snapToGrid w:val="0"/>
                      <w:color w:val="000000" w:themeColor="text1"/>
                      <w:szCs w:val="21"/>
                      <w:lang w:val="en-US" w:eastAsia="zh-CN"/>
                      <w14:textFill>
                        <w14:solidFill>
                          <w14:schemeClr w14:val="tx1"/>
                        </w14:solidFill>
                      </w14:textFill>
                    </w:rPr>
                    <w:t>2</w:t>
                  </w:r>
                </w:p>
              </w:tc>
              <w:tc>
                <w:tcPr>
                  <w:tcW w:w="988" w:type="pct"/>
                  <w:noWrap w:val="0"/>
                  <w:vAlign w:val="center"/>
                </w:tcPr>
                <w:p w14:paraId="690256DB">
                  <w:pPr>
                    <w:adjustRightInd w:val="0"/>
                    <w:snapToGrid w:val="0"/>
                    <w:jc w:val="center"/>
                    <w:rPr>
                      <w:rFonts w:hint="default" w:cs="Times New Roman"/>
                      <w:snapToGrid w:val="0"/>
                      <w:color w:val="auto"/>
                      <w:szCs w:val="21"/>
                      <w:lang w:val="en-US" w:eastAsia="zh-CN"/>
                    </w:rPr>
                  </w:pPr>
                  <w:r>
                    <w:rPr>
                      <w:rFonts w:hint="eastAsia" w:cs="Times New Roman"/>
                      <w:snapToGrid w:val="0"/>
                      <w:color w:val="000000" w:themeColor="text1"/>
                      <w:szCs w:val="21"/>
                      <w:lang w:val="en-US" w:eastAsia="zh-CN"/>
                      <w14:textFill>
                        <w14:solidFill>
                          <w14:schemeClr w14:val="tx1"/>
                        </w14:solidFill>
                      </w14:textFill>
                    </w:rPr>
                    <w:t>软水制备系统</w:t>
                  </w:r>
                </w:p>
              </w:tc>
              <w:tc>
                <w:tcPr>
                  <w:tcW w:w="840" w:type="pct"/>
                  <w:noWrap w:val="0"/>
                  <w:vAlign w:val="center"/>
                </w:tcPr>
                <w:p w14:paraId="33857587">
                  <w:pPr>
                    <w:adjustRightInd w:val="0"/>
                    <w:snapToGrid w:val="0"/>
                    <w:jc w:val="center"/>
                    <w:rPr>
                      <w:rFonts w:hint="default" w:cs="Times New Roman"/>
                      <w:snapToGrid w:val="0"/>
                      <w:color w:val="auto"/>
                      <w:szCs w:val="21"/>
                      <w:lang w:val="en-US" w:eastAsia="zh-CN"/>
                    </w:rPr>
                  </w:pPr>
                  <w:r>
                    <w:rPr>
                      <w:rFonts w:hint="default" w:cs="Times New Roman"/>
                      <w:snapToGrid w:val="0"/>
                      <w:color w:val="auto"/>
                      <w:szCs w:val="21"/>
                      <w:lang w:val="en-US" w:eastAsia="zh-CN"/>
                    </w:rPr>
                    <w:t>LJT-12.0RT</w:t>
                  </w:r>
                  <w:r>
                    <w:rPr>
                      <w:rFonts w:hint="eastAsia" w:cs="Times New Roman"/>
                      <w:snapToGrid w:val="0"/>
                      <w:color w:val="auto"/>
                      <w:szCs w:val="21"/>
                      <w:lang w:val="en-US" w:eastAsia="zh-CN"/>
                    </w:rPr>
                    <w:t>/12t/h</w:t>
                  </w:r>
                </w:p>
              </w:tc>
              <w:tc>
                <w:tcPr>
                  <w:tcW w:w="1205" w:type="pct"/>
                  <w:noWrap w:val="0"/>
                  <w:vAlign w:val="center"/>
                </w:tcPr>
                <w:p w14:paraId="21F97581">
                  <w:pPr>
                    <w:adjustRightInd w:val="0"/>
                    <w:snapToGrid w:val="0"/>
                    <w:jc w:val="center"/>
                    <w:rPr>
                      <w:rFonts w:hint="default" w:cs="Times New Roman"/>
                      <w:color w:val="auto"/>
                      <w:lang w:val="en-US" w:eastAsia="zh-CN"/>
                    </w:rPr>
                  </w:pPr>
                  <w:r>
                    <w:rPr>
                      <w:rFonts w:hint="eastAsia" w:cs="Times New Roman"/>
                      <w:color w:val="000000" w:themeColor="text1"/>
                      <w:lang w:val="en-US" w:eastAsia="zh-CN"/>
                      <w14:textFill>
                        <w14:solidFill>
                          <w14:schemeClr w14:val="tx1"/>
                        </w14:solidFill>
                      </w14:textFill>
                    </w:rPr>
                    <w:t>1套</w:t>
                  </w:r>
                </w:p>
              </w:tc>
              <w:tc>
                <w:tcPr>
                  <w:tcW w:w="900" w:type="pct"/>
                  <w:noWrap w:val="0"/>
                  <w:vAlign w:val="center"/>
                </w:tcPr>
                <w:p w14:paraId="430BCBF6">
                  <w:pPr>
                    <w:adjustRightInd w:val="0"/>
                    <w:snapToGrid w:val="0"/>
                    <w:jc w:val="center"/>
                    <w:rPr>
                      <w:rFonts w:hint="eastAsia" w:cs="Times New Roman"/>
                      <w:color w:val="auto"/>
                      <w:lang w:val="en-US" w:eastAsia="zh-CN"/>
                    </w:rPr>
                  </w:pPr>
                  <w:r>
                    <w:rPr>
                      <w:rFonts w:hint="eastAsia" w:cs="Times New Roman"/>
                      <w:color w:val="auto"/>
                      <w:lang w:val="en-US" w:eastAsia="zh-CN"/>
                    </w:rPr>
                    <w:t>1套</w:t>
                  </w:r>
                </w:p>
              </w:tc>
              <w:tc>
                <w:tcPr>
                  <w:tcW w:w="735" w:type="pct"/>
                  <w:noWrap w:val="0"/>
                  <w:vAlign w:val="center"/>
                </w:tcPr>
                <w:p w14:paraId="6796CDAF">
                  <w:pPr>
                    <w:adjustRightInd w:val="0"/>
                    <w:snapToGrid w:val="0"/>
                    <w:jc w:val="center"/>
                    <w:rPr>
                      <w:rFonts w:hint="default" w:cs="Times New Roman"/>
                      <w:color w:val="FF0000"/>
                      <w:lang w:val="en-US" w:eastAsia="zh-CN"/>
                    </w:rPr>
                  </w:pPr>
                  <w:r>
                    <w:rPr>
                      <w:rFonts w:hint="eastAsia" w:cs="Times New Roman"/>
                      <w:color w:val="FF0000"/>
                      <w:lang w:val="en-US" w:eastAsia="zh-CN"/>
                    </w:rPr>
                    <w:t>不变</w:t>
                  </w:r>
                </w:p>
              </w:tc>
            </w:tr>
            <w:tr w14:paraId="312A060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8" w:type="pct"/>
                  <w:noWrap w:val="0"/>
                  <w:vAlign w:val="center"/>
                </w:tcPr>
                <w:p w14:paraId="685E6FED">
                  <w:pPr>
                    <w:adjustRightInd w:val="0"/>
                    <w:snapToGrid w:val="0"/>
                    <w:jc w:val="center"/>
                    <w:rPr>
                      <w:rFonts w:hint="default" w:cs="Times New Roman"/>
                      <w:snapToGrid w:val="0"/>
                      <w:color w:val="auto"/>
                      <w:szCs w:val="21"/>
                      <w:lang w:val="en-US" w:eastAsia="zh-CN"/>
                    </w:rPr>
                  </w:pPr>
                  <w:r>
                    <w:rPr>
                      <w:rFonts w:hint="eastAsia" w:cs="Times New Roman"/>
                      <w:snapToGrid w:val="0"/>
                      <w:color w:val="000000" w:themeColor="text1"/>
                      <w:szCs w:val="21"/>
                      <w:lang w:val="en-US" w:eastAsia="zh-CN"/>
                      <w14:textFill>
                        <w14:solidFill>
                          <w14:schemeClr w14:val="tx1"/>
                        </w14:solidFill>
                      </w14:textFill>
                    </w:rPr>
                    <w:t>3</w:t>
                  </w:r>
                </w:p>
              </w:tc>
              <w:tc>
                <w:tcPr>
                  <w:tcW w:w="988" w:type="pct"/>
                  <w:noWrap w:val="0"/>
                  <w:vAlign w:val="center"/>
                </w:tcPr>
                <w:p w14:paraId="41AE50AF">
                  <w:pPr>
                    <w:adjustRightInd w:val="0"/>
                    <w:snapToGrid w:val="0"/>
                    <w:jc w:val="center"/>
                    <w:rPr>
                      <w:rFonts w:hint="default" w:cs="Times New Roman"/>
                      <w:snapToGrid w:val="0"/>
                      <w:color w:val="auto"/>
                      <w:szCs w:val="21"/>
                      <w:lang w:val="en-US" w:eastAsia="zh-CN"/>
                    </w:rPr>
                  </w:pPr>
                  <w:r>
                    <w:rPr>
                      <w:rFonts w:hint="eastAsia" w:cs="Times New Roman"/>
                      <w:snapToGrid w:val="0"/>
                      <w:color w:val="000000" w:themeColor="text1"/>
                      <w:szCs w:val="21"/>
                      <w:lang w:val="en-US" w:eastAsia="zh-CN"/>
                      <w14:textFill>
                        <w14:solidFill>
                          <w14:schemeClr w14:val="tx1"/>
                        </w14:solidFill>
                      </w14:textFill>
                    </w:rPr>
                    <w:t>布袋除尘设施</w:t>
                  </w:r>
                </w:p>
              </w:tc>
              <w:tc>
                <w:tcPr>
                  <w:tcW w:w="840" w:type="pct"/>
                  <w:noWrap w:val="0"/>
                  <w:vAlign w:val="center"/>
                </w:tcPr>
                <w:p w14:paraId="766F0369">
                  <w:pPr>
                    <w:adjustRightInd w:val="0"/>
                    <w:snapToGrid w:val="0"/>
                    <w:jc w:val="center"/>
                    <w:rPr>
                      <w:rFonts w:hint="eastAsia" w:cs="Times New Roman"/>
                      <w:snapToGrid w:val="0"/>
                      <w:color w:val="auto"/>
                      <w:szCs w:val="21"/>
                      <w:lang w:val="en-US" w:eastAsia="zh-CN"/>
                    </w:rPr>
                  </w:pPr>
                  <w:r>
                    <w:rPr>
                      <w:rFonts w:hint="eastAsia" w:cs="Times New Roman"/>
                      <w:snapToGrid w:val="0"/>
                      <w:color w:val="000000" w:themeColor="text1"/>
                      <w:szCs w:val="21"/>
                      <w:lang w:val="en-US" w:eastAsia="zh-CN"/>
                      <w14:textFill>
                        <w14:solidFill>
                          <w14:schemeClr w14:val="tx1"/>
                        </w14:solidFill>
                      </w14:textFill>
                    </w:rPr>
                    <w:t>/</w:t>
                  </w:r>
                </w:p>
              </w:tc>
              <w:tc>
                <w:tcPr>
                  <w:tcW w:w="1205" w:type="pct"/>
                  <w:noWrap w:val="0"/>
                  <w:vAlign w:val="center"/>
                </w:tcPr>
                <w:p w14:paraId="21D12F3A">
                  <w:pPr>
                    <w:adjustRightInd w:val="0"/>
                    <w:snapToGrid w:val="0"/>
                    <w:jc w:val="center"/>
                    <w:rPr>
                      <w:rFonts w:hint="eastAsia" w:cs="Times New Roman"/>
                      <w:color w:val="auto"/>
                      <w:lang w:val="en-US" w:eastAsia="zh-CN"/>
                    </w:rPr>
                  </w:pPr>
                  <w:r>
                    <w:rPr>
                      <w:rFonts w:hint="eastAsia" w:cs="Times New Roman"/>
                      <w:color w:val="000000" w:themeColor="text1"/>
                      <w:lang w:val="en-US" w:eastAsia="zh-CN"/>
                      <w14:textFill>
                        <w14:solidFill>
                          <w14:schemeClr w14:val="tx1"/>
                        </w14:solidFill>
                      </w14:textFill>
                    </w:rPr>
                    <w:t>5套</w:t>
                  </w:r>
                </w:p>
              </w:tc>
              <w:tc>
                <w:tcPr>
                  <w:tcW w:w="900" w:type="pct"/>
                  <w:noWrap w:val="0"/>
                  <w:vAlign w:val="center"/>
                </w:tcPr>
                <w:p w14:paraId="42B1D5D2">
                  <w:pPr>
                    <w:adjustRightInd w:val="0"/>
                    <w:snapToGrid w:val="0"/>
                    <w:jc w:val="center"/>
                    <w:rPr>
                      <w:rFonts w:hint="eastAsia" w:cs="Times New Roman"/>
                      <w:color w:val="auto"/>
                      <w:lang w:val="en-US" w:eastAsia="zh-CN"/>
                    </w:rPr>
                  </w:pPr>
                  <w:r>
                    <w:rPr>
                      <w:rFonts w:hint="eastAsia" w:cs="Times New Roman"/>
                      <w:color w:val="auto"/>
                      <w:lang w:val="en-US" w:eastAsia="zh-CN"/>
                    </w:rPr>
                    <w:t>7套</w:t>
                  </w:r>
                </w:p>
              </w:tc>
              <w:tc>
                <w:tcPr>
                  <w:tcW w:w="735" w:type="pct"/>
                  <w:noWrap w:val="0"/>
                  <w:vAlign w:val="center"/>
                </w:tcPr>
                <w:p w14:paraId="55BA85E1">
                  <w:pPr>
                    <w:adjustRightInd w:val="0"/>
                    <w:snapToGrid w:val="0"/>
                    <w:jc w:val="center"/>
                    <w:rPr>
                      <w:rFonts w:hint="default" w:cs="Times New Roman"/>
                      <w:color w:val="FF0000"/>
                      <w:lang w:val="en-US" w:eastAsia="zh-CN"/>
                    </w:rPr>
                  </w:pPr>
                  <w:r>
                    <w:rPr>
                      <w:rFonts w:hint="eastAsia" w:cs="Times New Roman"/>
                      <w:color w:val="FF0000"/>
                      <w:lang w:val="en-US" w:eastAsia="zh-CN"/>
                    </w:rPr>
                    <w:t>+2套</w:t>
                  </w:r>
                </w:p>
              </w:tc>
            </w:tr>
            <w:tr w14:paraId="43C24E7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8" w:type="pct"/>
                  <w:noWrap w:val="0"/>
                  <w:vAlign w:val="center"/>
                </w:tcPr>
                <w:p w14:paraId="530BC0BC">
                  <w:pPr>
                    <w:adjustRightInd w:val="0"/>
                    <w:snapToGrid w:val="0"/>
                    <w:jc w:val="center"/>
                    <w:rPr>
                      <w:rFonts w:hint="default" w:cs="Times New Roman"/>
                      <w:snapToGrid w:val="0"/>
                      <w:color w:val="auto"/>
                      <w:szCs w:val="21"/>
                      <w:lang w:val="en-US" w:eastAsia="zh-CN"/>
                    </w:rPr>
                  </w:pPr>
                  <w:r>
                    <w:rPr>
                      <w:rFonts w:hint="eastAsia" w:cs="Times New Roman"/>
                      <w:snapToGrid w:val="0"/>
                      <w:color w:val="000000" w:themeColor="text1"/>
                      <w:szCs w:val="21"/>
                      <w:lang w:val="en-US" w:eastAsia="zh-CN"/>
                      <w14:textFill>
                        <w14:solidFill>
                          <w14:schemeClr w14:val="tx1"/>
                        </w14:solidFill>
                      </w14:textFill>
                    </w:rPr>
                    <w:t>4</w:t>
                  </w:r>
                </w:p>
              </w:tc>
              <w:tc>
                <w:tcPr>
                  <w:tcW w:w="988" w:type="pct"/>
                  <w:noWrap w:val="0"/>
                  <w:vAlign w:val="center"/>
                </w:tcPr>
                <w:p w14:paraId="4EA9F719">
                  <w:pPr>
                    <w:adjustRightInd w:val="0"/>
                    <w:snapToGrid w:val="0"/>
                    <w:jc w:val="center"/>
                    <w:rPr>
                      <w:rFonts w:hint="default" w:cs="Times New Roman"/>
                      <w:snapToGrid w:val="0"/>
                      <w:color w:val="auto"/>
                      <w:szCs w:val="21"/>
                      <w:lang w:val="en-US" w:eastAsia="zh-CN"/>
                    </w:rPr>
                  </w:pPr>
                  <w:r>
                    <w:rPr>
                      <w:rFonts w:hint="eastAsia" w:cs="Times New Roman"/>
                      <w:snapToGrid w:val="0"/>
                      <w:color w:val="000000" w:themeColor="text1"/>
                      <w:szCs w:val="21"/>
                      <w:lang w:val="en-US" w:eastAsia="zh-CN"/>
                      <w14:textFill>
                        <w14:solidFill>
                          <w14:schemeClr w14:val="tx1"/>
                        </w14:solidFill>
                      </w14:textFill>
                    </w:rPr>
                    <w:t>冷却塔</w:t>
                  </w:r>
                </w:p>
              </w:tc>
              <w:tc>
                <w:tcPr>
                  <w:tcW w:w="840" w:type="pct"/>
                  <w:noWrap w:val="0"/>
                  <w:vAlign w:val="center"/>
                </w:tcPr>
                <w:p w14:paraId="025FA41B">
                  <w:pPr>
                    <w:adjustRightInd w:val="0"/>
                    <w:snapToGrid w:val="0"/>
                    <w:jc w:val="center"/>
                    <w:rPr>
                      <w:rFonts w:hint="eastAsia" w:cs="Times New Roman"/>
                      <w:snapToGrid w:val="0"/>
                      <w:color w:val="auto"/>
                      <w:szCs w:val="21"/>
                      <w:lang w:val="en-US" w:eastAsia="zh-CN"/>
                    </w:rPr>
                  </w:pPr>
                  <w:r>
                    <w:rPr>
                      <w:rFonts w:hint="eastAsia" w:cs="Times New Roman"/>
                      <w:snapToGrid w:val="0"/>
                      <w:color w:val="000000" w:themeColor="text1"/>
                      <w:szCs w:val="21"/>
                      <w:lang w:val="en-US" w:eastAsia="zh-CN"/>
                      <w14:textFill>
                        <w14:solidFill>
                          <w14:schemeClr w14:val="tx1"/>
                        </w14:solidFill>
                      </w14:textFill>
                    </w:rPr>
                    <w:t>/</w:t>
                  </w:r>
                </w:p>
              </w:tc>
              <w:tc>
                <w:tcPr>
                  <w:tcW w:w="1205" w:type="pct"/>
                  <w:noWrap w:val="0"/>
                  <w:vAlign w:val="center"/>
                </w:tcPr>
                <w:p w14:paraId="473DB828">
                  <w:pPr>
                    <w:adjustRightInd w:val="0"/>
                    <w:snapToGrid w:val="0"/>
                    <w:jc w:val="center"/>
                    <w:rPr>
                      <w:rFonts w:hint="eastAsia" w:cs="Times New Roman"/>
                      <w:color w:val="auto"/>
                      <w:lang w:val="en-US" w:eastAsia="zh-CN"/>
                    </w:rPr>
                  </w:pPr>
                  <w:r>
                    <w:rPr>
                      <w:rFonts w:hint="eastAsia" w:cs="Times New Roman"/>
                      <w:color w:val="000000" w:themeColor="text1"/>
                      <w:lang w:val="en-US" w:eastAsia="zh-CN"/>
                      <w14:textFill>
                        <w14:solidFill>
                          <w14:schemeClr w14:val="tx1"/>
                        </w14:solidFill>
                      </w14:textFill>
                    </w:rPr>
                    <w:t>/</w:t>
                  </w:r>
                </w:p>
              </w:tc>
              <w:tc>
                <w:tcPr>
                  <w:tcW w:w="900" w:type="pct"/>
                  <w:noWrap w:val="0"/>
                  <w:vAlign w:val="center"/>
                </w:tcPr>
                <w:p w14:paraId="5A65762D">
                  <w:pPr>
                    <w:adjustRightInd w:val="0"/>
                    <w:snapToGrid w:val="0"/>
                    <w:jc w:val="center"/>
                    <w:rPr>
                      <w:rFonts w:hint="default" w:cs="Times New Roman"/>
                      <w:color w:val="auto"/>
                      <w:lang w:val="en-US" w:eastAsia="zh-CN"/>
                    </w:rPr>
                  </w:pPr>
                  <w:r>
                    <w:rPr>
                      <w:rFonts w:hint="eastAsia" w:cs="Times New Roman"/>
                      <w:color w:val="auto"/>
                      <w:lang w:val="en-US" w:eastAsia="zh-CN"/>
                    </w:rPr>
                    <w:t>2台</w:t>
                  </w:r>
                </w:p>
              </w:tc>
              <w:tc>
                <w:tcPr>
                  <w:tcW w:w="735" w:type="pct"/>
                  <w:noWrap w:val="0"/>
                  <w:vAlign w:val="center"/>
                </w:tcPr>
                <w:p w14:paraId="5CB14E7B">
                  <w:pPr>
                    <w:adjustRightInd w:val="0"/>
                    <w:snapToGrid w:val="0"/>
                    <w:jc w:val="center"/>
                    <w:rPr>
                      <w:rFonts w:hint="default" w:cs="Times New Roman"/>
                      <w:color w:val="FF0000"/>
                      <w:lang w:val="en-US" w:eastAsia="zh-CN"/>
                    </w:rPr>
                  </w:pPr>
                  <w:r>
                    <w:rPr>
                      <w:rFonts w:hint="eastAsia" w:cs="Times New Roman"/>
                      <w:color w:val="FF0000"/>
                      <w:lang w:val="en-US" w:eastAsia="zh-CN"/>
                    </w:rPr>
                    <w:t>+2台</w:t>
                  </w:r>
                </w:p>
              </w:tc>
            </w:tr>
            <w:tr w14:paraId="2F39AC7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8" w:type="pct"/>
                  <w:noWrap w:val="0"/>
                  <w:vAlign w:val="center"/>
                </w:tcPr>
                <w:p w14:paraId="6552C5D7">
                  <w:pPr>
                    <w:adjustRightInd w:val="0"/>
                    <w:snapToGrid w:val="0"/>
                    <w:jc w:val="center"/>
                    <w:rPr>
                      <w:rFonts w:hint="default" w:cs="Times New Roman"/>
                      <w:snapToGrid w:val="0"/>
                      <w:color w:val="auto"/>
                      <w:szCs w:val="21"/>
                      <w:lang w:val="en-US" w:eastAsia="zh-CN"/>
                    </w:rPr>
                  </w:pPr>
                  <w:r>
                    <w:rPr>
                      <w:rFonts w:hint="eastAsia" w:cs="Times New Roman"/>
                      <w:snapToGrid w:val="0"/>
                      <w:color w:val="000000" w:themeColor="text1"/>
                      <w:szCs w:val="21"/>
                      <w:lang w:val="en-US" w:eastAsia="zh-CN"/>
                      <w14:textFill>
                        <w14:solidFill>
                          <w14:schemeClr w14:val="tx1"/>
                        </w14:solidFill>
                      </w14:textFill>
                    </w:rPr>
                    <w:t>5</w:t>
                  </w:r>
                </w:p>
              </w:tc>
              <w:tc>
                <w:tcPr>
                  <w:tcW w:w="988" w:type="pct"/>
                  <w:noWrap w:val="0"/>
                  <w:vAlign w:val="center"/>
                </w:tcPr>
                <w:p w14:paraId="65493009">
                  <w:pPr>
                    <w:adjustRightInd w:val="0"/>
                    <w:snapToGrid w:val="0"/>
                    <w:jc w:val="center"/>
                    <w:rPr>
                      <w:rFonts w:hint="default" w:cs="Times New Roman"/>
                      <w:snapToGrid w:val="0"/>
                      <w:color w:val="auto"/>
                      <w:szCs w:val="21"/>
                      <w:lang w:val="en-US" w:eastAsia="zh-CN"/>
                    </w:rPr>
                  </w:pPr>
                  <w:r>
                    <w:rPr>
                      <w:rFonts w:hint="eastAsia" w:cs="Times New Roman"/>
                      <w:snapToGrid w:val="0"/>
                      <w:color w:val="000000" w:themeColor="text1"/>
                      <w:szCs w:val="21"/>
                      <w:lang w:val="en-US" w:eastAsia="zh-CN"/>
                      <w14:textFill>
                        <w14:solidFill>
                          <w14:schemeClr w14:val="tx1"/>
                        </w14:solidFill>
                      </w14:textFill>
                    </w:rPr>
                    <w:t>锅炉引风机</w:t>
                  </w:r>
                </w:p>
              </w:tc>
              <w:tc>
                <w:tcPr>
                  <w:tcW w:w="840" w:type="pct"/>
                  <w:noWrap w:val="0"/>
                  <w:vAlign w:val="center"/>
                </w:tcPr>
                <w:p w14:paraId="042AC5A3">
                  <w:pPr>
                    <w:adjustRightInd w:val="0"/>
                    <w:snapToGrid w:val="0"/>
                    <w:jc w:val="center"/>
                    <w:rPr>
                      <w:rFonts w:hint="default" w:cs="Times New Roman"/>
                      <w:snapToGrid w:val="0"/>
                      <w:color w:val="auto"/>
                      <w:szCs w:val="21"/>
                      <w:lang w:val="en-US" w:eastAsia="zh-CN"/>
                    </w:rPr>
                  </w:pPr>
                  <w:r>
                    <w:rPr>
                      <w:rFonts w:hint="eastAsia" w:cs="Times New Roman"/>
                      <w:snapToGrid w:val="0"/>
                      <w:color w:val="000000" w:themeColor="text1"/>
                      <w:szCs w:val="21"/>
                      <w:lang w:val="en-US" w:eastAsia="zh-CN"/>
                      <w14:textFill>
                        <w14:solidFill>
                          <w14:schemeClr w14:val="tx1"/>
                        </w14:solidFill>
                      </w14:textFill>
                    </w:rPr>
                    <w:t>/</w:t>
                  </w:r>
                </w:p>
              </w:tc>
              <w:tc>
                <w:tcPr>
                  <w:tcW w:w="1205" w:type="pct"/>
                  <w:noWrap w:val="0"/>
                  <w:vAlign w:val="center"/>
                </w:tcPr>
                <w:p w14:paraId="4F2D94B9">
                  <w:pPr>
                    <w:adjustRightInd w:val="0"/>
                    <w:snapToGrid w:val="0"/>
                    <w:jc w:val="center"/>
                    <w:rPr>
                      <w:rFonts w:hint="eastAsia" w:cs="Times New Roman"/>
                      <w:color w:val="auto"/>
                      <w:lang w:val="en-US" w:eastAsia="zh-CN"/>
                    </w:rPr>
                  </w:pPr>
                  <w:r>
                    <w:rPr>
                      <w:rFonts w:hint="eastAsia" w:cs="Times New Roman"/>
                      <w:color w:val="000000" w:themeColor="text1"/>
                      <w:lang w:val="en-US" w:eastAsia="zh-CN"/>
                      <w14:textFill>
                        <w14:solidFill>
                          <w14:schemeClr w14:val="tx1"/>
                        </w14:solidFill>
                      </w14:textFill>
                    </w:rPr>
                    <w:t>1</w:t>
                  </w:r>
                  <w:r>
                    <w:rPr>
                      <w:rFonts w:hint="default" w:ascii="Times New Roman" w:hAnsi="Times New Roman" w:cs="Times New Roman"/>
                      <w:color w:val="000000" w:themeColor="text1"/>
                      <w14:textFill>
                        <w14:solidFill>
                          <w14:schemeClr w14:val="tx1"/>
                        </w14:solidFill>
                      </w14:textFill>
                    </w:rPr>
                    <w:t>台</w:t>
                  </w:r>
                </w:p>
              </w:tc>
              <w:tc>
                <w:tcPr>
                  <w:tcW w:w="900" w:type="pct"/>
                  <w:noWrap w:val="0"/>
                  <w:vAlign w:val="center"/>
                </w:tcPr>
                <w:p w14:paraId="09CC9336">
                  <w:pPr>
                    <w:adjustRightInd w:val="0"/>
                    <w:snapToGrid w:val="0"/>
                    <w:jc w:val="center"/>
                    <w:rPr>
                      <w:rFonts w:hint="eastAsia" w:cs="Times New Roman"/>
                      <w:color w:val="auto"/>
                      <w:lang w:val="en-US" w:eastAsia="zh-CN"/>
                    </w:rPr>
                  </w:pPr>
                  <w:r>
                    <w:rPr>
                      <w:rFonts w:hint="eastAsia" w:cs="Times New Roman"/>
                      <w:color w:val="auto"/>
                      <w:lang w:val="en-US" w:eastAsia="zh-CN"/>
                    </w:rPr>
                    <w:t>2</w:t>
                  </w:r>
                  <w:r>
                    <w:rPr>
                      <w:rFonts w:hint="default" w:ascii="Times New Roman" w:hAnsi="Times New Roman" w:cs="Times New Roman"/>
                      <w:color w:val="auto"/>
                    </w:rPr>
                    <w:t>台</w:t>
                  </w:r>
                </w:p>
              </w:tc>
              <w:tc>
                <w:tcPr>
                  <w:tcW w:w="735" w:type="pct"/>
                  <w:noWrap w:val="0"/>
                  <w:vAlign w:val="center"/>
                </w:tcPr>
                <w:p w14:paraId="6FBEF83A">
                  <w:pPr>
                    <w:adjustRightInd w:val="0"/>
                    <w:snapToGrid w:val="0"/>
                    <w:jc w:val="center"/>
                    <w:rPr>
                      <w:rFonts w:hint="default" w:cs="Times New Roman"/>
                      <w:color w:val="FF0000"/>
                      <w:lang w:val="en-US" w:eastAsia="zh-CN"/>
                    </w:rPr>
                  </w:pPr>
                  <w:r>
                    <w:rPr>
                      <w:rFonts w:hint="eastAsia" w:cs="Times New Roman"/>
                      <w:color w:val="FF0000"/>
                      <w:lang w:val="en-US" w:eastAsia="zh-CN"/>
                    </w:rPr>
                    <w:t>+1台</w:t>
                  </w:r>
                </w:p>
              </w:tc>
            </w:tr>
            <w:tr w14:paraId="0F7330B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8" w:type="pct"/>
                  <w:noWrap w:val="0"/>
                  <w:vAlign w:val="center"/>
                </w:tcPr>
                <w:p w14:paraId="0B3399CF">
                  <w:pPr>
                    <w:adjustRightInd w:val="0"/>
                    <w:snapToGrid w:val="0"/>
                    <w:jc w:val="center"/>
                    <w:rPr>
                      <w:rFonts w:hint="eastAsia" w:cs="Times New Roman"/>
                      <w:snapToGrid w:val="0"/>
                      <w:color w:val="auto"/>
                      <w:szCs w:val="21"/>
                      <w:lang w:val="en-US" w:eastAsia="zh-CN"/>
                    </w:rPr>
                  </w:pPr>
                  <w:r>
                    <w:rPr>
                      <w:rFonts w:hint="eastAsia" w:cs="Times New Roman"/>
                      <w:snapToGrid w:val="0"/>
                      <w:color w:val="000000" w:themeColor="text1"/>
                      <w:szCs w:val="21"/>
                      <w:lang w:val="en-US" w:eastAsia="zh-CN"/>
                      <w14:textFill>
                        <w14:solidFill>
                          <w14:schemeClr w14:val="tx1"/>
                        </w14:solidFill>
                      </w14:textFill>
                    </w:rPr>
                    <w:t>6</w:t>
                  </w:r>
                </w:p>
              </w:tc>
              <w:tc>
                <w:tcPr>
                  <w:tcW w:w="988" w:type="pct"/>
                  <w:noWrap w:val="0"/>
                  <w:vAlign w:val="center"/>
                </w:tcPr>
                <w:p w14:paraId="57D670C4">
                  <w:pPr>
                    <w:adjustRightInd w:val="0"/>
                    <w:snapToGrid w:val="0"/>
                    <w:jc w:val="center"/>
                    <w:rPr>
                      <w:rFonts w:hint="eastAsia" w:cs="Times New Roman"/>
                      <w:snapToGrid w:val="0"/>
                      <w:color w:val="auto"/>
                      <w:szCs w:val="21"/>
                      <w:lang w:val="en-US" w:eastAsia="zh-CN"/>
                    </w:rPr>
                  </w:pPr>
                  <w:r>
                    <w:rPr>
                      <w:rFonts w:hint="eastAsia" w:cs="Times New Roman"/>
                      <w:snapToGrid w:val="0"/>
                      <w:color w:val="000000" w:themeColor="text1"/>
                      <w:szCs w:val="21"/>
                      <w:lang w:val="en-US" w:eastAsia="zh-CN"/>
                      <w14:textFill>
                        <w14:solidFill>
                          <w14:schemeClr w14:val="tx1"/>
                        </w14:solidFill>
                      </w14:textFill>
                    </w:rPr>
                    <w:t>关风器</w:t>
                  </w:r>
                </w:p>
              </w:tc>
              <w:tc>
                <w:tcPr>
                  <w:tcW w:w="840" w:type="pct"/>
                  <w:noWrap w:val="0"/>
                  <w:vAlign w:val="center"/>
                </w:tcPr>
                <w:p w14:paraId="5836C0DC">
                  <w:pPr>
                    <w:adjustRightInd w:val="0"/>
                    <w:snapToGrid w:val="0"/>
                    <w:jc w:val="center"/>
                    <w:rPr>
                      <w:rFonts w:hint="eastAsia" w:cs="Times New Roman"/>
                      <w:snapToGrid w:val="0"/>
                      <w:color w:val="auto"/>
                      <w:szCs w:val="21"/>
                      <w:lang w:val="en-US" w:eastAsia="zh-CN"/>
                    </w:rPr>
                  </w:pPr>
                  <w:r>
                    <w:rPr>
                      <w:rFonts w:hint="eastAsia" w:cs="Times New Roman"/>
                      <w:snapToGrid w:val="0"/>
                      <w:color w:val="000000" w:themeColor="text1"/>
                      <w:szCs w:val="21"/>
                      <w:lang w:val="en-US" w:eastAsia="zh-CN"/>
                      <w14:textFill>
                        <w14:solidFill>
                          <w14:schemeClr w14:val="tx1"/>
                        </w14:solidFill>
                      </w14:textFill>
                    </w:rPr>
                    <w:t>GFDZY-10</w:t>
                  </w:r>
                </w:p>
              </w:tc>
              <w:tc>
                <w:tcPr>
                  <w:tcW w:w="1205" w:type="pct"/>
                  <w:noWrap w:val="0"/>
                  <w:vAlign w:val="center"/>
                </w:tcPr>
                <w:p w14:paraId="6AB6D48B">
                  <w:pPr>
                    <w:adjustRightInd w:val="0"/>
                    <w:snapToGrid w:val="0"/>
                    <w:jc w:val="center"/>
                    <w:rPr>
                      <w:rFonts w:hint="eastAsia" w:cs="Times New Roman"/>
                      <w:color w:val="auto"/>
                      <w:lang w:val="en-US" w:eastAsia="zh-CN"/>
                    </w:rPr>
                  </w:pPr>
                  <w:r>
                    <w:rPr>
                      <w:rFonts w:hint="eastAsia" w:cs="Times New Roman"/>
                      <w:color w:val="000000" w:themeColor="text1"/>
                      <w:lang w:val="en-US" w:eastAsia="zh-CN"/>
                      <w14:textFill>
                        <w14:solidFill>
                          <w14:schemeClr w14:val="tx1"/>
                        </w14:solidFill>
                      </w14:textFill>
                    </w:rPr>
                    <w:t>2台</w:t>
                  </w:r>
                </w:p>
              </w:tc>
              <w:tc>
                <w:tcPr>
                  <w:tcW w:w="900" w:type="pct"/>
                  <w:noWrap w:val="0"/>
                  <w:vAlign w:val="center"/>
                </w:tcPr>
                <w:p w14:paraId="5DA48407">
                  <w:pPr>
                    <w:adjustRightInd w:val="0"/>
                    <w:snapToGrid w:val="0"/>
                    <w:jc w:val="center"/>
                    <w:rPr>
                      <w:rFonts w:hint="eastAsia" w:cs="Times New Roman"/>
                      <w:color w:val="auto"/>
                      <w:lang w:val="en-US" w:eastAsia="zh-CN"/>
                    </w:rPr>
                  </w:pPr>
                  <w:r>
                    <w:rPr>
                      <w:rFonts w:hint="eastAsia" w:cs="Times New Roman"/>
                      <w:color w:val="000000" w:themeColor="text1"/>
                      <w:lang w:val="en-US" w:eastAsia="zh-CN"/>
                      <w14:textFill>
                        <w14:solidFill>
                          <w14:schemeClr w14:val="tx1"/>
                        </w14:solidFill>
                      </w14:textFill>
                    </w:rPr>
                    <w:t>2台</w:t>
                  </w:r>
                </w:p>
              </w:tc>
              <w:tc>
                <w:tcPr>
                  <w:tcW w:w="735" w:type="pct"/>
                  <w:noWrap w:val="0"/>
                  <w:vAlign w:val="center"/>
                </w:tcPr>
                <w:p w14:paraId="44C393FE">
                  <w:pPr>
                    <w:adjustRightInd w:val="0"/>
                    <w:snapToGrid w:val="0"/>
                    <w:jc w:val="center"/>
                    <w:rPr>
                      <w:rFonts w:hint="eastAsia" w:cs="Times New Roman"/>
                      <w:color w:val="FF0000"/>
                      <w:lang w:val="en-US" w:eastAsia="zh-CN"/>
                    </w:rPr>
                  </w:pPr>
                  <w:r>
                    <w:rPr>
                      <w:rFonts w:hint="eastAsia" w:cs="Times New Roman"/>
                      <w:color w:val="FF0000"/>
                      <w:lang w:val="en-US" w:eastAsia="zh-CN"/>
                    </w:rPr>
                    <w:t>不变</w:t>
                  </w:r>
                </w:p>
              </w:tc>
            </w:tr>
            <w:tr w14:paraId="550C8CE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8" w:type="pct"/>
                  <w:noWrap w:val="0"/>
                  <w:vAlign w:val="center"/>
                </w:tcPr>
                <w:p w14:paraId="2F7F8D64">
                  <w:pPr>
                    <w:adjustRightInd w:val="0"/>
                    <w:snapToGrid w:val="0"/>
                    <w:jc w:val="center"/>
                    <w:rPr>
                      <w:rFonts w:hint="eastAsia" w:cs="Times New Roman"/>
                      <w:snapToGrid w:val="0"/>
                      <w:color w:val="auto"/>
                      <w:szCs w:val="21"/>
                      <w:lang w:val="en-US" w:eastAsia="zh-CN"/>
                    </w:rPr>
                  </w:pPr>
                  <w:r>
                    <w:rPr>
                      <w:rFonts w:hint="eastAsia" w:cs="Times New Roman"/>
                      <w:snapToGrid w:val="0"/>
                      <w:color w:val="000000" w:themeColor="text1"/>
                      <w:szCs w:val="21"/>
                      <w:lang w:val="en-US" w:eastAsia="zh-CN"/>
                      <w14:textFill>
                        <w14:solidFill>
                          <w14:schemeClr w14:val="tx1"/>
                        </w14:solidFill>
                      </w14:textFill>
                    </w:rPr>
                    <w:t>7</w:t>
                  </w:r>
                </w:p>
              </w:tc>
              <w:tc>
                <w:tcPr>
                  <w:tcW w:w="988" w:type="pct"/>
                  <w:noWrap w:val="0"/>
                  <w:vAlign w:val="center"/>
                </w:tcPr>
                <w:p w14:paraId="45F9C327">
                  <w:pPr>
                    <w:adjustRightInd w:val="0"/>
                    <w:snapToGrid w:val="0"/>
                    <w:jc w:val="center"/>
                    <w:rPr>
                      <w:rFonts w:hint="eastAsia" w:cs="Times New Roman"/>
                      <w:snapToGrid w:val="0"/>
                      <w:color w:val="auto"/>
                      <w:szCs w:val="21"/>
                      <w:lang w:val="en-US" w:eastAsia="zh-CN"/>
                    </w:rPr>
                  </w:pPr>
                  <w:r>
                    <w:rPr>
                      <w:rFonts w:hint="eastAsia" w:cs="Times New Roman"/>
                      <w:snapToGrid w:val="0"/>
                      <w:color w:val="000000" w:themeColor="text1"/>
                      <w:szCs w:val="21"/>
                      <w:lang w:val="en-US" w:eastAsia="zh-CN"/>
                      <w14:textFill>
                        <w14:solidFill>
                          <w14:schemeClr w14:val="tx1"/>
                        </w14:solidFill>
                      </w14:textFill>
                    </w:rPr>
                    <w:t>刮板输送机</w:t>
                  </w:r>
                </w:p>
              </w:tc>
              <w:tc>
                <w:tcPr>
                  <w:tcW w:w="840" w:type="pct"/>
                  <w:noWrap w:val="0"/>
                  <w:vAlign w:val="center"/>
                </w:tcPr>
                <w:p w14:paraId="183262E7">
                  <w:pPr>
                    <w:adjustRightInd w:val="0"/>
                    <w:snapToGrid w:val="0"/>
                    <w:jc w:val="center"/>
                    <w:rPr>
                      <w:rFonts w:hint="eastAsia" w:cs="Times New Roman"/>
                      <w:snapToGrid w:val="0"/>
                      <w:color w:val="auto"/>
                      <w:szCs w:val="21"/>
                      <w:lang w:val="en-US" w:eastAsia="zh-CN"/>
                    </w:rPr>
                  </w:pPr>
                  <w:r>
                    <w:rPr>
                      <w:rFonts w:hint="eastAsia" w:cs="Times New Roman"/>
                      <w:snapToGrid w:val="0"/>
                      <w:color w:val="000000" w:themeColor="text1"/>
                      <w:szCs w:val="21"/>
                      <w:lang w:val="en-US" w:eastAsia="zh-CN"/>
                      <w14:textFill>
                        <w14:solidFill>
                          <w14:schemeClr w14:val="tx1"/>
                        </w14:solidFill>
                      </w14:textFill>
                    </w:rPr>
                    <w:t>TGSS32b</w:t>
                  </w:r>
                </w:p>
              </w:tc>
              <w:tc>
                <w:tcPr>
                  <w:tcW w:w="1205" w:type="pct"/>
                  <w:noWrap w:val="0"/>
                  <w:vAlign w:val="center"/>
                </w:tcPr>
                <w:p w14:paraId="4CFD06D1">
                  <w:pPr>
                    <w:adjustRightInd w:val="0"/>
                    <w:snapToGrid w:val="0"/>
                    <w:jc w:val="center"/>
                    <w:rPr>
                      <w:rFonts w:hint="eastAsia" w:cs="Times New Roman"/>
                      <w:color w:val="auto"/>
                      <w:lang w:val="en-US" w:eastAsia="zh-CN"/>
                    </w:rPr>
                  </w:pPr>
                  <w:r>
                    <w:rPr>
                      <w:rFonts w:hint="eastAsia" w:cs="Times New Roman"/>
                      <w:color w:val="000000" w:themeColor="text1"/>
                      <w:lang w:val="en-US" w:eastAsia="zh-CN"/>
                      <w14:textFill>
                        <w14:solidFill>
                          <w14:schemeClr w14:val="tx1"/>
                        </w14:solidFill>
                      </w14:textFill>
                    </w:rPr>
                    <w:t>10台</w:t>
                  </w:r>
                </w:p>
              </w:tc>
              <w:tc>
                <w:tcPr>
                  <w:tcW w:w="900" w:type="pct"/>
                  <w:noWrap w:val="0"/>
                  <w:vAlign w:val="center"/>
                </w:tcPr>
                <w:p w14:paraId="244DC7B5">
                  <w:pPr>
                    <w:adjustRightInd w:val="0"/>
                    <w:snapToGrid w:val="0"/>
                    <w:jc w:val="center"/>
                    <w:rPr>
                      <w:rFonts w:hint="eastAsia" w:cs="Times New Roman"/>
                      <w:color w:val="auto"/>
                      <w:lang w:val="en-US" w:eastAsia="zh-CN"/>
                    </w:rPr>
                  </w:pPr>
                  <w:r>
                    <w:rPr>
                      <w:rFonts w:hint="eastAsia" w:cs="Times New Roman"/>
                      <w:color w:val="000000" w:themeColor="text1"/>
                      <w:lang w:val="en-US" w:eastAsia="zh-CN"/>
                      <w14:textFill>
                        <w14:solidFill>
                          <w14:schemeClr w14:val="tx1"/>
                        </w14:solidFill>
                      </w14:textFill>
                    </w:rPr>
                    <w:t>10台</w:t>
                  </w:r>
                </w:p>
              </w:tc>
              <w:tc>
                <w:tcPr>
                  <w:tcW w:w="735" w:type="pct"/>
                  <w:noWrap w:val="0"/>
                  <w:vAlign w:val="center"/>
                </w:tcPr>
                <w:p w14:paraId="1FCAA0F0">
                  <w:pPr>
                    <w:adjustRightInd w:val="0"/>
                    <w:snapToGrid w:val="0"/>
                    <w:jc w:val="center"/>
                    <w:rPr>
                      <w:rFonts w:hint="eastAsia" w:cs="Times New Roman"/>
                      <w:color w:val="FF0000"/>
                      <w:lang w:val="en-US" w:eastAsia="zh-CN"/>
                    </w:rPr>
                  </w:pPr>
                  <w:r>
                    <w:rPr>
                      <w:rFonts w:hint="eastAsia" w:cs="Times New Roman"/>
                      <w:color w:val="FF0000"/>
                      <w:lang w:val="en-US" w:eastAsia="zh-CN"/>
                    </w:rPr>
                    <w:t>不变</w:t>
                  </w:r>
                </w:p>
              </w:tc>
            </w:tr>
            <w:tr w14:paraId="1773412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8" w:type="pct"/>
                  <w:noWrap w:val="0"/>
                  <w:vAlign w:val="center"/>
                </w:tcPr>
                <w:p w14:paraId="08AC0F5A">
                  <w:pPr>
                    <w:adjustRightInd w:val="0"/>
                    <w:snapToGrid w:val="0"/>
                    <w:jc w:val="center"/>
                    <w:rPr>
                      <w:rFonts w:hint="eastAsia" w:cs="Times New Roman"/>
                      <w:snapToGrid w:val="0"/>
                      <w:color w:val="auto"/>
                      <w:szCs w:val="21"/>
                      <w:lang w:val="en-US" w:eastAsia="zh-CN"/>
                    </w:rPr>
                  </w:pPr>
                  <w:r>
                    <w:rPr>
                      <w:rFonts w:hint="eastAsia" w:cs="Times New Roman"/>
                      <w:snapToGrid w:val="0"/>
                      <w:color w:val="000000" w:themeColor="text1"/>
                      <w:szCs w:val="21"/>
                      <w:lang w:val="en-US" w:eastAsia="zh-CN"/>
                      <w14:textFill>
                        <w14:solidFill>
                          <w14:schemeClr w14:val="tx1"/>
                        </w14:solidFill>
                      </w14:textFill>
                    </w:rPr>
                    <w:t>8</w:t>
                  </w:r>
                </w:p>
              </w:tc>
              <w:tc>
                <w:tcPr>
                  <w:tcW w:w="988" w:type="pct"/>
                  <w:noWrap w:val="0"/>
                  <w:vAlign w:val="center"/>
                </w:tcPr>
                <w:p w14:paraId="286B9284">
                  <w:pPr>
                    <w:adjustRightInd w:val="0"/>
                    <w:snapToGrid w:val="0"/>
                    <w:jc w:val="center"/>
                    <w:rPr>
                      <w:rFonts w:hint="eastAsia" w:cs="Times New Roman"/>
                      <w:snapToGrid w:val="0"/>
                      <w:color w:val="auto"/>
                      <w:szCs w:val="21"/>
                      <w:lang w:val="en-US" w:eastAsia="zh-CN"/>
                    </w:rPr>
                  </w:pPr>
                  <w:r>
                    <w:rPr>
                      <w:rFonts w:hint="eastAsia" w:cs="Times New Roman"/>
                      <w:snapToGrid w:val="0"/>
                      <w:color w:val="000000" w:themeColor="text1"/>
                      <w:szCs w:val="21"/>
                      <w:lang w:val="en-US" w:eastAsia="zh-CN"/>
                      <w14:textFill>
                        <w14:solidFill>
                          <w14:schemeClr w14:val="tx1"/>
                        </w14:solidFill>
                      </w14:textFill>
                    </w:rPr>
                    <w:t>斗式提升机</w:t>
                  </w:r>
                </w:p>
              </w:tc>
              <w:tc>
                <w:tcPr>
                  <w:tcW w:w="840" w:type="pct"/>
                  <w:noWrap w:val="0"/>
                  <w:vAlign w:val="center"/>
                </w:tcPr>
                <w:p w14:paraId="026C5193">
                  <w:pPr>
                    <w:adjustRightInd w:val="0"/>
                    <w:snapToGrid w:val="0"/>
                    <w:jc w:val="center"/>
                    <w:rPr>
                      <w:rFonts w:hint="eastAsia" w:cs="Times New Roman"/>
                      <w:snapToGrid w:val="0"/>
                      <w:color w:val="auto"/>
                      <w:szCs w:val="21"/>
                      <w:lang w:val="en-US" w:eastAsia="zh-CN"/>
                    </w:rPr>
                  </w:pPr>
                  <w:r>
                    <w:rPr>
                      <w:rFonts w:hint="eastAsia" w:cs="Times New Roman"/>
                      <w:snapToGrid w:val="0"/>
                      <w:color w:val="000000" w:themeColor="text1"/>
                      <w:szCs w:val="21"/>
                      <w:lang w:val="en-US" w:eastAsia="zh-CN"/>
                      <w14:textFill>
                        <w14:solidFill>
                          <w14:schemeClr w14:val="tx1"/>
                        </w14:solidFill>
                      </w14:textFill>
                    </w:rPr>
                    <w:t>TDTG50x28</w:t>
                  </w:r>
                </w:p>
              </w:tc>
              <w:tc>
                <w:tcPr>
                  <w:tcW w:w="1205" w:type="pct"/>
                  <w:noWrap w:val="0"/>
                  <w:vAlign w:val="center"/>
                </w:tcPr>
                <w:p w14:paraId="2D1C1B8F">
                  <w:pPr>
                    <w:adjustRightInd w:val="0"/>
                    <w:snapToGrid w:val="0"/>
                    <w:jc w:val="center"/>
                    <w:rPr>
                      <w:rFonts w:hint="eastAsia" w:cs="Times New Roman"/>
                      <w:color w:val="auto"/>
                      <w:lang w:val="en-US" w:eastAsia="zh-CN"/>
                    </w:rPr>
                  </w:pPr>
                  <w:r>
                    <w:rPr>
                      <w:rFonts w:hint="eastAsia" w:cs="Times New Roman"/>
                      <w:color w:val="000000" w:themeColor="text1"/>
                      <w:lang w:val="en-US" w:eastAsia="zh-CN"/>
                      <w14:textFill>
                        <w14:solidFill>
                          <w14:schemeClr w14:val="tx1"/>
                        </w14:solidFill>
                      </w14:textFill>
                    </w:rPr>
                    <w:t>2台</w:t>
                  </w:r>
                </w:p>
              </w:tc>
              <w:tc>
                <w:tcPr>
                  <w:tcW w:w="900" w:type="pct"/>
                  <w:noWrap w:val="0"/>
                  <w:vAlign w:val="center"/>
                </w:tcPr>
                <w:p w14:paraId="738A201D">
                  <w:pPr>
                    <w:adjustRightInd w:val="0"/>
                    <w:snapToGrid w:val="0"/>
                    <w:jc w:val="center"/>
                    <w:rPr>
                      <w:rFonts w:hint="eastAsia" w:cs="Times New Roman"/>
                      <w:color w:val="auto"/>
                      <w:lang w:val="en-US" w:eastAsia="zh-CN"/>
                    </w:rPr>
                  </w:pPr>
                  <w:r>
                    <w:rPr>
                      <w:rFonts w:hint="eastAsia" w:cs="Times New Roman"/>
                      <w:color w:val="000000" w:themeColor="text1"/>
                      <w:lang w:val="en-US" w:eastAsia="zh-CN"/>
                      <w14:textFill>
                        <w14:solidFill>
                          <w14:schemeClr w14:val="tx1"/>
                        </w14:solidFill>
                      </w14:textFill>
                    </w:rPr>
                    <w:t>2台</w:t>
                  </w:r>
                </w:p>
              </w:tc>
              <w:tc>
                <w:tcPr>
                  <w:tcW w:w="735" w:type="pct"/>
                  <w:noWrap w:val="0"/>
                  <w:vAlign w:val="center"/>
                </w:tcPr>
                <w:p w14:paraId="1F1FD6F0">
                  <w:pPr>
                    <w:adjustRightInd w:val="0"/>
                    <w:snapToGrid w:val="0"/>
                    <w:jc w:val="center"/>
                    <w:rPr>
                      <w:rFonts w:hint="eastAsia" w:cs="Times New Roman"/>
                      <w:color w:val="FF0000"/>
                      <w:lang w:val="en-US" w:eastAsia="zh-CN"/>
                    </w:rPr>
                  </w:pPr>
                  <w:r>
                    <w:rPr>
                      <w:rFonts w:hint="eastAsia" w:cs="Times New Roman"/>
                      <w:color w:val="FF0000"/>
                      <w:lang w:val="en-US" w:eastAsia="zh-CN"/>
                    </w:rPr>
                    <w:t>不变</w:t>
                  </w:r>
                </w:p>
              </w:tc>
            </w:tr>
            <w:tr w14:paraId="70B9E64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8" w:type="pct"/>
                  <w:noWrap w:val="0"/>
                  <w:vAlign w:val="center"/>
                </w:tcPr>
                <w:p w14:paraId="1102EF81">
                  <w:pPr>
                    <w:adjustRightInd w:val="0"/>
                    <w:snapToGrid w:val="0"/>
                    <w:jc w:val="center"/>
                    <w:rPr>
                      <w:rFonts w:hint="eastAsia" w:cs="Times New Roman"/>
                      <w:snapToGrid w:val="0"/>
                      <w:color w:val="auto"/>
                      <w:szCs w:val="21"/>
                      <w:lang w:val="en-US" w:eastAsia="zh-CN"/>
                    </w:rPr>
                  </w:pPr>
                  <w:r>
                    <w:rPr>
                      <w:rFonts w:hint="eastAsia" w:cs="Times New Roman"/>
                      <w:snapToGrid w:val="0"/>
                      <w:color w:val="000000" w:themeColor="text1"/>
                      <w:szCs w:val="21"/>
                      <w:lang w:val="en-US" w:eastAsia="zh-CN"/>
                      <w14:textFill>
                        <w14:solidFill>
                          <w14:schemeClr w14:val="tx1"/>
                        </w14:solidFill>
                      </w14:textFill>
                    </w:rPr>
                    <w:t>9</w:t>
                  </w:r>
                </w:p>
              </w:tc>
              <w:tc>
                <w:tcPr>
                  <w:tcW w:w="988" w:type="pct"/>
                  <w:noWrap w:val="0"/>
                  <w:vAlign w:val="center"/>
                </w:tcPr>
                <w:p w14:paraId="6D81ABDC">
                  <w:pPr>
                    <w:adjustRightInd w:val="0"/>
                    <w:snapToGrid w:val="0"/>
                    <w:jc w:val="center"/>
                    <w:rPr>
                      <w:rFonts w:hint="eastAsia" w:cs="Times New Roman"/>
                      <w:snapToGrid w:val="0"/>
                      <w:color w:val="auto"/>
                      <w:szCs w:val="21"/>
                      <w:lang w:val="en-US" w:eastAsia="zh-CN"/>
                    </w:rPr>
                  </w:pPr>
                  <w:r>
                    <w:rPr>
                      <w:rFonts w:hint="eastAsia" w:cs="Times New Roman"/>
                      <w:snapToGrid w:val="0"/>
                      <w:color w:val="000000" w:themeColor="text1"/>
                      <w:szCs w:val="21"/>
                      <w:lang w:val="en-US" w:eastAsia="zh-CN"/>
                      <w14:textFill>
                        <w14:solidFill>
                          <w14:schemeClr w14:val="tx1"/>
                        </w14:solidFill>
                      </w14:textFill>
                    </w:rPr>
                    <w:t>双层圆简初清筛</w:t>
                  </w:r>
                </w:p>
              </w:tc>
              <w:tc>
                <w:tcPr>
                  <w:tcW w:w="840" w:type="pct"/>
                  <w:noWrap w:val="0"/>
                  <w:vAlign w:val="center"/>
                </w:tcPr>
                <w:p w14:paraId="11F815D7">
                  <w:pPr>
                    <w:adjustRightInd w:val="0"/>
                    <w:snapToGrid w:val="0"/>
                    <w:jc w:val="center"/>
                    <w:rPr>
                      <w:rFonts w:hint="eastAsia" w:cs="Times New Roman"/>
                      <w:snapToGrid w:val="0"/>
                      <w:color w:val="auto"/>
                      <w:szCs w:val="21"/>
                      <w:lang w:val="en-US" w:eastAsia="zh-CN"/>
                    </w:rPr>
                  </w:pPr>
                  <w:r>
                    <w:rPr>
                      <w:rFonts w:hint="eastAsia" w:cs="Times New Roman"/>
                      <w:snapToGrid w:val="0"/>
                      <w:color w:val="000000" w:themeColor="text1"/>
                      <w:szCs w:val="21"/>
                      <w:lang w:val="en-US" w:eastAsia="zh-CN"/>
                      <w14:textFill>
                        <w14:solidFill>
                          <w14:schemeClr w14:val="tx1"/>
                        </w14:solidFill>
                      </w14:textFill>
                    </w:rPr>
                    <w:t>TCQY100/4</w:t>
                  </w:r>
                </w:p>
              </w:tc>
              <w:tc>
                <w:tcPr>
                  <w:tcW w:w="1205" w:type="pct"/>
                  <w:noWrap w:val="0"/>
                  <w:vAlign w:val="center"/>
                </w:tcPr>
                <w:p w14:paraId="116847C0">
                  <w:pPr>
                    <w:adjustRightInd w:val="0"/>
                    <w:snapToGrid w:val="0"/>
                    <w:jc w:val="center"/>
                    <w:rPr>
                      <w:rFonts w:hint="eastAsia" w:cs="Times New Roman"/>
                      <w:color w:val="auto"/>
                      <w:lang w:val="en-US" w:eastAsia="zh-CN"/>
                    </w:rPr>
                  </w:pPr>
                  <w:r>
                    <w:rPr>
                      <w:rFonts w:hint="eastAsia" w:cs="Times New Roman"/>
                      <w:color w:val="000000" w:themeColor="text1"/>
                      <w:lang w:val="en-US" w:eastAsia="zh-CN"/>
                      <w14:textFill>
                        <w14:solidFill>
                          <w14:schemeClr w14:val="tx1"/>
                        </w14:solidFill>
                      </w14:textFill>
                    </w:rPr>
                    <w:t>2套</w:t>
                  </w:r>
                </w:p>
              </w:tc>
              <w:tc>
                <w:tcPr>
                  <w:tcW w:w="900" w:type="pct"/>
                  <w:noWrap w:val="0"/>
                  <w:vAlign w:val="center"/>
                </w:tcPr>
                <w:p w14:paraId="376BAA36">
                  <w:pPr>
                    <w:adjustRightInd w:val="0"/>
                    <w:snapToGrid w:val="0"/>
                    <w:jc w:val="center"/>
                    <w:rPr>
                      <w:rFonts w:hint="eastAsia" w:cs="Times New Roman"/>
                      <w:color w:val="auto"/>
                      <w:lang w:val="en-US" w:eastAsia="zh-CN"/>
                    </w:rPr>
                  </w:pPr>
                  <w:r>
                    <w:rPr>
                      <w:rFonts w:hint="eastAsia" w:cs="Times New Roman"/>
                      <w:color w:val="000000" w:themeColor="text1"/>
                      <w:lang w:val="en-US" w:eastAsia="zh-CN"/>
                      <w14:textFill>
                        <w14:solidFill>
                          <w14:schemeClr w14:val="tx1"/>
                        </w14:solidFill>
                      </w14:textFill>
                    </w:rPr>
                    <w:t>2套</w:t>
                  </w:r>
                </w:p>
              </w:tc>
              <w:tc>
                <w:tcPr>
                  <w:tcW w:w="735" w:type="pct"/>
                  <w:noWrap w:val="0"/>
                  <w:vAlign w:val="center"/>
                </w:tcPr>
                <w:p w14:paraId="4213C6AF">
                  <w:pPr>
                    <w:adjustRightInd w:val="0"/>
                    <w:snapToGrid w:val="0"/>
                    <w:jc w:val="center"/>
                    <w:rPr>
                      <w:rFonts w:hint="eastAsia" w:cs="Times New Roman"/>
                      <w:color w:val="FF0000"/>
                      <w:lang w:val="en-US" w:eastAsia="zh-CN"/>
                    </w:rPr>
                  </w:pPr>
                  <w:r>
                    <w:rPr>
                      <w:rFonts w:hint="eastAsia" w:cs="Times New Roman"/>
                      <w:color w:val="FF0000"/>
                      <w:lang w:val="en-US" w:eastAsia="zh-CN"/>
                    </w:rPr>
                    <w:t>不变</w:t>
                  </w:r>
                </w:p>
              </w:tc>
            </w:tr>
            <w:tr w14:paraId="3FC3BF7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90" w:hRule="atLeast"/>
                <w:jc w:val="center"/>
              </w:trPr>
              <w:tc>
                <w:tcPr>
                  <w:tcW w:w="328" w:type="pct"/>
                  <w:noWrap w:val="0"/>
                  <w:vAlign w:val="center"/>
                </w:tcPr>
                <w:p w14:paraId="6AA26505">
                  <w:pPr>
                    <w:adjustRightInd w:val="0"/>
                    <w:snapToGrid w:val="0"/>
                    <w:jc w:val="center"/>
                    <w:rPr>
                      <w:rFonts w:hint="eastAsia" w:cs="Times New Roman"/>
                      <w:snapToGrid w:val="0"/>
                      <w:color w:val="auto"/>
                      <w:szCs w:val="21"/>
                      <w:lang w:val="en-US" w:eastAsia="zh-CN"/>
                    </w:rPr>
                  </w:pPr>
                  <w:r>
                    <w:rPr>
                      <w:rFonts w:hint="eastAsia" w:cs="Times New Roman"/>
                      <w:snapToGrid w:val="0"/>
                      <w:color w:val="000000" w:themeColor="text1"/>
                      <w:szCs w:val="21"/>
                      <w:lang w:val="en-US" w:eastAsia="zh-CN"/>
                      <w14:textFill>
                        <w14:solidFill>
                          <w14:schemeClr w14:val="tx1"/>
                        </w14:solidFill>
                      </w14:textFill>
                    </w:rPr>
                    <w:t>10</w:t>
                  </w:r>
                </w:p>
              </w:tc>
              <w:tc>
                <w:tcPr>
                  <w:tcW w:w="988" w:type="pct"/>
                  <w:noWrap w:val="0"/>
                  <w:vAlign w:val="center"/>
                </w:tcPr>
                <w:p w14:paraId="6CD99D6C">
                  <w:pPr>
                    <w:adjustRightInd w:val="0"/>
                    <w:snapToGrid w:val="0"/>
                    <w:jc w:val="center"/>
                    <w:rPr>
                      <w:rFonts w:hint="eastAsia" w:cs="Times New Roman"/>
                      <w:snapToGrid w:val="0"/>
                      <w:color w:val="auto"/>
                      <w:szCs w:val="21"/>
                      <w:lang w:val="en-US" w:eastAsia="zh-CN"/>
                    </w:rPr>
                  </w:pPr>
                  <w:r>
                    <w:rPr>
                      <w:rFonts w:hint="eastAsia" w:cs="Times New Roman"/>
                      <w:snapToGrid w:val="0"/>
                      <w:color w:val="000000" w:themeColor="text1"/>
                      <w:szCs w:val="21"/>
                      <w:lang w:val="en-US" w:eastAsia="zh-CN"/>
                      <w14:textFill>
                        <w14:solidFill>
                          <w14:schemeClr w14:val="tx1"/>
                        </w14:solidFill>
                      </w14:textFill>
                    </w:rPr>
                    <w:t>电动三通</w:t>
                  </w:r>
                </w:p>
              </w:tc>
              <w:tc>
                <w:tcPr>
                  <w:tcW w:w="840" w:type="pct"/>
                  <w:noWrap w:val="0"/>
                  <w:vAlign w:val="center"/>
                </w:tcPr>
                <w:p w14:paraId="02E4E3AA">
                  <w:pPr>
                    <w:adjustRightInd w:val="0"/>
                    <w:snapToGrid w:val="0"/>
                    <w:jc w:val="center"/>
                    <w:rPr>
                      <w:rFonts w:hint="eastAsia" w:cs="Times New Roman"/>
                      <w:snapToGrid w:val="0"/>
                      <w:color w:val="auto"/>
                      <w:szCs w:val="21"/>
                      <w:lang w:val="en-US" w:eastAsia="zh-CN"/>
                    </w:rPr>
                  </w:pPr>
                  <w:r>
                    <w:rPr>
                      <w:rFonts w:hint="eastAsia" w:cs="Times New Roman"/>
                      <w:snapToGrid w:val="0"/>
                      <w:color w:val="000000" w:themeColor="text1"/>
                      <w:szCs w:val="21"/>
                      <w:lang w:val="en-US" w:eastAsia="zh-CN"/>
                      <w14:textFill>
                        <w14:solidFill>
                          <w14:schemeClr w14:val="tx1"/>
                        </w14:solidFill>
                      </w14:textFill>
                    </w:rPr>
                    <w:t>AHBD250</w:t>
                  </w:r>
                </w:p>
              </w:tc>
              <w:tc>
                <w:tcPr>
                  <w:tcW w:w="1205" w:type="pct"/>
                  <w:noWrap w:val="0"/>
                  <w:vAlign w:val="center"/>
                </w:tcPr>
                <w:p w14:paraId="01A089D6">
                  <w:pPr>
                    <w:adjustRightInd w:val="0"/>
                    <w:snapToGrid w:val="0"/>
                    <w:jc w:val="center"/>
                    <w:rPr>
                      <w:rFonts w:hint="eastAsia" w:cs="Times New Roman"/>
                      <w:color w:val="auto"/>
                      <w:lang w:val="en-US" w:eastAsia="zh-CN"/>
                    </w:rPr>
                  </w:pPr>
                  <w:r>
                    <w:rPr>
                      <w:rFonts w:hint="eastAsia" w:cs="Times New Roman"/>
                      <w:color w:val="000000" w:themeColor="text1"/>
                      <w:lang w:val="en-US" w:eastAsia="zh-CN"/>
                      <w14:textFill>
                        <w14:solidFill>
                          <w14:schemeClr w14:val="tx1"/>
                        </w14:solidFill>
                      </w14:textFill>
                    </w:rPr>
                    <w:t>12台</w:t>
                  </w:r>
                </w:p>
              </w:tc>
              <w:tc>
                <w:tcPr>
                  <w:tcW w:w="900" w:type="pct"/>
                  <w:noWrap w:val="0"/>
                  <w:vAlign w:val="center"/>
                </w:tcPr>
                <w:p w14:paraId="5F33676C">
                  <w:pPr>
                    <w:adjustRightInd w:val="0"/>
                    <w:snapToGrid w:val="0"/>
                    <w:jc w:val="center"/>
                    <w:rPr>
                      <w:rFonts w:hint="eastAsia" w:cs="Times New Roman"/>
                      <w:color w:val="auto"/>
                      <w:lang w:val="en-US" w:eastAsia="zh-CN"/>
                    </w:rPr>
                  </w:pPr>
                  <w:r>
                    <w:rPr>
                      <w:rFonts w:hint="eastAsia" w:cs="Times New Roman"/>
                      <w:color w:val="000000" w:themeColor="text1"/>
                      <w:lang w:val="en-US" w:eastAsia="zh-CN"/>
                      <w14:textFill>
                        <w14:solidFill>
                          <w14:schemeClr w14:val="tx1"/>
                        </w14:solidFill>
                      </w14:textFill>
                    </w:rPr>
                    <w:t>12台</w:t>
                  </w:r>
                </w:p>
              </w:tc>
              <w:tc>
                <w:tcPr>
                  <w:tcW w:w="735" w:type="pct"/>
                  <w:noWrap w:val="0"/>
                  <w:vAlign w:val="center"/>
                </w:tcPr>
                <w:p w14:paraId="1C243725">
                  <w:pPr>
                    <w:adjustRightInd w:val="0"/>
                    <w:snapToGrid w:val="0"/>
                    <w:jc w:val="center"/>
                    <w:rPr>
                      <w:rFonts w:hint="eastAsia" w:cs="Times New Roman"/>
                      <w:color w:val="FF0000"/>
                      <w:lang w:val="en-US" w:eastAsia="zh-CN"/>
                    </w:rPr>
                  </w:pPr>
                  <w:r>
                    <w:rPr>
                      <w:rFonts w:hint="eastAsia" w:cs="Times New Roman"/>
                      <w:color w:val="FF0000"/>
                      <w:lang w:val="en-US" w:eastAsia="zh-CN"/>
                    </w:rPr>
                    <w:t>不变</w:t>
                  </w:r>
                </w:p>
              </w:tc>
            </w:tr>
            <w:tr w14:paraId="52D653E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8" w:type="pct"/>
                  <w:noWrap w:val="0"/>
                  <w:vAlign w:val="center"/>
                </w:tcPr>
                <w:p w14:paraId="316470B4">
                  <w:pPr>
                    <w:adjustRightInd w:val="0"/>
                    <w:snapToGrid w:val="0"/>
                    <w:jc w:val="center"/>
                    <w:rPr>
                      <w:rFonts w:hint="eastAsia" w:cs="Times New Roman"/>
                      <w:snapToGrid w:val="0"/>
                      <w:color w:val="auto"/>
                      <w:szCs w:val="21"/>
                      <w:lang w:val="en-US" w:eastAsia="zh-CN"/>
                    </w:rPr>
                  </w:pPr>
                  <w:r>
                    <w:rPr>
                      <w:rFonts w:hint="eastAsia" w:cs="Times New Roman"/>
                      <w:snapToGrid w:val="0"/>
                      <w:color w:val="000000" w:themeColor="text1"/>
                      <w:szCs w:val="21"/>
                      <w:lang w:val="en-US" w:eastAsia="zh-CN"/>
                      <w14:textFill>
                        <w14:solidFill>
                          <w14:schemeClr w14:val="tx1"/>
                        </w14:solidFill>
                      </w14:textFill>
                    </w:rPr>
                    <w:t>11</w:t>
                  </w:r>
                </w:p>
              </w:tc>
              <w:tc>
                <w:tcPr>
                  <w:tcW w:w="988" w:type="pct"/>
                  <w:noWrap w:val="0"/>
                  <w:vAlign w:val="center"/>
                </w:tcPr>
                <w:p w14:paraId="4AEB4252">
                  <w:pPr>
                    <w:adjustRightInd w:val="0"/>
                    <w:snapToGrid w:val="0"/>
                    <w:jc w:val="center"/>
                    <w:rPr>
                      <w:rFonts w:hint="eastAsia" w:cs="Times New Roman"/>
                      <w:snapToGrid w:val="0"/>
                      <w:color w:val="auto"/>
                      <w:szCs w:val="21"/>
                      <w:lang w:val="en-US" w:eastAsia="zh-CN"/>
                    </w:rPr>
                  </w:pPr>
                  <w:r>
                    <w:rPr>
                      <w:rFonts w:hint="eastAsia" w:cs="Times New Roman"/>
                      <w:snapToGrid w:val="0"/>
                      <w:color w:val="000000" w:themeColor="text1"/>
                      <w:szCs w:val="21"/>
                      <w:lang w:val="en-US" w:eastAsia="zh-CN"/>
                      <w14:textFill>
                        <w14:solidFill>
                          <w14:schemeClr w14:val="tx1"/>
                        </w14:solidFill>
                      </w14:textFill>
                    </w:rPr>
                    <w:t>斗式提升机</w:t>
                  </w:r>
                </w:p>
              </w:tc>
              <w:tc>
                <w:tcPr>
                  <w:tcW w:w="840" w:type="pct"/>
                  <w:noWrap w:val="0"/>
                  <w:vAlign w:val="center"/>
                </w:tcPr>
                <w:p w14:paraId="6AB74B62">
                  <w:pPr>
                    <w:adjustRightInd w:val="0"/>
                    <w:snapToGrid w:val="0"/>
                    <w:jc w:val="center"/>
                    <w:rPr>
                      <w:rFonts w:hint="eastAsia" w:cs="Times New Roman"/>
                      <w:snapToGrid w:val="0"/>
                      <w:color w:val="auto"/>
                      <w:szCs w:val="21"/>
                      <w:lang w:val="en-US" w:eastAsia="zh-CN"/>
                    </w:rPr>
                  </w:pPr>
                  <w:r>
                    <w:rPr>
                      <w:rFonts w:hint="eastAsia" w:cs="Times New Roman"/>
                      <w:snapToGrid w:val="0"/>
                      <w:color w:val="000000" w:themeColor="text1"/>
                      <w:szCs w:val="21"/>
                      <w:lang w:val="en-US" w:eastAsia="zh-CN"/>
                      <w14:textFill>
                        <w14:solidFill>
                          <w14:schemeClr w14:val="tx1"/>
                        </w14:solidFill>
                      </w14:textFill>
                    </w:rPr>
                    <w:t>TDTG5</w:t>
                  </w:r>
                  <w:r>
                    <w:rPr>
                      <w:rFonts w:hint="default" w:ascii="Times New Roman" w:hAnsi="Times New Roman" w:cs="Times New Roman"/>
                      <w:snapToGrid w:val="0"/>
                      <w:color w:val="000000" w:themeColor="text1"/>
                      <w:szCs w:val="21"/>
                      <w:lang w:val="en-US" w:eastAsia="zh-CN"/>
                      <w14:textFill>
                        <w14:solidFill>
                          <w14:schemeClr w14:val="tx1"/>
                        </w14:solidFill>
                      </w14:textFill>
                    </w:rPr>
                    <w:t>0×</w:t>
                  </w:r>
                  <w:r>
                    <w:rPr>
                      <w:rFonts w:hint="eastAsia" w:cs="Times New Roman"/>
                      <w:snapToGrid w:val="0"/>
                      <w:color w:val="000000" w:themeColor="text1"/>
                      <w:szCs w:val="21"/>
                      <w:lang w:val="en-US" w:eastAsia="zh-CN"/>
                      <w14:textFill>
                        <w14:solidFill>
                          <w14:schemeClr w14:val="tx1"/>
                        </w14:solidFill>
                      </w14:textFill>
                    </w:rPr>
                    <w:t>28</w:t>
                  </w:r>
                </w:p>
              </w:tc>
              <w:tc>
                <w:tcPr>
                  <w:tcW w:w="1205" w:type="pct"/>
                  <w:noWrap w:val="0"/>
                  <w:vAlign w:val="center"/>
                </w:tcPr>
                <w:p w14:paraId="5E8F8785">
                  <w:pPr>
                    <w:adjustRightInd w:val="0"/>
                    <w:snapToGrid w:val="0"/>
                    <w:jc w:val="center"/>
                    <w:rPr>
                      <w:rFonts w:hint="eastAsia" w:cs="Times New Roman"/>
                      <w:color w:val="auto"/>
                      <w:lang w:val="en-US" w:eastAsia="zh-CN"/>
                    </w:rPr>
                  </w:pPr>
                  <w:r>
                    <w:rPr>
                      <w:rFonts w:hint="eastAsia" w:cs="Times New Roman"/>
                      <w:color w:val="000000" w:themeColor="text1"/>
                      <w:lang w:val="en-US" w:eastAsia="zh-CN"/>
                      <w14:textFill>
                        <w14:solidFill>
                          <w14:schemeClr w14:val="tx1"/>
                        </w14:solidFill>
                      </w14:textFill>
                    </w:rPr>
                    <w:t>2台</w:t>
                  </w:r>
                </w:p>
              </w:tc>
              <w:tc>
                <w:tcPr>
                  <w:tcW w:w="900" w:type="pct"/>
                  <w:noWrap w:val="0"/>
                  <w:vAlign w:val="center"/>
                </w:tcPr>
                <w:p w14:paraId="29B57B7C">
                  <w:pPr>
                    <w:adjustRightInd w:val="0"/>
                    <w:snapToGrid w:val="0"/>
                    <w:jc w:val="center"/>
                    <w:rPr>
                      <w:rFonts w:hint="eastAsia" w:cs="Times New Roman"/>
                      <w:color w:val="auto"/>
                      <w:lang w:val="en-US" w:eastAsia="zh-CN"/>
                    </w:rPr>
                  </w:pPr>
                  <w:r>
                    <w:rPr>
                      <w:rFonts w:hint="eastAsia" w:cs="Times New Roman"/>
                      <w:color w:val="000000" w:themeColor="text1"/>
                      <w:lang w:val="en-US" w:eastAsia="zh-CN"/>
                      <w14:textFill>
                        <w14:solidFill>
                          <w14:schemeClr w14:val="tx1"/>
                        </w14:solidFill>
                      </w14:textFill>
                    </w:rPr>
                    <w:t>2台</w:t>
                  </w:r>
                </w:p>
              </w:tc>
              <w:tc>
                <w:tcPr>
                  <w:tcW w:w="735" w:type="pct"/>
                  <w:noWrap w:val="0"/>
                  <w:vAlign w:val="center"/>
                </w:tcPr>
                <w:p w14:paraId="1287BB80">
                  <w:pPr>
                    <w:adjustRightInd w:val="0"/>
                    <w:snapToGrid w:val="0"/>
                    <w:jc w:val="center"/>
                    <w:rPr>
                      <w:rFonts w:hint="eastAsia" w:cs="Times New Roman"/>
                      <w:color w:val="FF0000"/>
                      <w:lang w:val="en-US" w:eastAsia="zh-CN"/>
                    </w:rPr>
                  </w:pPr>
                  <w:r>
                    <w:rPr>
                      <w:rFonts w:hint="eastAsia" w:cs="Times New Roman"/>
                      <w:color w:val="FF0000"/>
                      <w:lang w:val="en-US" w:eastAsia="zh-CN"/>
                    </w:rPr>
                    <w:t>不变</w:t>
                  </w:r>
                </w:p>
              </w:tc>
            </w:tr>
            <w:tr w14:paraId="451F660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8" w:type="pct"/>
                  <w:noWrap w:val="0"/>
                  <w:vAlign w:val="center"/>
                </w:tcPr>
                <w:p w14:paraId="770071D6">
                  <w:pPr>
                    <w:adjustRightInd w:val="0"/>
                    <w:snapToGrid w:val="0"/>
                    <w:jc w:val="center"/>
                    <w:rPr>
                      <w:rFonts w:hint="eastAsia" w:cs="Times New Roman"/>
                      <w:snapToGrid w:val="0"/>
                      <w:color w:val="auto"/>
                      <w:szCs w:val="21"/>
                      <w:lang w:val="en-US" w:eastAsia="zh-CN"/>
                    </w:rPr>
                  </w:pPr>
                  <w:r>
                    <w:rPr>
                      <w:rFonts w:hint="eastAsia" w:cs="Times New Roman"/>
                      <w:snapToGrid w:val="0"/>
                      <w:color w:val="000000" w:themeColor="text1"/>
                      <w:szCs w:val="21"/>
                      <w:lang w:val="en-US" w:eastAsia="zh-CN"/>
                      <w14:textFill>
                        <w14:solidFill>
                          <w14:schemeClr w14:val="tx1"/>
                        </w14:solidFill>
                      </w14:textFill>
                    </w:rPr>
                    <w:t>12</w:t>
                  </w:r>
                </w:p>
              </w:tc>
              <w:tc>
                <w:tcPr>
                  <w:tcW w:w="988" w:type="pct"/>
                  <w:noWrap w:val="0"/>
                  <w:vAlign w:val="center"/>
                </w:tcPr>
                <w:p w14:paraId="09CB2C7B">
                  <w:pPr>
                    <w:adjustRightInd w:val="0"/>
                    <w:snapToGrid w:val="0"/>
                    <w:jc w:val="center"/>
                    <w:rPr>
                      <w:rFonts w:hint="eastAsia" w:cs="Times New Roman"/>
                      <w:snapToGrid w:val="0"/>
                      <w:color w:val="auto"/>
                      <w:szCs w:val="21"/>
                      <w:lang w:val="en-US" w:eastAsia="zh-CN"/>
                    </w:rPr>
                  </w:pPr>
                  <w:r>
                    <w:rPr>
                      <w:rFonts w:hint="eastAsia" w:cs="Times New Roman"/>
                      <w:snapToGrid w:val="0"/>
                      <w:color w:val="000000" w:themeColor="text1"/>
                      <w:szCs w:val="21"/>
                      <w:lang w:val="en-US" w:eastAsia="zh-CN"/>
                      <w14:textFill>
                        <w14:solidFill>
                          <w14:schemeClr w14:val="tx1"/>
                        </w14:solidFill>
                      </w14:textFill>
                    </w:rPr>
                    <w:t>料位器</w:t>
                  </w:r>
                </w:p>
              </w:tc>
              <w:tc>
                <w:tcPr>
                  <w:tcW w:w="840" w:type="pct"/>
                  <w:noWrap w:val="0"/>
                  <w:vAlign w:val="center"/>
                </w:tcPr>
                <w:p w14:paraId="5577C0AC">
                  <w:pPr>
                    <w:adjustRightInd w:val="0"/>
                    <w:snapToGrid w:val="0"/>
                    <w:jc w:val="center"/>
                    <w:rPr>
                      <w:rFonts w:hint="eastAsia" w:cs="Times New Roman"/>
                      <w:snapToGrid w:val="0"/>
                      <w:color w:val="auto"/>
                      <w:szCs w:val="21"/>
                      <w:lang w:val="en-US" w:eastAsia="zh-CN"/>
                    </w:rPr>
                  </w:pPr>
                  <w:r>
                    <w:rPr>
                      <w:rFonts w:hint="eastAsia" w:cs="Times New Roman"/>
                      <w:snapToGrid w:val="0"/>
                      <w:color w:val="000000" w:themeColor="text1"/>
                      <w:szCs w:val="21"/>
                      <w:lang w:val="en-US" w:eastAsia="zh-CN"/>
                      <w14:textFill>
                        <w14:solidFill>
                          <w14:schemeClr w14:val="tx1"/>
                        </w14:solidFill>
                      </w14:textFill>
                    </w:rPr>
                    <w:t>KI5002</w:t>
                  </w:r>
                </w:p>
              </w:tc>
              <w:tc>
                <w:tcPr>
                  <w:tcW w:w="1205" w:type="pct"/>
                  <w:noWrap w:val="0"/>
                  <w:vAlign w:val="center"/>
                </w:tcPr>
                <w:p w14:paraId="61271C70">
                  <w:pPr>
                    <w:adjustRightInd w:val="0"/>
                    <w:snapToGrid w:val="0"/>
                    <w:jc w:val="center"/>
                    <w:rPr>
                      <w:rFonts w:hint="eastAsia" w:cs="Times New Roman"/>
                      <w:color w:val="auto"/>
                      <w:lang w:val="en-US" w:eastAsia="zh-CN"/>
                    </w:rPr>
                  </w:pPr>
                  <w:r>
                    <w:rPr>
                      <w:rFonts w:hint="eastAsia" w:cs="Times New Roman"/>
                      <w:color w:val="000000" w:themeColor="text1"/>
                      <w:lang w:val="en-US" w:eastAsia="zh-CN"/>
                      <w14:textFill>
                        <w14:solidFill>
                          <w14:schemeClr w14:val="tx1"/>
                        </w14:solidFill>
                      </w14:textFill>
                    </w:rPr>
                    <w:t>20台</w:t>
                  </w:r>
                </w:p>
              </w:tc>
              <w:tc>
                <w:tcPr>
                  <w:tcW w:w="900" w:type="pct"/>
                  <w:noWrap w:val="0"/>
                  <w:vAlign w:val="center"/>
                </w:tcPr>
                <w:p w14:paraId="02008109">
                  <w:pPr>
                    <w:adjustRightInd w:val="0"/>
                    <w:snapToGrid w:val="0"/>
                    <w:jc w:val="center"/>
                    <w:rPr>
                      <w:rFonts w:hint="eastAsia" w:cs="Times New Roman"/>
                      <w:color w:val="auto"/>
                      <w:lang w:val="en-US" w:eastAsia="zh-CN"/>
                    </w:rPr>
                  </w:pPr>
                  <w:r>
                    <w:rPr>
                      <w:rFonts w:hint="eastAsia" w:cs="Times New Roman"/>
                      <w:color w:val="000000" w:themeColor="text1"/>
                      <w:lang w:val="en-US" w:eastAsia="zh-CN"/>
                      <w14:textFill>
                        <w14:solidFill>
                          <w14:schemeClr w14:val="tx1"/>
                        </w14:solidFill>
                      </w14:textFill>
                    </w:rPr>
                    <w:t>20台</w:t>
                  </w:r>
                </w:p>
              </w:tc>
              <w:tc>
                <w:tcPr>
                  <w:tcW w:w="735" w:type="pct"/>
                  <w:noWrap w:val="0"/>
                  <w:vAlign w:val="center"/>
                </w:tcPr>
                <w:p w14:paraId="7BD83B19">
                  <w:pPr>
                    <w:adjustRightInd w:val="0"/>
                    <w:snapToGrid w:val="0"/>
                    <w:jc w:val="center"/>
                    <w:rPr>
                      <w:rFonts w:hint="eastAsia" w:cs="Times New Roman"/>
                      <w:color w:val="FF0000"/>
                      <w:lang w:val="en-US" w:eastAsia="zh-CN"/>
                    </w:rPr>
                  </w:pPr>
                  <w:r>
                    <w:rPr>
                      <w:rFonts w:hint="eastAsia" w:cs="Times New Roman"/>
                      <w:color w:val="FF0000"/>
                      <w:lang w:val="en-US" w:eastAsia="zh-CN"/>
                    </w:rPr>
                    <w:t>不变</w:t>
                  </w:r>
                </w:p>
              </w:tc>
            </w:tr>
            <w:tr w14:paraId="448E8BC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8" w:type="pct"/>
                  <w:noWrap w:val="0"/>
                  <w:vAlign w:val="center"/>
                </w:tcPr>
                <w:p w14:paraId="747856E4">
                  <w:pPr>
                    <w:adjustRightInd w:val="0"/>
                    <w:snapToGrid w:val="0"/>
                    <w:jc w:val="center"/>
                    <w:rPr>
                      <w:rFonts w:hint="eastAsia" w:cs="Times New Roman"/>
                      <w:snapToGrid w:val="0"/>
                      <w:color w:val="auto"/>
                      <w:szCs w:val="21"/>
                      <w:lang w:val="en-US" w:eastAsia="zh-CN"/>
                    </w:rPr>
                  </w:pPr>
                  <w:r>
                    <w:rPr>
                      <w:rFonts w:hint="eastAsia" w:cs="Times New Roman"/>
                      <w:snapToGrid w:val="0"/>
                      <w:color w:val="000000" w:themeColor="text1"/>
                      <w:szCs w:val="21"/>
                      <w:lang w:val="en-US" w:eastAsia="zh-CN"/>
                      <w14:textFill>
                        <w14:solidFill>
                          <w14:schemeClr w14:val="tx1"/>
                        </w14:solidFill>
                      </w14:textFill>
                    </w:rPr>
                    <w:t>13</w:t>
                  </w:r>
                </w:p>
              </w:tc>
              <w:tc>
                <w:tcPr>
                  <w:tcW w:w="988" w:type="pct"/>
                  <w:noWrap w:val="0"/>
                  <w:vAlign w:val="center"/>
                </w:tcPr>
                <w:p w14:paraId="3EBEF0DB">
                  <w:pPr>
                    <w:adjustRightInd w:val="0"/>
                    <w:snapToGrid w:val="0"/>
                    <w:jc w:val="center"/>
                    <w:rPr>
                      <w:rFonts w:hint="eastAsia" w:cs="Times New Roman"/>
                      <w:snapToGrid w:val="0"/>
                      <w:color w:val="auto"/>
                      <w:szCs w:val="21"/>
                      <w:lang w:val="en-US" w:eastAsia="zh-CN"/>
                    </w:rPr>
                  </w:pPr>
                  <w:r>
                    <w:rPr>
                      <w:rFonts w:hint="eastAsia" w:cs="Times New Roman"/>
                      <w:snapToGrid w:val="0"/>
                      <w:color w:val="000000" w:themeColor="text1"/>
                      <w:szCs w:val="21"/>
                      <w:lang w:val="en-US" w:eastAsia="zh-CN"/>
                      <w14:textFill>
                        <w14:solidFill>
                          <w14:schemeClr w14:val="tx1"/>
                        </w14:solidFill>
                      </w14:textFill>
                    </w:rPr>
                    <w:t>仓顶引风机</w:t>
                  </w:r>
                </w:p>
              </w:tc>
              <w:tc>
                <w:tcPr>
                  <w:tcW w:w="840" w:type="pct"/>
                  <w:noWrap w:val="0"/>
                  <w:vAlign w:val="center"/>
                </w:tcPr>
                <w:p w14:paraId="7C614B32">
                  <w:pPr>
                    <w:adjustRightInd w:val="0"/>
                    <w:snapToGrid w:val="0"/>
                    <w:jc w:val="center"/>
                    <w:rPr>
                      <w:rFonts w:hint="eastAsia" w:cs="Times New Roman"/>
                      <w:snapToGrid w:val="0"/>
                      <w:color w:val="auto"/>
                      <w:szCs w:val="21"/>
                      <w:lang w:val="en-US" w:eastAsia="zh-CN"/>
                    </w:rPr>
                  </w:pPr>
                  <w:r>
                    <w:rPr>
                      <w:rFonts w:hint="eastAsia" w:cs="Times New Roman"/>
                      <w:snapToGrid w:val="0"/>
                      <w:color w:val="000000" w:themeColor="text1"/>
                      <w:szCs w:val="21"/>
                      <w:lang w:val="en-US" w:eastAsia="zh-CN"/>
                      <w14:textFill>
                        <w14:solidFill>
                          <w14:schemeClr w14:val="tx1"/>
                        </w14:solidFill>
                      </w14:textFill>
                    </w:rPr>
                    <w:t>1.1kw/h</w:t>
                  </w:r>
                </w:p>
              </w:tc>
              <w:tc>
                <w:tcPr>
                  <w:tcW w:w="1205" w:type="pct"/>
                  <w:noWrap w:val="0"/>
                  <w:vAlign w:val="center"/>
                </w:tcPr>
                <w:p w14:paraId="79B8BF42">
                  <w:pPr>
                    <w:adjustRightInd w:val="0"/>
                    <w:snapToGrid w:val="0"/>
                    <w:jc w:val="center"/>
                    <w:rPr>
                      <w:rFonts w:hint="eastAsia" w:cs="Times New Roman"/>
                      <w:color w:val="auto"/>
                      <w:lang w:val="en-US" w:eastAsia="zh-CN"/>
                    </w:rPr>
                  </w:pPr>
                  <w:r>
                    <w:rPr>
                      <w:rFonts w:hint="eastAsia" w:cs="Times New Roman"/>
                      <w:color w:val="000000" w:themeColor="text1"/>
                      <w:lang w:val="en-US" w:eastAsia="zh-CN"/>
                      <w14:textFill>
                        <w14:solidFill>
                          <w14:schemeClr w14:val="tx1"/>
                        </w14:solidFill>
                      </w14:textFill>
                    </w:rPr>
                    <w:t>10台</w:t>
                  </w:r>
                </w:p>
              </w:tc>
              <w:tc>
                <w:tcPr>
                  <w:tcW w:w="900" w:type="pct"/>
                  <w:noWrap w:val="0"/>
                  <w:vAlign w:val="center"/>
                </w:tcPr>
                <w:p w14:paraId="5C9C33D3">
                  <w:pPr>
                    <w:adjustRightInd w:val="0"/>
                    <w:snapToGrid w:val="0"/>
                    <w:jc w:val="center"/>
                    <w:rPr>
                      <w:rFonts w:hint="eastAsia" w:cs="Times New Roman"/>
                      <w:color w:val="auto"/>
                      <w:lang w:val="en-US" w:eastAsia="zh-CN"/>
                    </w:rPr>
                  </w:pPr>
                  <w:r>
                    <w:rPr>
                      <w:rFonts w:hint="eastAsia" w:cs="Times New Roman"/>
                      <w:color w:val="000000" w:themeColor="text1"/>
                      <w:lang w:val="en-US" w:eastAsia="zh-CN"/>
                      <w14:textFill>
                        <w14:solidFill>
                          <w14:schemeClr w14:val="tx1"/>
                        </w14:solidFill>
                      </w14:textFill>
                    </w:rPr>
                    <w:t>10台</w:t>
                  </w:r>
                </w:p>
              </w:tc>
              <w:tc>
                <w:tcPr>
                  <w:tcW w:w="735" w:type="pct"/>
                  <w:noWrap w:val="0"/>
                  <w:vAlign w:val="center"/>
                </w:tcPr>
                <w:p w14:paraId="42C230C3">
                  <w:pPr>
                    <w:adjustRightInd w:val="0"/>
                    <w:snapToGrid w:val="0"/>
                    <w:jc w:val="center"/>
                    <w:rPr>
                      <w:rFonts w:hint="eastAsia" w:cs="Times New Roman"/>
                      <w:color w:val="FF0000"/>
                      <w:lang w:val="en-US" w:eastAsia="zh-CN"/>
                    </w:rPr>
                  </w:pPr>
                  <w:r>
                    <w:rPr>
                      <w:rFonts w:hint="eastAsia" w:cs="Times New Roman"/>
                      <w:color w:val="FF0000"/>
                      <w:lang w:val="en-US" w:eastAsia="zh-CN"/>
                    </w:rPr>
                    <w:t>不变</w:t>
                  </w:r>
                </w:p>
              </w:tc>
            </w:tr>
            <w:tr w14:paraId="18635DB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8" w:type="pct"/>
                  <w:noWrap w:val="0"/>
                  <w:vAlign w:val="center"/>
                </w:tcPr>
                <w:p w14:paraId="6F4A45B0">
                  <w:pPr>
                    <w:adjustRightInd w:val="0"/>
                    <w:snapToGrid w:val="0"/>
                    <w:jc w:val="center"/>
                    <w:rPr>
                      <w:rFonts w:hint="eastAsia" w:cs="Times New Roman"/>
                      <w:snapToGrid w:val="0"/>
                      <w:color w:val="auto"/>
                      <w:szCs w:val="21"/>
                      <w:lang w:val="en-US" w:eastAsia="zh-CN"/>
                    </w:rPr>
                  </w:pPr>
                  <w:r>
                    <w:rPr>
                      <w:rFonts w:hint="eastAsia" w:cs="Times New Roman"/>
                      <w:snapToGrid w:val="0"/>
                      <w:color w:val="000000" w:themeColor="text1"/>
                      <w:szCs w:val="21"/>
                      <w:lang w:val="en-US" w:eastAsia="zh-CN"/>
                      <w14:textFill>
                        <w14:solidFill>
                          <w14:schemeClr w14:val="tx1"/>
                        </w14:solidFill>
                      </w14:textFill>
                    </w:rPr>
                    <w:t>14</w:t>
                  </w:r>
                </w:p>
              </w:tc>
              <w:tc>
                <w:tcPr>
                  <w:tcW w:w="988" w:type="pct"/>
                  <w:noWrap w:val="0"/>
                  <w:vAlign w:val="center"/>
                </w:tcPr>
                <w:p w14:paraId="3A31E58C">
                  <w:pPr>
                    <w:adjustRightInd w:val="0"/>
                    <w:snapToGrid w:val="0"/>
                    <w:jc w:val="center"/>
                    <w:rPr>
                      <w:rFonts w:hint="eastAsia" w:cs="Times New Roman"/>
                      <w:snapToGrid w:val="0"/>
                      <w:color w:val="auto"/>
                      <w:szCs w:val="21"/>
                      <w:lang w:val="en-US" w:eastAsia="zh-CN"/>
                    </w:rPr>
                  </w:pPr>
                  <w:r>
                    <w:rPr>
                      <w:rFonts w:hint="eastAsia" w:cs="Times New Roman"/>
                      <w:snapToGrid w:val="0"/>
                      <w:color w:val="000000" w:themeColor="text1"/>
                      <w:szCs w:val="21"/>
                      <w:lang w:val="en-US" w:eastAsia="zh-CN"/>
                      <w14:textFill>
                        <w14:solidFill>
                          <w14:schemeClr w14:val="tx1"/>
                        </w14:solidFill>
                      </w14:textFill>
                    </w:rPr>
                    <w:t>永磁简</w:t>
                  </w:r>
                </w:p>
              </w:tc>
              <w:tc>
                <w:tcPr>
                  <w:tcW w:w="840" w:type="pct"/>
                  <w:noWrap w:val="0"/>
                  <w:vAlign w:val="center"/>
                </w:tcPr>
                <w:p w14:paraId="1FA27C96">
                  <w:pPr>
                    <w:adjustRightInd w:val="0"/>
                    <w:snapToGrid w:val="0"/>
                    <w:jc w:val="center"/>
                    <w:rPr>
                      <w:rFonts w:hint="eastAsia" w:cs="Times New Roman"/>
                      <w:snapToGrid w:val="0"/>
                      <w:color w:val="auto"/>
                      <w:szCs w:val="21"/>
                      <w:lang w:val="en-US" w:eastAsia="zh-CN"/>
                    </w:rPr>
                  </w:pPr>
                  <w:r>
                    <w:rPr>
                      <w:rFonts w:hint="eastAsia" w:cs="Times New Roman"/>
                      <w:snapToGrid w:val="0"/>
                      <w:color w:val="000000" w:themeColor="text1"/>
                      <w:szCs w:val="21"/>
                      <w:lang w:val="en-US" w:eastAsia="zh-CN"/>
                      <w14:textFill>
                        <w14:solidFill>
                          <w14:schemeClr w14:val="tx1"/>
                        </w14:solidFill>
                      </w14:textFill>
                    </w:rPr>
                    <w:t>TCXT40</w:t>
                  </w:r>
                </w:p>
              </w:tc>
              <w:tc>
                <w:tcPr>
                  <w:tcW w:w="1205" w:type="pct"/>
                  <w:noWrap w:val="0"/>
                  <w:vAlign w:val="center"/>
                </w:tcPr>
                <w:p w14:paraId="2103CB0F">
                  <w:pPr>
                    <w:adjustRightInd w:val="0"/>
                    <w:snapToGrid w:val="0"/>
                    <w:jc w:val="center"/>
                    <w:rPr>
                      <w:rFonts w:hint="eastAsia" w:cs="Times New Roman"/>
                      <w:color w:val="auto"/>
                      <w:lang w:val="en-US" w:eastAsia="zh-CN"/>
                    </w:rPr>
                  </w:pPr>
                  <w:r>
                    <w:rPr>
                      <w:rFonts w:hint="eastAsia" w:cs="Times New Roman"/>
                      <w:color w:val="000000" w:themeColor="text1"/>
                      <w:lang w:val="en-US" w:eastAsia="zh-CN"/>
                      <w14:textFill>
                        <w14:solidFill>
                          <w14:schemeClr w14:val="tx1"/>
                        </w14:solidFill>
                      </w14:textFill>
                    </w:rPr>
                    <w:t>2台</w:t>
                  </w:r>
                </w:p>
              </w:tc>
              <w:tc>
                <w:tcPr>
                  <w:tcW w:w="900" w:type="pct"/>
                  <w:noWrap w:val="0"/>
                  <w:vAlign w:val="center"/>
                </w:tcPr>
                <w:p w14:paraId="7918B9D7">
                  <w:pPr>
                    <w:adjustRightInd w:val="0"/>
                    <w:snapToGrid w:val="0"/>
                    <w:jc w:val="center"/>
                    <w:rPr>
                      <w:rFonts w:hint="eastAsia" w:cs="Times New Roman"/>
                      <w:color w:val="auto"/>
                      <w:lang w:val="en-US" w:eastAsia="zh-CN"/>
                    </w:rPr>
                  </w:pPr>
                  <w:r>
                    <w:rPr>
                      <w:rFonts w:hint="eastAsia" w:cs="Times New Roman"/>
                      <w:color w:val="000000" w:themeColor="text1"/>
                      <w:lang w:val="en-US" w:eastAsia="zh-CN"/>
                      <w14:textFill>
                        <w14:solidFill>
                          <w14:schemeClr w14:val="tx1"/>
                        </w14:solidFill>
                      </w14:textFill>
                    </w:rPr>
                    <w:t>2台</w:t>
                  </w:r>
                </w:p>
              </w:tc>
              <w:tc>
                <w:tcPr>
                  <w:tcW w:w="735" w:type="pct"/>
                  <w:noWrap w:val="0"/>
                  <w:vAlign w:val="center"/>
                </w:tcPr>
                <w:p w14:paraId="3B1527F2">
                  <w:pPr>
                    <w:adjustRightInd w:val="0"/>
                    <w:snapToGrid w:val="0"/>
                    <w:jc w:val="center"/>
                    <w:rPr>
                      <w:rFonts w:hint="eastAsia" w:cs="Times New Roman"/>
                      <w:color w:val="FF0000"/>
                      <w:lang w:val="en-US" w:eastAsia="zh-CN"/>
                    </w:rPr>
                  </w:pPr>
                  <w:r>
                    <w:rPr>
                      <w:rFonts w:hint="eastAsia" w:cs="Times New Roman"/>
                      <w:color w:val="FF0000"/>
                      <w:lang w:val="en-US" w:eastAsia="zh-CN"/>
                    </w:rPr>
                    <w:t>不变</w:t>
                  </w:r>
                </w:p>
              </w:tc>
            </w:tr>
            <w:tr w14:paraId="15EAA2A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8" w:type="pct"/>
                  <w:noWrap w:val="0"/>
                  <w:vAlign w:val="center"/>
                </w:tcPr>
                <w:p w14:paraId="57AA62F9">
                  <w:pPr>
                    <w:adjustRightInd w:val="0"/>
                    <w:snapToGrid w:val="0"/>
                    <w:jc w:val="center"/>
                    <w:rPr>
                      <w:rFonts w:hint="eastAsia" w:cs="Times New Roman"/>
                      <w:snapToGrid w:val="0"/>
                      <w:color w:val="auto"/>
                      <w:szCs w:val="21"/>
                      <w:lang w:val="en-US" w:eastAsia="zh-CN"/>
                    </w:rPr>
                  </w:pPr>
                  <w:r>
                    <w:rPr>
                      <w:rFonts w:hint="eastAsia" w:cs="Times New Roman"/>
                      <w:snapToGrid w:val="0"/>
                      <w:color w:val="000000" w:themeColor="text1"/>
                      <w:szCs w:val="21"/>
                      <w:lang w:val="en-US" w:eastAsia="zh-CN"/>
                      <w14:textFill>
                        <w14:solidFill>
                          <w14:schemeClr w14:val="tx1"/>
                        </w14:solidFill>
                      </w14:textFill>
                    </w:rPr>
                    <w:t>15</w:t>
                  </w:r>
                </w:p>
              </w:tc>
              <w:tc>
                <w:tcPr>
                  <w:tcW w:w="988" w:type="pct"/>
                  <w:noWrap w:val="0"/>
                  <w:vAlign w:val="center"/>
                </w:tcPr>
                <w:p w14:paraId="5E07AB6F">
                  <w:pPr>
                    <w:adjustRightInd w:val="0"/>
                    <w:snapToGrid w:val="0"/>
                    <w:jc w:val="center"/>
                    <w:rPr>
                      <w:rFonts w:hint="eastAsia" w:cs="Times New Roman"/>
                      <w:snapToGrid w:val="0"/>
                      <w:color w:val="auto"/>
                      <w:szCs w:val="21"/>
                      <w:lang w:val="en-US" w:eastAsia="zh-CN"/>
                    </w:rPr>
                  </w:pPr>
                  <w:r>
                    <w:rPr>
                      <w:rFonts w:hint="eastAsia" w:cs="Times New Roman"/>
                      <w:snapToGrid w:val="0"/>
                      <w:color w:val="000000" w:themeColor="text1"/>
                      <w:szCs w:val="21"/>
                      <w:lang w:val="en-US" w:eastAsia="zh-CN"/>
                      <w14:textFill>
                        <w14:solidFill>
                          <w14:schemeClr w14:val="tx1"/>
                        </w14:solidFill>
                      </w14:textFill>
                    </w:rPr>
                    <w:t>计量秤</w:t>
                  </w:r>
                </w:p>
              </w:tc>
              <w:tc>
                <w:tcPr>
                  <w:tcW w:w="840" w:type="pct"/>
                  <w:noWrap w:val="0"/>
                  <w:vAlign w:val="center"/>
                </w:tcPr>
                <w:p w14:paraId="1B82EC6E">
                  <w:pPr>
                    <w:adjustRightInd w:val="0"/>
                    <w:snapToGrid w:val="0"/>
                    <w:jc w:val="center"/>
                    <w:rPr>
                      <w:rFonts w:hint="eastAsia" w:cs="Times New Roman"/>
                      <w:snapToGrid w:val="0"/>
                      <w:color w:val="auto"/>
                      <w:szCs w:val="21"/>
                      <w:lang w:val="en-US" w:eastAsia="zh-CN"/>
                    </w:rPr>
                  </w:pPr>
                  <w:r>
                    <w:rPr>
                      <w:rFonts w:hint="eastAsia" w:cs="Times New Roman"/>
                      <w:snapToGrid w:val="0"/>
                      <w:color w:val="000000" w:themeColor="text1"/>
                      <w:szCs w:val="21"/>
                      <w:lang w:val="en-US" w:eastAsia="zh-CN"/>
                      <w14:textFill>
                        <w14:solidFill>
                          <w14:schemeClr w14:val="tx1"/>
                        </w14:solidFill>
                      </w14:textFill>
                    </w:rPr>
                    <w:t>MSDS-600</w:t>
                  </w:r>
                </w:p>
              </w:tc>
              <w:tc>
                <w:tcPr>
                  <w:tcW w:w="1205" w:type="pct"/>
                  <w:noWrap w:val="0"/>
                  <w:vAlign w:val="center"/>
                </w:tcPr>
                <w:p w14:paraId="4BE37B09">
                  <w:pPr>
                    <w:adjustRightInd w:val="0"/>
                    <w:snapToGrid w:val="0"/>
                    <w:jc w:val="center"/>
                    <w:rPr>
                      <w:rFonts w:hint="eastAsia" w:cs="Times New Roman"/>
                      <w:color w:val="auto"/>
                      <w:lang w:val="en-US" w:eastAsia="zh-CN"/>
                    </w:rPr>
                  </w:pPr>
                  <w:r>
                    <w:rPr>
                      <w:rFonts w:hint="eastAsia" w:cs="Times New Roman"/>
                      <w:color w:val="000000" w:themeColor="text1"/>
                      <w:lang w:val="en-US" w:eastAsia="zh-CN"/>
                      <w14:textFill>
                        <w14:solidFill>
                          <w14:schemeClr w14:val="tx1"/>
                        </w14:solidFill>
                      </w14:textFill>
                    </w:rPr>
                    <w:t>2台</w:t>
                  </w:r>
                </w:p>
              </w:tc>
              <w:tc>
                <w:tcPr>
                  <w:tcW w:w="900" w:type="pct"/>
                  <w:noWrap w:val="0"/>
                  <w:vAlign w:val="center"/>
                </w:tcPr>
                <w:p w14:paraId="6B00EFF0">
                  <w:pPr>
                    <w:adjustRightInd w:val="0"/>
                    <w:snapToGrid w:val="0"/>
                    <w:jc w:val="center"/>
                    <w:rPr>
                      <w:rFonts w:hint="eastAsia" w:cs="Times New Roman"/>
                      <w:color w:val="auto"/>
                      <w:lang w:val="en-US" w:eastAsia="zh-CN"/>
                    </w:rPr>
                  </w:pPr>
                  <w:r>
                    <w:rPr>
                      <w:rFonts w:hint="eastAsia" w:cs="Times New Roman"/>
                      <w:color w:val="000000" w:themeColor="text1"/>
                      <w:lang w:val="en-US" w:eastAsia="zh-CN"/>
                      <w14:textFill>
                        <w14:solidFill>
                          <w14:schemeClr w14:val="tx1"/>
                        </w14:solidFill>
                      </w14:textFill>
                    </w:rPr>
                    <w:t>2台</w:t>
                  </w:r>
                </w:p>
              </w:tc>
              <w:tc>
                <w:tcPr>
                  <w:tcW w:w="735" w:type="pct"/>
                  <w:noWrap w:val="0"/>
                  <w:vAlign w:val="center"/>
                </w:tcPr>
                <w:p w14:paraId="01E5D5A6">
                  <w:pPr>
                    <w:adjustRightInd w:val="0"/>
                    <w:snapToGrid w:val="0"/>
                    <w:jc w:val="center"/>
                    <w:rPr>
                      <w:rFonts w:hint="eastAsia" w:cs="Times New Roman"/>
                      <w:color w:val="FF0000"/>
                      <w:lang w:val="en-US" w:eastAsia="zh-CN"/>
                    </w:rPr>
                  </w:pPr>
                  <w:r>
                    <w:rPr>
                      <w:rFonts w:hint="eastAsia" w:cs="Times New Roman"/>
                      <w:color w:val="FF0000"/>
                      <w:lang w:val="en-US" w:eastAsia="zh-CN"/>
                    </w:rPr>
                    <w:t>不变</w:t>
                  </w:r>
                </w:p>
              </w:tc>
            </w:tr>
            <w:tr w14:paraId="4A2CFF4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8" w:type="pct"/>
                  <w:noWrap w:val="0"/>
                  <w:vAlign w:val="center"/>
                </w:tcPr>
                <w:p w14:paraId="2125A117">
                  <w:pPr>
                    <w:adjustRightInd w:val="0"/>
                    <w:snapToGrid w:val="0"/>
                    <w:jc w:val="center"/>
                    <w:rPr>
                      <w:rFonts w:hint="default" w:cs="Times New Roman"/>
                      <w:snapToGrid w:val="0"/>
                      <w:color w:val="auto"/>
                      <w:szCs w:val="21"/>
                      <w:lang w:val="en-US" w:eastAsia="zh-CN"/>
                    </w:rPr>
                  </w:pPr>
                  <w:r>
                    <w:rPr>
                      <w:rFonts w:hint="eastAsia" w:cs="Times New Roman"/>
                      <w:snapToGrid w:val="0"/>
                      <w:color w:val="000000" w:themeColor="text1"/>
                      <w:szCs w:val="21"/>
                      <w:lang w:val="en-US" w:eastAsia="zh-CN"/>
                      <w14:textFill>
                        <w14:solidFill>
                          <w14:schemeClr w14:val="tx1"/>
                        </w14:solidFill>
                      </w14:textFill>
                    </w:rPr>
                    <w:t>16</w:t>
                  </w:r>
                </w:p>
              </w:tc>
              <w:tc>
                <w:tcPr>
                  <w:tcW w:w="988" w:type="pct"/>
                  <w:noWrap w:val="0"/>
                  <w:vAlign w:val="center"/>
                </w:tcPr>
                <w:p w14:paraId="2C169516">
                  <w:pPr>
                    <w:adjustRightInd w:val="0"/>
                    <w:snapToGrid w:val="0"/>
                    <w:jc w:val="center"/>
                    <w:rPr>
                      <w:rFonts w:hint="eastAsia" w:cs="Times New Roman"/>
                      <w:snapToGrid w:val="0"/>
                      <w:color w:val="auto"/>
                      <w:szCs w:val="21"/>
                      <w:lang w:val="en-US" w:eastAsia="zh-CN"/>
                    </w:rPr>
                  </w:pPr>
                  <w:r>
                    <w:rPr>
                      <w:rFonts w:hint="eastAsia" w:cs="Times New Roman"/>
                      <w:snapToGrid w:val="0"/>
                      <w:color w:val="000000" w:themeColor="text1"/>
                      <w:szCs w:val="21"/>
                      <w:lang w:val="en-US" w:eastAsia="zh-CN"/>
                      <w14:textFill>
                        <w14:solidFill>
                          <w14:schemeClr w14:val="tx1"/>
                        </w14:solidFill>
                      </w14:textFill>
                    </w:rPr>
                    <w:t>水膜除尘器</w:t>
                  </w:r>
                </w:p>
              </w:tc>
              <w:tc>
                <w:tcPr>
                  <w:tcW w:w="840" w:type="pct"/>
                  <w:noWrap w:val="0"/>
                  <w:vAlign w:val="center"/>
                </w:tcPr>
                <w:p w14:paraId="55C5D137">
                  <w:pPr>
                    <w:adjustRightInd w:val="0"/>
                    <w:snapToGrid w:val="0"/>
                    <w:jc w:val="center"/>
                    <w:rPr>
                      <w:rFonts w:hint="eastAsia" w:cs="Times New Roman"/>
                      <w:snapToGrid w:val="0"/>
                      <w:color w:val="auto"/>
                      <w:szCs w:val="21"/>
                      <w:lang w:val="en-US" w:eastAsia="zh-CN"/>
                    </w:rPr>
                  </w:pPr>
                  <w:r>
                    <w:rPr>
                      <w:rFonts w:hint="eastAsia" w:cs="Times New Roman"/>
                      <w:snapToGrid w:val="0"/>
                      <w:color w:val="000000" w:themeColor="text1"/>
                      <w:szCs w:val="21"/>
                      <w:lang w:val="en-US" w:eastAsia="zh-CN"/>
                      <w14:textFill>
                        <w14:solidFill>
                          <w14:schemeClr w14:val="tx1"/>
                        </w14:solidFill>
                      </w14:textFill>
                    </w:rPr>
                    <w:t>/</w:t>
                  </w:r>
                </w:p>
              </w:tc>
              <w:tc>
                <w:tcPr>
                  <w:tcW w:w="1205" w:type="pct"/>
                  <w:noWrap w:val="0"/>
                  <w:vAlign w:val="center"/>
                </w:tcPr>
                <w:p w14:paraId="5A2ACFA8">
                  <w:pPr>
                    <w:adjustRightInd w:val="0"/>
                    <w:snapToGrid w:val="0"/>
                    <w:jc w:val="center"/>
                    <w:rPr>
                      <w:rFonts w:hint="eastAsia" w:cs="Times New Roman"/>
                      <w:color w:val="FF0000"/>
                      <w:lang w:val="en-US" w:eastAsia="zh-CN"/>
                    </w:rPr>
                  </w:pPr>
                  <w:r>
                    <w:rPr>
                      <w:rFonts w:hint="eastAsia" w:cs="Times New Roman"/>
                      <w:color w:val="FF0000"/>
                      <w:lang w:val="en-US" w:eastAsia="zh-CN"/>
                    </w:rPr>
                    <w:t>1台</w:t>
                  </w:r>
                </w:p>
              </w:tc>
              <w:tc>
                <w:tcPr>
                  <w:tcW w:w="900" w:type="pct"/>
                  <w:noWrap w:val="0"/>
                  <w:vAlign w:val="center"/>
                </w:tcPr>
                <w:p w14:paraId="0004B035">
                  <w:pPr>
                    <w:adjustRightInd w:val="0"/>
                    <w:snapToGrid w:val="0"/>
                    <w:jc w:val="center"/>
                    <w:rPr>
                      <w:rFonts w:hint="eastAsia" w:cs="Times New Roman"/>
                      <w:color w:val="FF0000"/>
                      <w:lang w:val="en-US" w:eastAsia="zh-CN"/>
                    </w:rPr>
                  </w:pPr>
                  <w:r>
                    <w:rPr>
                      <w:rFonts w:hint="eastAsia" w:cs="Times New Roman"/>
                      <w:color w:val="FF0000"/>
                      <w:lang w:val="en-US" w:eastAsia="zh-CN"/>
                    </w:rPr>
                    <w:t>0台</w:t>
                  </w:r>
                </w:p>
              </w:tc>
              <w:tc>
                <w:tcPr>
                  <w:tcW w:w="735" w:type="pct"/>
                  <w:noWrap w:val="0"/>
                  <w:vAlign w:val="center"/>
                </w:tcPr>
                <w:p w14:paraId="36D1133E">
                  <w:pPr>
                    <w:adjustRightInd w:val="0"/>
                    <w:snapToGrid w:val="0"/>
                    <w:jc w:val="center"/>
                    <w:rPr>
                      <w:rFonts w:hint="default" w:cs="Times New Roman"/>
                      <w:color w:val="FF0000"/>
                      <w:lang w:val="en-US" w:eastAsia="zh-CN"/>
                    </w:rPr>
                  </w:pPr>
                  <w:r>
                    <w:rPr>
                      <w:rFonts w:hint="eastAsia" w:cs="Times New Roman"/>
                      <w:color w:val="FF0000"/>
                      <w:lang w:val="en-US" w:eastAsia="zh-CN"/>
                    </w:rPr>
                    <w:t>-1台</w:t>
                  </w:r>
                </w:p>
              </w:tc>
            </w:tr>
            <w:tr w14:paraId="634BC7D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8" w:type="pct"/>
                  <w:noWrap w:val="0"/>
                  <w:vAlign w:val="center"/>
                </w:tcPr>
                <w:p w14:paraId="500831D6">
                  <w:pPr>
                    <w:adjustRightInd w:val="0"/>
                    <w:snapToGrid w:val="0"/>
                    <w:jc w:val="center"/>
                    <w:rPr>
                      <w:rFonts w:hint="default" w:cs="Times New Roman"/>
                      <w:snapToGrid w:val="0"/>
                      <w:color w:val="000000" w:themeColor="text1"/>
                      <w:szCs w:val="21"/>
                      <w:lang w:val="en-US" w:eastAsia="zh-CN"/>
                      <w14:textFill>
                        <w14:solidFill>
                          <w14:schemeClr w14:val="tx1"/>
                        </w14:solidFill>
                      </w14:textFill>
                    </w:rPr>
                  </w:pPr>
                  <w:r>
                    <w:rPr>
                      <w:rFonts w:hint="eastAsia" w:cs="Times New Roman"/>
                      <w:snapToGrid w:val="0"/>
                      <w:color w:val="000000" w:themeColor="text1"/>
                      <w:szCs w:val="21"/>
                      <w:lang w:val="en-US" w:eastAsia="zh-CN"/>
                      <w14:textFill>
                        <w14:solidFill>
                          <w14:schemeClr w14:val="tx1"/>
                        </w14:solidFill>
                      </w14:textFill>
                    </w:rPr>
                    <w:t>17</w:t>
                  </w:r>
                </w:p>
              </w:tc>
              <w:tc>
                <w:tcPr>
                  <w:tcW w:w="988" w:type="pct"/>
                  <w:noWrap w:val="0"/>
                  <w:vAlign w:val="center"/>
                </w:tcPr>
                <w:p w14:paraId="4E62EAA3">
                  <w:pPr>
                    <w:adjustRightInd w:val="0"/>
                    <w:snapToGrid w:val="0"/>
                    <w:jc w:val="center"/>
                    <w:rPr>
                      <w:rFonts w:hint="default" w:cs="Times New Roman"/>
                      <w:snapToGrid w:val="0"/>
                      <w:color w:val="000000" w:themeColor="text1"/>
                      <w:szCs w:val="21"/>
                      <w:lang w:val="en-US" w:eastAsia="zh-CN"/>
                      <w14:textFill>
                        <w14:solidFill>
                          <w14:schemeClr w14:val="tx1"/>
                        </w14:solidFill>
                      </w14:textFill>
                    </w:rPr>
                  </w:pPr>
                  <w:r>
                    <w:rPr>
                      <w:rFonts w:hint="eastAsia" w:cs="Times New Roman"/>
                      <w:snapToGrid w:val="0"/>
                      <w:color w:val="000000" w:themeColor="text1"/>
                      <w:szCs w:val="21"/>
                      <w:lang w:val="en-US" w:eastAsia="zh-CN"/>
                      <w14:textFill>
                        <w14:solidFill>
                          <w14:schemeClr w14:val="tx1"/>
                        </w14:solidFill>
                      </w14:textFill>
                    </w:rPr>
                    <w:t>空压机</w:t>
                  </w:r>
                </w:p>
              </w:tc>
              <w:tc>
                <w:tcPr>
                  <w:tcW w:w="840" w:type="pct"/>
                  <w:noWrap w:val="0"/>
                  <w:vAlign w:val="center"/>
                </w:tcPr>
                <w:p w14:paraId="4EA7A0D3">
                  <w:pPr>
                    <w:adjustRightInd w:val="0"/>
                    <w:snapToGrid w:val="0"/>
                    <w:jc w:val="center"/>
                    <w:rPr>
                      <w:rFonts w:hint="default" w:cs="Times New Roman"/>
                      <w:snapToGrid w:val="0"/>
                      <w:color w:val="000000" w:themeColor="text1"/>
                      <w:szCs w:val="21"/>
                      <w:lang w:val="en-US" w:eastAsia="zh-CN"/>
                      <w14:textFill>
                        <w14:solidFill>
                          <w14:schemeClr w14:val="tx1"/>
                        </w14:solidFill>
                      </w14:textFill>
                    </w:rPr>
                  </w:pPr>
                  <w:r>
                    <w:rPr>
                      <w:rFonts w:hint="eastAsia" w:cs="Times New Roman"/>
                      <w:snapToGrid w:val="0"/>
                      <w:color w:val="000000" w:themeColor="text1"/>
                      <w:szCs w:val="21"/>
                      <w:lang w:val="en-US" w:eastAsia="zh-CN"/>
                      <w14:textFill>
                        <w14:solidFill>
                          <w14:schemeClr w14:val="tx1"/>
                        </w14:solidFill>
                      </w14:textFill>
                    </w:rPr>
                    <w:t>/</w:t>
                  </w:r>
                </w:p>
              </w:tc>
              <w:tc>
                <w:tcPr>
                  <w:tcW w:w="1205" w:type="pct"/>
                  <w:noWrap w:val="0"/>
                  <w:vAlign w:val="center"/>
                </w:tcPr>
                <w:p w14:paraId="494D3035">
                  <w:pPr>
                    <w:adjustRightInd w:val="0"/>
                    <w:snapToGrid w:val="0"/>
                    <w:jc w:val="center"/>
                    <w:rPr>
                      <w:rFonts w:hint="eastAsia"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1台</w:t>
                  </w:r>
                </w:p>
              </w:tc>
              <w:tc>
                <w:tcPr>
                  <w:tcW w:w="900" w:type="pct"/>
                  <w:noWrap w:val="0"/>
                  <w:vAlign w:val="center"/>
                </w:tcPr>
                <w:p w14:paraId="4916888B">
                  <w:pPr>
                    <w:adjustRightInd w:val="0"/>
                    <w:snapToGrid w:val="0"/>
                    <w:jc w:val="center"/>
                    <w:rPr>
                      <w:rFonts w:hint="eastAsia"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1台</w:t>
                  </w:r>
                </w:p>
              </w:tc>
              <w:tc>
                <w:tcPr>
                  <w:tcW w:w="735" w:type="pct"/>
                  <w:noWrap w:val="0"/>
                  <w:vAlign w:val="center"/>
                </w:tcPr>
                <w:p w14:paraId="67C79C68">
                  <w:pPr>
                    <w:adjustRightInd w:val="0"/>
                    <w:snapToGrid w:val="0"/>
                    <w:jc w:val="center"/>
                    <w:rPr>
                      <w:rFonts w:hint="eastAsia" w:cs="Times New Roman"/>
                      <w:color w:val="FF0000"/>
                      <w:lang w:val="en-US" w:eastAsia="zh-CN"/>
                    </w:rPr>
                  </w:pPr>
                  <w:r>
                    <w:rPr>
                      <w:rFonts w:hint="eastAsia" w:cs="Times New Roman"/>
                      <w:color w:val="FF0000"/>
                      <w:lang w:val="en-US" w:eastAsia="zh-CN"/>
                    </w:rPr>
                    <w:t>不变</w:t>
                  </w:r>
                </w:p>
              </w:tc>
            </w:tr>
            <w:tr w14:paraId="7219FEA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8" w:type="pct"/>
                  <w:noWrap w:val="0"/>
                  <w:vAlign w:val="center"/>
                </w:tcPr>
                <w:p w14:paraId="1B9C2C2E">
                  <w:pPr>
                    <w:adjustRightInd w:val="0"/>
                    <w:snapToGrid w:val="0"/>
                    <w:jc w:val="center"/>
                    <w:rPr>
                      <w:rFonts w:hint="default" w:cs="Times New Roman"/>
                      <w:snapToGrid w:val="0"/>
                      <w:color w:val="000000" w:themeColor="text1"/>
                      <w:szCs w:val="21"/>
                      <w:lang w:val="en-US" w:eastAsia="zh-CN"/>
                      <w14:textFill>
                        <w14:solidFill>
                          <w14:schemeClr w14:val="tx1"/>
                        </w14:solidFill>
                      </w14:textFill>
                    </w:rPr>
                  </w:pPr>
                  <w:r>
                    <w:rPr>
                      <w:rFonts w:hint="eastAsia" w:cs="Times New Roman"/>
                      <w:snapToGrid w:val="0"/>
                      <w:color w:val="000000" w:themeColor="text1"/>
                      <w:szCs w:val="21"/>
                      <w:lang w:val="en-US" w:eastAsia="zh-CN"/>
                      <w14:textFill>
                        <w14:solidFill>
                          <w14:schemeClr w14:val="tx1"/>
                        </w14:solidFill>
                      </w14:textFill>
                    </w:rPr>
                    <w:t>18</w:t>
                  </w:r>
                </w:p>
              </w:tc>
              <w:tc>
                <w:tcPr>
                  <w:tcW w:w="988" w:type="pct"/>
                  <w:noWrap w:val="0"/>
                  <w:vAlign w:val="center"/>
                </w:tcPr>
                <w:p w14:paraId="36F550E1">
                  <w:pPr>
                    <w:adjustRightInd w:val="0"/>
                    <w:snapToGrid w:val="0"/>
                    <w:jc w:val="center"/>
                    <w:rPr>
                      <w:rFonts w:hint="default" w:cs="Times New Roman"/>
                      <w:snapToGrid w:val="0"/>
                      <w:color w:val="000000" w:themeColor="text1"/>
                      <w:szCs w:val="21"/>
                      <w:lang w:val="en-US" w:eastAsia="zh-CN"/>
                      <w14:textFill>
                        <w14:solidFill>
                          <w14:schemeClr w14:val="tx1"/>
                        </w14:solidFill>
                      </w14:textFill>
                    </w:rPr>
                  </w:pPr>
                  <w:r>
                    <w:rPr>
                      <w:rFonts w:hint="eastAsia" w:cs="Times New Roman"/>
                      <w:snapToGrid w:val="0"/>
                      <w:color w:val="000000" w:themeColor="text1"/>
                      <w:szCs w:val="21"/>
                      <w:lang w:val="en-US" w:eastAsia="zh-CN"/>
                      <w14:textFill>
                        <w14:solidFill>
                          <w14:schemeClr w14:val="tx1"/>
                        </w14:solidFill>
                      </w14:textFill>
                    </w:rPr>
                    <w:t>鼓风机</w:t>
                  </w:r>
                </w:p>
              </w:tc>
              <w:tc>
                <w:tcPr>
                  <w:tcW w:w="840" w:type="pct"/>
                  <w:noWrap w:val="0"/>
                  <w:vAlign w:val="center"/>
                </w:tcPr>
                <w:p w14:paraId="46CBDBEB">
                  <w:pPr>
                    <w:adjustRightInd w:val="0"/>
                    <w:snapToGrid w:val="0"/>
                    <w:jc w:val="center"/>
                    <w:rPr>
                      <w:rFonts w:hint="eastAsia" w:cs="Times New Roman"/>
                      <w:snapToGrid w:val="0"/>
                      <w:color w:val="000000" w:themeColor="text1"/>
                      <w:szCs w:val="21"/>
                      <w:lang w:val="en-US" w:eastAsia="zh-CN"/>
                      <w14:textFill>
                        <w14:solidFill>
                          <w14:schemeClr w14:val="tx1"/>
                        </w14:solidFill>
                      </w14:textFill>
                    </w:rPr>
                  </w:pPr>
                  <w:r>
                    <w:rPr>
                      <w:rFonts w:hint="eastAsia" w:cs="Times New Roman"/>
                      <w:snapToGrid w:val="0"/>
                      <w:color w:val="000000" w:themeColor="text1"/>
                      <w:szCs w:val="21"/>
                      <w:lang w:val="en-US" w:eastAsia="zh-CN"/>
                      <w14:textFill>
                        <w14:solidFill>
                          <w14:schemeClr w14:val="tx1"/>
                        </w14:solidFill>
                      </w14:textFill>
                    </w:rPr>
                    <w:t>/</w:t>
                  </w:r>
                </w:p>
              </w:tc>
              <w:tc>
                <w:tcPr>
                  <w:tcW w:w="1205" w:type="pct"/>
                  <w:noWrap w:val="0"/>
                  <w:vAlign w:val="center"/>
                </w:tcPr>
                <w:p w14:paraId="10DC9C5D">
                  <w:pPr>
                    <w:adjustRightInd w:val="0"/>
                    <w:snapToGrid w:val="0"/>
                    <w:jc w:val="center"/>
                    <w:rPr>
                      <w:rFonts w:hint="eastAsia"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1台</w:t>
                  </w:r>
                </w:p>
              </w:tc>
              <w:tc>
                <w:tcPr>
                  <w:tcW w:w="900" w:type="pct"/>
                  <w:noWrap w:val="0"/>
                  <w:vAlign w:val="center"/>
                </w:tcPr>
                <w:p w14:paraId="0FDAD28C">
                  <w:pPr>
                    <w:adjustRightInd w:val="0"/>
                    <w:snapToGrid w:val="0"/>
                    <w:jc w:val="center"/>
                    <w:rPr>
                      <w:rFonts w:hint="eastAsia"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2台</w:t>
                  </w:r>
                </w:p>
              </w:tc>
              <w:tc>
                <w:tcPr>
                  <w:tcW w:w="735" w:type="pct"/>
                  <w:noWrap w:val="0"/>
                  <w:vAlign w:val="center"/>
                </w:tcPr>
                <w:p w14:paraId="35AC954A">
                  <w:pPr>
                    <w:adjustRightInd w:val="0"/>
                    <w:snapToGrid w:val="0"/>
                    <w:jc w:val="center"/>
                    <w:rPr>
                      <w:rFonts w:hint="eastAsia" w:cs="Times New Roman"/>
                      <w:color w:val="auto"/>
                      <w:lang w:val="en-US" w:eastAsia="zh-CN"/>
                    </w:rPr>
                  </w:pPr>
                  <w:r>
                    <w:rPr>
                      <w:rFonts w:hint="eastAsia" w:cs="Times New Roman"/>
                      <w:color w:val="FF0000"/>
                      <w:lang w:val="en-US" w:eastAsia="zh-CN"/>
                    </w:rPr>
                    <w:t>+1台</w:t>
                  </w:r>
                </w:p>
              </w:tc>
            </w:tr>
            <w:tr w14:paraId="3794DFF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8" w:type="pct"/>
                  <w:noWrap w:val="0"/>
                  <w:vAlign w:val="center"/>
                </w:tcPr>
                <w:p w14:paraId="12B5DAD0">
                  <w:pPr>
                    <w:adjustRightInd w:val="0"/>
                    <w:snapToGrid w:val="0"/>
                    <w:jc w:val="center"/>
                    <w:rPr>
                      <w:rFonts w:hint="default" w:cs="Times New Roman"/>
                      <w:snapToGrid w:val="0"/>
                      <w:color w:val="000000" w:themeColor="text1"/>
                      <w:szCs w:val="21"/>
                      <w:lang w:val="en-US" w:eastAsia="zh-CN"/>
                      <w14:textFill>
                        <w14:solidFill>
                          <w14:schemeClr w14:val="tx1"/>
                        </w14:solidFill>
                      </w14:textFill>
                    </w:rPr>
                  </w:pPr>
                  <w:r>
                    <w:rPr>
                      <w:rFonts w:hint="eastAsia" w:cs="Times New Roman"/>
                      <w:snapToGrid w:val="0"/>
                      <w:color w:val="000000" w:themeColor="text1"/>
                      <w:szCs w:val="21"/>
                      <w:lang w:val="en-US" w:eastAsia="zh-CN"/>
                      <w14:textFill>
                        <w14:solidFill>
                          <w14:schemeClr w14:val="tx1"/>
                        </w14:solidFill>
                      </w14:textFill>
                    </w:rPr>
                    <w:t>19</w:t>
                  </w:r>
                </w:p>
              </w:tc>
              <w:tc>
                <w:tcPr>
                  <w:tcW w:w="988" w:type="pct"/>
                  <w:noWrap w:val="0"/>
                  <w:vAlign w:val="center"/>
                </w:tcPr>
                <w:p w14:paraId="143CCEC5">
                  <w:pPr>
                    <w:adjustRightInd w:val="0"/>
                    <w:snapToGrid w:val="0"/>
                    <w:jc w:val="center"/>
                    <w:rPr>
                      <w:rFonts w:hint="default" w:cs="Times New Roman"/>
                      <w:snapToGrid w:val="0"/>
                      <w:color w:val="000000" w:themeColor="text1"/>
                      <w:szCs w:val="21"/>
                      <w:lang w:val="en-US" w:eastAsia="zh-CN"/>
                      <w14:textFill>
                        <w14:solidFill>
                          <w14:schemeClr w14:val="tx1"/>
                        </w14:solidFill>
                      </w14:textFill>
                    </w:rPr>
                  </w:pPr>
                  <w:r>
                    <w:rPr>
                      <w:rFonts w:hint="eastAsia" w:cs="Times New Roman"/>
                      <w:snapToGrid w:val="0"/>
                      <w:color w:val="000000" w:themeColor="text1"/>
                      <w:szCs w:val="21"/>
                      <w:lang w:val="en-US" w:eastAsia="zh-CN"/>
                      <w14:textFill>
                        <w14:solidFill>
                          <w14:schemeClr w14:val="tx1"/>
                        </w14:solidFill>
                      </w14:textFill>
                    </w:rPr>
                    <w:t>循环泵</w:t>
                  </w:r>
                </w:p>
              </w:tc>
              <w:tc>
                <w:tcPr>
                  <w:tcW w:w="840" w:type="pct"/>
                  <w:noWrap w:val="0"/>
                  <w:vAlign w:val="center"/>
                </w:tcPr>
                <w:p w14:paraId="276633CE">
                  <w:pPr>
                    <w:adjustRightInd w:val="0"/>
                    <w:snapToGrid w:val="0"/>
                    <w:jc w:val="center"/>
                    <w:rPr>
                      <w:rFonts w:hint="eastAsia" w:cs="Times New Roman"/>
                      <w:snapToGrid w:val="0"/>
                      <w:color w:val="000000" w:themeColor="text1"/>
                      <w:szCs w:val="21"/>
                      <w:lang w:val="en-US" w:eastAsia="zh-CN"/>
                      <w14:textFill>
                        <w14:solidFill>
                          <w14:schemeClr w14:val="tx1"/>
                        </w14:solidFill>
                      </w14:textFill>
                    </w:rPr>
                  </w:pPr>
                  <w:r>
                    <w:rPr>
                      <w:rFonts w:hint="eastAsia" w:cs="Times New Roman"/>
                      <w:snapToGrid w:val="0"/>
                      <w:color w:val="000000" w:themeColor="text1"/>
                      <w:szCs w:val="21"/>
                      <w:lang w:val="en-US" w:eastAsia="zh-CN"/>
                      <w14:textFill>
                        <w14:solidFill>
                          <w14:schemeClr w14:val="tx1"/>
                        </w14:solidFill>
                      </w14:textFill>
                    </w:rPr>
                    <w:t>TD100-48/2</w:t>
                  </w:r>
                </w:p>
                <w:p w14:paraId="5AB9CC2A">
                  <w:pPr>
                    <w:adjustRightInd w:val="0"/>
                    <w:snapToGrid w:val="0"/>
                    <w:jc w:val="center"/>
                    <w:rPr>
                      <w:rFonts w:hint="default"/>
                      <w:lang w:val="en-US" w:eastAsia="zh-CN"/>
                    </w:rPr>
                  </w:pPr>
                  <w:r>
                    <w:rPr>
                      <w:rFonts w:hint="eastAsia" w:cs="Times New Roman"/>
                      <w:snapToGrid w:val="0"/>
                      <w:color w:val="000000" w:themeColor="text1"/>
                      <w:szCs w:val="21"/>
                      <w:lang w:val="en-US" w:eastAsia="zh-CN"/>
                      <w14:textFill>
                        <w14:solidFill>
                          <w14:schemeClr w14:val="tx1"/>
                        </w14:solidFill>
                      </w14:textFill>
                    </w:rPr>
                    <w:t>(10m</w:t>
                  </w:r>
                  <w:r>
                    <w:rPr>
                      <w:rFonts w:hint="eastAsia" w:cs="Times New Roman"/>
                      <w:snapToGrid w:val="0"/>
                      <w:color w:val="000000" w:themeColor="text1"/>
                      <w:szCs w:val="21"/>
                      <w:vertAlign w:val="superscript"/>
                      <w:lang w:val="en-US" w:eastAsia="zh-CN"/>
                      <w14:textFill>
                        <w14:solidFill>
                          <w14:schemeClr w14:val="tx1"/>
                        </w14:solidFill>
                      </w14:textFill>
                    </w:rPr>
                    <w:t>3</w:t>
                  </w:r>
                  <w:r>
                    <w:rPr>
                      <w:rFonts w:hint="eastAsia" w:cs="Times New Roman"/>
                      <w:snapToGrid w:val="0"/>
                      <w:color w:val="000000" w:themeColor="text1"/>
                      <w:szCs w:val="21"/>
                      <w:vertAlign w:val="baseline"/>
                      <w:lang w:val="en-US" w:eastAsia="zh-CN"/>
                      <w14:textFill>
                        <w14:solidFill>
                          <w14:schemeClr w14:val="tx1"/>
                        </w14:solidFill>
                      </w14:textFill>
                    </w:rPr>
                    <w:t>/h）</w:t>
                  </w:r>
                </w:p>
              </w:tc>
              <w:tc>
                <w:tcPr>
                  <w:tcW w:w="1968" w:type="dxa"/>
                  <w:noWrap w:val="0"/>
                  <w:vAlign w:val="center"/>
                </w:tcPr>
                <w:p w14:paraId="747F93C0">
                  <w:pPr>
                    <w:adjustRightInd w:val="0"/>
                    <w:snapToGrid w:val="0"/>
                    <w:jc w:val="center"/>
                    <w:rPr>
                      <w:rFonts w:hint="eastAsia"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w:t>
                  </w:r>
                </w:p>
              </w:tc>
              <w:tc>
                <w:tcPr>
                  <w:tcW w:w="1454" w:type="dxa"/>
                  <w:noWrap w:val="0"/>
                  <w:vAlign w:val="center"/>
                </w:tcPr>
                <w:p w14:paraId="1CEB2476">
                  <w:pPr>
                    <w:adjustRightInd w:val="0"/>
                    <w:snapToGrid w:val="0"/>
                    <w:jc w:val="center"/>
                    <w:rPr>
                      <w:rFonts w:hint="eastAsia" w:cs="Times New Roman"/>
                      <w:color w:val="000000" w:themeColor="text1"/>
                      <w:lang w:val="en-US" w:eastAsia="zh-CN"/>
                      <w14:textFill>
                        <w14:solidFill>
                          <w14:schemeClr w14:val="tx1"/>
                        </w14:solidFill>
                      </w14:textFill>
                    </w:rPr>
                  </w:pPr>
                  <w:r>
                    <w:rPr>
                      <w:rFonts w:hint="eastAsia" w:cs="Times New Roman"/>
                      <w:color w:val="auto"/>
                      <w:lang w:val="en-US" w:eastAsia="zh-CN"/>
                    </w:rPr>
                    <w:t>2台</w:t>
                  </w:r>
                </w:p>
              </w:tc>
              <w:tc>
                <w:tcPr>
                  <w:tcW w:w="735" w:type="pct"/>
                  <w:noWrap w:val="0"/>
                  <w:vAlign w:val="center"/>
                </w:tcPr>
                <w:p w14:paraId="64E70921">
                  <w:pPr>
                    <w:adjustRightInd w:val="0"/>
                    <w:snapToGrid w:val="0"/>
                    <w:jc w:val="center"/>
                    <w:rPr>
                      <w:rFonts w:hint="eastAsia" w:cs="Times New Roman"/>
                      <w:color w:val="FF0000"/>
                      <w:lang w:val="en-US" w:eastAsia="zh-CN"/>
                    </w:rPr>
                  </w:pPr>
                  <w:r>
                    <w:rPr>
                      <w:rFonts w:hint="eastAsia" w:cs="Times New Roman"/>
                      <w:color w:val="FF0000"/>
                      <w:lang w:val="en-US" w:eastAsia="zh-CN"/>
                    </w:rPr>
                    <w:t>+2台</w:t>
                  </w:r>
                </w:p>
              </w:tc>
            </w:tr>
          </w:tbl>
          <w:p w14:paraId="2ED3EF8D">
            <w:pPr>
              <w:pStyle w:val="17"/>
              <w:spacing w:line="360" w:lineRule="auto"/>
              <w:ind w:firstLine="482" w:firstLineChars="200"/>
              <w:rPr>
                <w:rFonts w:ascii="Times New Roman" w:hAnsi="Times New Roman"/>
                <w:b/>
                <w:bCs/>
                <w:kern w:val="0"/>
                <w:sz w:val="24"/>
                <w:szCs w:val="24"/>
                <w:lang w:bidi="ar"/>
              </w:rPr>
            </w:pPr>
            <w:r>
              <w:rPr>
                <w:rFonts w:hint="eastAsia" w:ascii="Times New Roman" w:hAnsi="Times New Roman"/>
                <w:b/>
                <w:bCs/>
                <w:kern w:val="0"/>
                <w:sz w:val="24"/>
                <w:szCs w:val="24"/>
                <w:lang w:bidi="ar"/>
              </w:rPr>
              <w:t>五、主要原辅材料</w:t>
            </w:r>
          </w:p>
          <w:p w14:paraId="5F23ED3B">
            <w:pPr>
              <w:tabs>
                <w:tab w:val="left" w:pos="300"/>
              </w:tabs>
              <w:spacing w:line="360" w:lineRule="auto"/>
              <w:ind w:firstLine="480"/>
              <w:rPr>
                <w:spacing w:val="-1"/>
                <w:sz w:val="24"/>
              </w:rPr>
            </w:pPr>
            <w:r>
              <w:rPr>
                <w:rFonts w:hint="eastAsia"/>
                <w:color w:val="000000" w:themeColor="text1"/>
                <w:sz w:val="24"/>
                <w:lang w:val="en-US" w:eastAsia="zh-CN"/>
                <w14:textFill>
                  <w14:solidFill>
                    <w14:schemeClr w14:val="tx1"/>
                  </w14:solidFill>
                </w14:textFill>
              </w:rPr>
              <w:t>本</w:t>
            </w:r>
            <w:r>
              <w:rPr>
                <w:rFonts w:hint="eastAsia"/>
                <w:color w:val="000000" w:themeColor="text1"/>
                <w:sz w:val="24"/>
                <w14:textFill>
                  <w14:solidFill>
                    <w14:schemeClr w14:val="tx1"/>
                  </w14:solidFill>
                </w14:textFill>
              </w:rPr>
              <w:t>技改项目</w:t>
            </w:r>
            <w:r>
              <w:rPr>
                <w:rFonts w:hint="eastAsia" w:cs="Times New Roman"/>
                <w:color w:val="auto"/>
                <w:sz w:val="24"/>
                <w:szCs w:val="24"/>
                <w:lang w:val="en-US" w:eastAsia="zh-CN"/>
              </w:rPr>
              <w:t>在</w:t>
            </w:r>
            <w:r>
              <w:rPr>
                <w:rFonts w:hint="eastAsia" w:ascii="Times New Roman" w:hAnsi="Times New Roman" w:eastAsia="宋体" w:cs="Times New Roman"/>
                <w:color w:val="auto"/>
                <w:sz w:val="24"/>
                <w:szCs w:val="24"/>
                <w:lang w:val="en-US" w:eastAsia="zh-CN"/>
              </w:rPr>
              <w:t>原有一台6t/h生物质锅炉基础上申请增加一台6t/h生物质锅炉</w:t>
            </w:r>
            <w:r>
              <w:rPr>
                <w:rFonts w:hint="eastAsia" w:cs="Times New Roman"/>
                <w:color w:val="auto"/>
                <w:sz w:val="24"/>
                <w:szCs w:val="24"/>
                <w:lang w:val="en-US" w:eastAsia="zh-CN"/>
              </w:rPr>
              <w:t>，原有锅炉作</w:t>
            </w:r>
            <w:r>
              <w:rPr>
                <w:rFonts w:hint="eastAsia" w:ascii="Times New Roman" w:hAnsi="Times New Roman" w:eastAsia="宋体" w:cs="Times New Roman"/>
                <w:color w:val="auto"/>
                <w:sz w:val="24"/>
                <w:szCs w:val="24"/>
                <w:lang w:val="en-US" w:eastAsia="zh-CN"/>
              </w:rPr>
              <w:t>为</w:t>
            </w:r>
            <w:r>
              <w:rPr>
                <w:rFonts w:hint="eastAsia" w:cs="Times New Roman"/>
                <w:color w:val="auto"/>
                <w:sz w:val="24"/>
                <w:szCs w:val="24"/>
                <w:lang w:val="en-US" w:eastAsia="zh-CN"/>
              </w:rPr>
              <w:t>备用锅炉使用</w:t>
            </w:r>
            <w:r>
              <w:rPr>
                <w:rFonts w:hint="eastAsia"/>
                <w:sz w:val="24"/>
                <w:lang w:val="en-US" w:eastAsia="zh-CN"/>
              </w:rPr>
              <w:t>，锅炉制备蒸汽所需生物质成型燃料使用量不变。</w:t>
            </w:r>
            <w:r>
              <w:rPr>
                <w:sz w:val="24"/>
              </w:rPr>
              <w:t>原辅材料及能源消耗见表</w:t>
            </w:r>
            <w:r>
              <w:rPr>
                <w:spacing w:val="-1"/>
                <w:sz w:val="24"/>
              </w:rPr>
              <w:t>2-</w:t>
            </w:r>
            <w:r>
              <w:rPr>
                <w:rFonts w:hint="eastAsia"/>
                <w:spacing w:val="-1"/>
                <w:sz w:val="24"/>
                <w:lang w:val="en-US" w:eastAsia="zh-CN"/>
              </w:rPr>
              <w:t>4</w:t>
            </w:r>
            <w:r>
              <w:rPr>
                <w:spacing w:val="-1"/>
                <w:sz w:val="24"/>
              </w:rPr>
              <w:t>。</w:t>
            </w:r>
          </w:p>
          <w:p w14:paraId="58C05A54">
            <w:pPr>
              <w:pStyle w:val="9"/>
              <w:autoSpaceDE/>
              <w:autoSpaceDN/>
              <w:adjustRightInd/>
              <w:spacing w:line="240" w:lineRule="auto"/>
              <w:ind w:left="0" w:firstLine="0"/>
              <w:jc w:val="center"/>
              <w:textAlignment w:val="auto"/>
              <w:rPr>
                <w:b/>
                <w:bCs/>
                <w:color w:val="000000" w:themeColor="text1"/>
                <w:kern w:val="2"/>
                <w:szCs w:val="24"/>
                <w14:textFill>
                  <w14:solidFill>
                    <w14:schemeClr w14:val="tx1"/>
                  </w14:solidFill>
                </w14:textFill>
              </w:rPr>
            </w:pPr>
            <w:r>
              <w:rPr>
                <w:rFonts w:hint="eastAsia"/>
                <w:b/>
                <w:bCs/>
                <w:color w:val="000000" w:themeColor="text1"/>
                <w:kern w:val="2"/>
                <w:szCs w:val="24"/>
                <w14:textFill>
                  <w14:solidFill>
                    <w14:schemeClr w14:val="tx1"/>
                  </w14:solidFill>
                </w14:textFill>
              </w:rPr>
              <w:t>表2-</w:t>
            </w:r>
            <w:r>
              <w:rPr>
                <w:rFonts w:hint="eastAsia"/>
                <w:b/>
                <w:bCs/>
                <w:color w:val="000000" w:themeColor="text1"/>
                <w:kern w:val="2"/>
                <w:szCs w:val="24"/>
                <w:lang w:val="en-US" w:eastAsia="zh-CN"/>
                <w14:textFill>
                  <w14:solidFill>
                    <w14:schemeClr w14:val="tx1"/>
                  </w14:solidFill>
                </w14:textFill>
              </w:rPr>
              <w:t>4</w:t>
            </w:r>
            <w:r>
              <w:rPr>
                <w:rFonts w:hint="eastAsia"/>
                <w:b/>
                <w:bCs/>
                <w:color w:val="000000" w:themeColor="text1"/>
                <w:kern w:val="2"/>
                <w:szCs w:val="24"/>
                <w14:textFill>
                  <w14:solidFill>
                    <w14:schemeClr w14:val="tx1"/>
                  </w14:solidFill>
                </w14:textFill>
              </w:rPr>
              <w:t xml:space="preserve">  主要原辅材料及年用量一览表</w:t>
            </w:r>
          </w:p>
          <w:tbl>
            <w:tblPr>
              <w:tblStyle w:val="27"/>
              <w:tblW w:w="4997"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516"/>
              <w:gridCol w:w="1047"/>
              <w:gridCol w:w="925"/>
              <w:gridCol w:w="1414"/>
              <w:gridCol w:w="1231"/>
              <w:gridCol w:w="1120"/>
              <w:gridCol w:w="937"/>
              <w:gridCol w:w="891"/>
            </w:tblGrid>
            <w:tr w14:paraId="26EEF6D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trPr>
              <w:tc>
                <w:tcPr>
                  <w:tcW w:w="319" w:type="pct"/>
                  <w:noWrap w:val="0"/>
                  <w:vAlign w:val="center"/>
                </w:tcPr>
                <w:p w14:paraId="35E2BDF3">
                  <w:pPr>
                    <w:pStyle w:val="96"/>
                    <w:adjustRightInd w:val="0"/>
                    <w:snapToGrid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序号</w:t>
                  </w:r>
                </w:p>
              </w:tc>
              <w:tc>
                <w:tcPr>
                  <w:tcW w:w="647" w:type="pct"/>
                  <w:noWrap w:val="0"/>
                  <w:vAlign w:val="center"/>
                </w:tcPr>
                <w:p w14:paraId="378A22C8">
                  <w:pPr>
                    <w:pStyle w:val="96"/>
                    <w:tabs>
                      <w:tab w:val="left" w:pos="554"/>
                    </w:tabs>
                    <w:adjustRightInd w:val="0"/>
                    <w:snapToGrid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名</w:t>
                  </w:r>
                  <w:r>
                    <w:rPr>
                      <w:rFonts w:hint="default" w:ascii="Times New Roman" w:hAnsi="Times New Roman" w:cs="Times New Roman"/>
                      <w:b/>
                      <w:color w:val="auto"/>
                      <w:szCs w:val="21"/>
                    </w:rPr>
                    <w:tab/>
                  </w:r>
                  <w:r>
                    <w:rPr>
                      <w:rFonts w:hint="default" w:ascii="Times New Roman" w:hAnsi="Times New Roman" w:cs="Times New Roman"/>
                      <w:b/>
                      <w:color w:val="auto"/>
                      <w:szCs w:val="21"/>
                    </w:rPr>
                    <w:t>称</w:t>
                  </w:r>
                </w:p>
              </w:tc>
              <w:tc>
                <w:tcPr>
                  <w:tcW w:w="572" w:type="pct"/>
                  <w:noWrap w:val="0"/>
                  <w:vAlign w:val="center"/>
                </w:tcPr>
                <w:p w14:paraId="13D4D127">
                  <w:pPr>
                    <w:pStyle w:val="96"/>
                    <w:adjustRightInd w:val="0"/>
                    <w:snapToGrid w:val="0"/>
                    <w:jc w:val="center"/>
                    <w:rPr>
                      <w:rFonts w:hint="default" w:ascii="Times New Roman" w:hAnsi="Times New Roman" w:eastAsia="Times New Roman" w:cs="Times New Roman"/>
                      <w:b/>
                      <w:color w:val="auto"/>
                      <w:szCs w:val="21"/>
                    </w:rPr>
                  </w:pPr>
                  <w:r>
                    <w:rPr>
                      <w:rFonts w:hint="default" w:ascii="Times New Roman" w:hAnsi="Times New Roman" w:cs="Times New Roman"/>
                      <w:b/>
                      <w:color w:val="auto"/>
                      <w:szCs w:val="21"/>
                    </w:rPr>
                    <w:t>单位</w:t>
                  </w:r>
                  <w:r>
                    <w:rPr>
                      <w:rFonts w:hint="default" w:ascii="Times New Roman" w:hAnsi="Times New Roman" w:eastAsia="Times New Roman" w:cs="Times New Roman"/>
                      <w:b/>
                      <w:color w:val="auto"/>
                      <w:szCs w:val="21"/>
                    </w:rPr>
                    <w:t>/a</w:t>
                  </w:r>
                </w:p>
              </w:tc>
              <w:tc>
                <w:tcPr>
                  <w:tcW w:w="874" w:type="pct"/>
                  <w:noWrap w:val="0"/>
                  <w:vAlign w:val="center"/>
                </w:tcPr>
                <w:p w14:paraId="59A60327">
                  <w:pPr>
                    <w:pStyle w:val="96"/>
                    <w:adjustRightInd w:val="0"/>
                    <w:snapToGrid w:val="0"/>
                    <w:jc w:val="center"/>
                    <w:rPr>
                      <w:rFonts w:hint="default" w:ascii="Times New Roman" w:hAnsi="Times New Roman" w:cs="Times New Roman"/>
                      <w:b/>
                      <w:color w:val="auto"/>
                      <w:szCs w:val="21"/>
                    </w:rPr>
                  </w:pPr>
                  <w:r>
                    <w:rPr>
                      <w:rFonts w:hint="eastAsia" w:cs="Times New Roman"/>
                      <w:b/>
                      <w:color w:val="auto"/>
                      <w:szCs w:val="21"/>
                      <w:lang w:val="en-US" w:eastAsia="zh-CN"/>
                    </w:rPr>
                    <w:t>技改前</w:t>
                  </w:r>
                  <w:r>
                    <w:rPr>
                      <w:rFonts w:hint="default" w:ascii="Times New Roman" w:hAnsi="Times New Roman" w:cs="Times New Roman"/>
                      <w:b/>
                      <w:color w:val="auto"/>
                      <w:szCs w:val="21"/>
                    </w:rPr>
                    <w:t>年消耗量</w:t>
                  </w:r>
                </w:p>
              </w:tc>
              <w:tc>
                <w:tcPr>
                  <w:tcW w:w="761" w:type="pct"/>
                  <w:noWrap w:val="0"/>
                  <w:vAlign w:val="center"/>
                </w:tcPr>
                <w:p w14:paraId="4528F379">
                  <w:pPr>
                    <w:pStyle w:val="96"/>
                    <w:adjustRightInd w:val="0"/>
                    <w:snapToGrid w:val="0"/>
                    <w:jc w:val="center"/>
                    <w:rPr>
                      <w:rFonts w:hint="default" w:ascii="Times New Roman" w:hAnsi="Times New Roman" w:cs="Times New Roman"/>
                      <w:b/>
                      <w:color w:val="auto"/>
                      <w:szCs w:val="21"/>
                    </w:rPr>
                  </w:pPr>
                  <w:r>
                    <w:rPr>
                      <w:rFonts w:hint="eastAsia" w:cs="Times New Roman"/>
                      <w:b/>
                      <w:color w:val="auto"/>
                      <w:szCs w:val="21"/>
                      <w:lang w:val="en-US" w:eastAsia="zh-CN"/>
                    </w:rPr>
                    <w:t>技改后</w:t>
                  </w:r>
                  <w:r>
                    <w:rPr>
                      <w:rFonts w:hint="default" w:ascii="Times New Roman" w:hAnsi="Times New Roman" w:cs="Times New Roman"/>
                      <w:b/>
                      <w:color w:val="auto"/>
                      <w:szCs w:val="21"/>
                    </w:rPr>
                    <w:t>年消耗量</w:t>
                  </w:r>
                </w:p>
              </w:tc>
              <w:tc>
                <w:tcPr>
                  <w:tcW w:w="692" w:type="pct"/>
                  <w:noWrap w:val="0"/>
                  <w:vAlign w:val="center"/>
                </w:tcPr>
                <w:p w14:paraId="5E799593">
                  <w:pPr>
                    <w:pStyle w:val="96"/>
                    <w:adjustRightInd w:val="0"/>
                    <w:snapToGrid w:val="0"/>
                    <w:jc w:val="center"/>
                    <w:rPr>
                      <w:rFonts w:hint="default" w:ascii="Times New Roman" w:hAnsi="Times New Roman" w:eastAsia="宋体" w:cs="Times New Roman"/>
                      <w:b/>
                      <w:color w:val="FF0000"/>
                      <w:szCs w:val="21"/>
                      <w:lang w:val="en-US" w:eastAsia="zh-CN"/>
                    </w:rPr>
                  </w:pPr>
                  <w:r>
                    <w:rPr>
                      <w:rFonts w:hint="eastAsia" w:cs="Times New Roman"/>
                      <w:b/>
                      <w:color w:val="FF0000"/>
                      <w:szCs w:val="21"/>
                      <w:lang w:val="en-US" w:eastAsia="zh-CN"/>
                    </w:rPr>
                    <w:t>变化情况</w:t>
                  </w:r>
                </w:p>
              </w:tc>
              <w:tc>
                <w:tcPr>
                  <w:tcW w:w="579" w:type="pct"/>
                  <w:noWrap w:val="0"/>
                  <w:vAlign w:val="center"/>
                </w:tcPr>
                <w:p w14:paraId="4874D4F8">
                  <w:pPr>
                    <w:pStyle w:val="96"/>
                    <w:adjustRightInd w:val="0"/>
                    <w:snapToGrid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储存位置</w:t>
                  </w:r>
                </w:p>
              </w:tc>
              <w:tc>
                <w:tcPr>
                  <w:tcW w:w="551" w:type="pct"/>
                  <w:noWrap w:val="0"/>
                  <w:vAlign w:val="center"/>
                </w:tcPr>
                <w:p w14:paraId="3F093DCF">
                  <w:pPr>
                    <w:pStyle w:val="96"/>
                    <w:adjustRightInd w:val="0"/>
                    <w:snapToGrid w:val="0"/>
                    <w:jc w:val="center"/>
                    <w:rPr>
                      <w:rFonts w:hint="eastAsia" w:ascii="Times New Roman" w:hAnsi="Times New Roman" w:eastAsia="宋体" w:cs="Times New Roman"/>
                      <w:b/>
                      <w:color w:val="auto"/>
                      <w:szCs w:val="21"/>
                      <w:lang w:val="en-US" w:eastAsia="zh-CN"/>
                    </w:rPr>
                  </w:pPr>
                  <w:r>
                    <w:rPr>
                      <w:rFonts w:hint="eastAsia" w:cs="Times New Roman"/>
                      <w:b/>
                      <w:color w:val="auto"/>
                      <w:szCs w:val="21"/>
                      <w:lang w:val="en-US" w:eastAsia="zh-CN"/>
                    </w:rPr>
                    <w:t>来源</w:t>
                  </w:r>
                </w:p>
              </w:tc>
            </w:tr>
            <w:tr w14:paraId="5596843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90" w:hRule="atLeast"/>
              </w:trPr>
              <w:tc>
                <w:tcPr>
                  <w:tcW w:w="319" w:type="pct"/>
                  <w:noWrap w:val="0"/>
                  <w:vAlign w:val="center"/>
                </w:tcPr>
                <w:p w14:paraId="06EA80E1">
                  <w:pPr>
                    <w:pStyle w:val="96"/>
                    <w:adjustRightInd w:val="0"/>
                    <w:snapToGrid w:val="0"/>
                    <w:jc w:val="center"/>
                    <w:rPr>
                      <w:rFonts w:hint="default" w:cs="Times New Roman"/>
                      <w:color w:val="auto"/>
                      <w:szCs w:val="21"/>
                      <w:lang w:val="en-US" w:eastAsia="zh-CN"/>
                    </w:rPr>
                  </w:pPr>
                  <w:r>
                    <w:rPr>
                      <w:rFonts w:hint="default" w:cs="Times New Roman"/>
                      <w:color w:val="auto"/>
                      <w:szCs w:val="21"/>
                      <w:lang w:val="en-US" w:eastAsia="zh-CN"/>
                    </w:rPr>
                    <w:t>1</w:t>
                  </w:r>
                </w:p>
              </w:tc>
              <w:tc>
                <w:tcPr>
                  <w:tcW w:w="647" w:type="pct"/>
                  <w:noWrap w:val="0"/>
                  <w:vAlign w:val="center"/>
                </w:tcPr>
                <w:p w14:paraId="1A9410A8">
                  <w:pPr>
                    <w:pStyle w:val="96"/>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生物质成型颗粒</w:t>
                  </w:r>
                </w:p>
              </w:tc>
              <w:tc>
                <w:tcPr>
                  <w:tcW w:w="572" w:type="pct"/>
                  <w:noWrap w:val="0"/>
                  <w:vAlign w:val="center"/>
                </w:tcPr>
                <w:p w14:paraId="44100569">
                  <w:pPr>
                    <w:pStyle w:val="96"/>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t</w:t>
                  </w:r>
                </w:p>
              </w:tc>
              <w:tc>
                <w:tcPr>
                  <w:tcW w:w="874" w:type="pct"/>
                  <w:noWrap w:val="0"/>
                  <w:vAlign w:val="center"/>
                </w:tcPr>
                <w:p w14:paraId="71A27DCF">
                  <w:pPr>
                    <w:pStyle w:val="96"/>
                    <w:adjustRightInd w:val="0"/>
                    <w:snapToGrid w:val="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4500</w:t>
                  </w:r>
                </w:p>
              </w:tc>
              <w:tc>
                <w:tcPr>
                  <w:tcW w:w="1282" w:type="dxa"/>
                  <w:noWrap w:val="0"/>
                  <w:vAlign w:val="center"/>
                </w:tcPr>
                <w:p w14:paraId="6A4888AB">
                  <w:pPr>
                    <w:pStyle w:val="96"/>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 w:val="21"/>
                      <w:szCs w:val="21"/>
                      <w:lang w:val="en-US" w:eastAsia="zh-CN"/>
                    </w:rPr>
                    <w:t>4500</w:t>
                  </w:r>
                </w:p>
              </w:tc>
              <w:tc>
                <w:tcPr>
                  <w:tcW w:w="692" w:type="pct"/>
                  <w:noWrap w:val="0"/>
                  <w:vAlign w:val="center"/>
                </w:tcPr>
                <w:p w14:paraId="29AD035F">
                  <w:pPr>
                    <w:pStyle w:val="96"/>
                    <w:adjustRightInd w:val="0"/>
                    <w:snapToGrid w:val="0"/>
                    <w:jc w:val="center"/>
                    <w:rPr>
                      <w:rFonts w:hint="default" w:ascii="Times New Roman" w:hAnsi="Times New Roman" w:eastAsia="宋体" w:cs="Times New Roman"/>
                      <w:color w:val="FF0000"/>
                      <w:szCs w:val="21"/>
                      <w:lang w:val="en-US" w:eastAsia="zh-CN"/>
                    </w:rPr>
                  </w:pPr>
                  <w:r>
                    <w:rPr>
                      <w:rFonts w:hint="eastAsia" w:cs="Times New Roman"/>
                      <w:color w:val="FF0000"/>
                      <w:szCs w:val="21"/>
                      <w:lang w:val="en-US" w:eastAsia="zh-CN"/>
                    </w:rPr>
                    <w:t>0</w:t>
                  </w:r>
                </w:p>
              </w:tc>
              <w:tc>
                <w:tcPr>
                  <w:tcW w:w="579" w:type="pct"/>
                  <w:noWrap w:val="0"/>
                  <w:vAlign w:val="center"/>
                </w:tcPr>
                <w:p w14:paraId="60352473">
                  <w:pPr>
                    <w:pStyle w:val="96"/>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锅炉房</w:t>
                  </w:r>
                </w:p>
              </w:tc>
              <w:tc>
                <w:tcPr>
                  <w:tcW w:w="551" w:type="pct"/>
                  <w:noWrap w:val="0"/>
                  <w:vAlign w:val="center"/>
                </w:tcPr>
                <w:p w14:paraId="56335876">
                  <w:pPr>
                    <w:pStyle w:val="96"/>
                    <w:adjustRightInd w:val="0"/>
                    <w:snapToGrid w:val="0"/>
                    <w:jc w:val="center"/>
                    <w:rPr>
                      <w:rFonts w:hint="default" w:cs="Times New Roman"/>
                      <w:color w:val="auto"/>
                      <w:szCs w:val="21"/>
                      <w:lang w:val="en-US" w:eastAsia="zh-CN"/>
                    </w:rPr>
                  </w:pPr>
                  <w:r>
                    <w:rPr>
                      <w:rFonts w:hint="eastAsia" w:cs="Times New Roman"/>
                      <w:color w:val="auto"/>
                      <w:szCs w:val="21"/>
                      <w:lang w:val="en-US" w:eastAsia="zh-CN"/>
                    </w:rPr>
                    <w:t>外购</w:t>
                  </w:r>
                </w:p>
              </w:tc>
            </w:tr>
            <w:tr w14:paraId="4D13D12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trPr>
              <w:tc>
                <w:tcPr>
                  <w:tcW w:w="319" w:type="pct"/>
                  <w:noWrap w:val="0"/>
                  <w:vAlign w:val="center"/>
                </w:tcPr>
                <w:p w14:paraId="241EE842">
                  <w:pPr>
                    <w:pStyle w:val="96"/>
                    <w:adjustRightInd w:val="0"/>
                    <w:snapToGrid w:val="0"/>
                    <w:jc w:val="center"/>
                    <w:rPr>
                      <w:rFonts w:hint="default" w:cs="Times New Roman"/>
                      <w:color w:val="auto"/>
                      <w:szCs w:val="21"/>
                      <w:lang w:val="en-US" w:eastAsia="zh-CN"/>
                    </w:rPr>
                  </w:pPr>
                  <w:r>
                    <w:rPr>
                      <w:rFonts w:hint="default" w:cs="Times New Roman"/>
                      <w:color w:val="auto"/>
                      <w:szCs w:val="21"/>
                      <w:lang w:val="en-US" w:eastAsia="zh-CN"/>
                    </w:rPr>
                    <w:t>2</w:t>
                  </w:r>
                </w:p>
              </w:tc>
              <w:tc>
                <w:tcPr>
                  <w:tcW w:w="647" w:type="pct"/>
                  <w:noWrap w:val="0"/>
                  <w:vAlign w:val="center"/>
                </w:tcPr>
                <w:p w14:paraId="523335EC">
                  <w:pPr>
                    <w:pStyle w:val="96"/>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水</w:t>
                  </w:r>
                </w:p>
              </w:tc>
              <w:tc>
                <w:tcPr>
                  <w:tcW w:w="572" w:type="pct"/>
                  <w:noWrap w:val="0"/>
                  <w:vAlign w:val="center"/>
                </w:tcPr>
                <w:p w14:paraId="5847581C">
                  <w:pPr>
                    <w:pStyle w:val="96"/>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万m</w:t>
                  </w:r>
                  <w:r>
                    <w:rPr>
                      <w:rFonts w:hint="default" w:ascii="Times New Roman" w:hAnsi="Times New Roman" w:cs="Times New Roman"/>
                      <w:color w:val="auto"/>
                      <w:szCs w:val="21"/>
                      <w:vertAlign w:val="superscript"/>
                      <w:lang w:val="en-US" w:eastAsia="zh-CN"/>
                    </w:rPr>
                    <w:t>3</w:t>
                  </w:r>
                  <w:r>
                    <w:rPr>
                      <w:rFonts w:hint="default" w:ascii="Times New Roman" w:hAnsi="Times New Roman" w:cs="Times New Roman"/>
                      <w:color w:val="auto"/>
                      <w:szCs w:val="21"/>
                      <w:lang w:val="en-US" w:eastAsia="zh-CN"/>
                    </w:rPr>
                    <w:t>/a</w:t>
                  </w:r>
                </w:p>
              </w:tc>
              <w:tc>
                <w:tcPr>
                  <w:tcW w:w="874" w:type="pct"/>
                  <w:noWrap w:val="0"/>
                  <w:vAlign w:val="center"/>
                </w:tcPr>
                <w:p w14:paraId="0C09F96B">
                  <w:pPr>
                    <w:pStyle w:val="96"/>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2.76</w:t>
                  </w:r>
                </w:p>
              </w:tc>
              <w:tc>
                <w:tcPr>
                  <w:tcW w:w="1282" w:type="dxa"/>
                  <w:noWrap w:val="0"/>
                  <w:vAlign w:val="center"/>
                </w:tcPr>
                <w:p w14:paraId="5745636B">
                  <w:pPr>
                    <w:pStyle w:val="96"/>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2.76</w:t>
                  </w:r>
                </w:p>
              </w:tc>
              <w:tc>
                <w:tcPr>
                  <w:tcW w:w="692" w:type="pct"/>
                  <w:noWrap w:val="0"/>
                  <w:vAlign w:val="center"/>
                </w:tcPr>
                <w:p w14:paraId="4EDFBCAB">
                  <w:pPr>
                    <w:pStyle w:val="96"/>
                    <w:adjustRightInd w:val="0"/>
                    <w:snapToGrid w:val="0"/>
                    <w:jc w:val="center"/>
                    <w:rPr>
                      <w:rFonts w:hint="default" w:ascii="Times New Roman" w:hAnsi="Times New Roman" w:eastAsia="宋体" w:cs="Times New Roman"/>
                      <w:color w:val="FF0000"/>
                      <w:szCs w:val="21"/>
                      <w:lang w:val="en-US" w:eastAsia="zh-CN"/>
                    </w:rPr>
                  </w:pPr>
                  <w:r>
                    <w:rPr>
                      <w:rFonts w:hint="eastAsia" w:cs="Times New Roman"/>
                      <w:color w:val="FF0000"/>
                      <w:szCs w:val="21"/>
                      <w:lang w:val="en-US" w:eastAsia="zh-CN"/>
                    </w:rPr>
                    <w:t>0</w:t>
                  </w:r>
                </w:p>
              </w:tc>
              <w:tc>
                <w:tcPr>
                  <w:tcW w:w="579" w:type="pct"/>
                  <w:noWrap w:val="0"/>
                  <w:vAlign w:val="center"/>
                </w:tcPr>
                <w:p w14:paraId="2B51F761">
                  <w:pPr>
                    <w:pStyle w:val="96"/>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w:t>
                  </w:r>
                </w:p>
              </w:tc>
              <w:tc>
                <w:tcPr>
                  <w:tcW w:w="551" w:type="pct"/>
                  <w:noWrap w:val="0"/>
                  <w:vAlign w:val="center"/>
                </w:tcPr>
                <w:p w14:paraId="76B465F1">
                  <w:pPr>
                    <w:pStyle w:val="96"/>
                    <w:adjustRightInd w:val="0"/>
                    <w:snapToGrid w:val="0"/>
                    <w:jc w:val="center"/>
                    <w:rPr>
                      <w:rFonts w:hint="default" w:cs="Times New Roman"/>
                      <w:color w:val="auto"/>
                      <w:szCs w:val="21"/>
                      <w:lang w:val="en-US" w:eastAsia="zh-CN"/>
                    </w:rPr>
                  </w:pPr>
                  <w:r>
                    <w:rPr>
                      <w:rFonts w:hint="eastAsia" w:cs="Times New Roman"/>
                      <w:color w:val="auto"/>
                      <w:szCs w:val="21"/>
                      <w:lang w:val="en-US" w:eastAsia="zh-CN"/>
                    </w:rPr>
                    <w:t>市政供给</w:t>
                  </w:r>
                </w:p>
              </w:tc>
            </w:tr>
            <w:tr w14:paraId="591D30E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trPr>
              <w:tc>
                <w:tcPr>
                  <w:tcW w:w="319" w:type="pct"/>
                  <w:noWrap w:val="0"/>
                  <w:vAlign w:val="center"/>
                </w:tcPr>
                <w:p w14:paraId="765EE3ED">
                  <w:pPr>
                    <w:pStyle w:val="96"/>
                    <w:adjustRightInd w:val="0"/>
                    <w:snapToGrid w:val="0"/>
                    <w:jc w:val="center"/>
                    <w:rPr>
                      <w:rFonts w:hint="default" w:cs="Times New Roman"/>
                      <w:color w:val="auto"/>
                      <w:szCs w:val="21"/>
                      <w:lang w:val="en-US" w:eastAsia="zh-CN"/>
                    </w:rPr>
                  </w:pPr>
                  <w:r>
                    <w:rPr>
                      <w:rFonts w:hint="eastAsia" w:cs="Times New Roman"/>
                      <w:color w:val="auto"/>
                      <w:szCs w:val="21"/>
                      <w:lang w:val="en-US" w:eastAsia="zh-CN"/>
                    </w:rPr>
                    <w:t>3</w:t>
                  </w:r>
                </w:p>
              </w:tc>
              <w:tc>
                <w:tcPr>
                  <w:tcW w:w="647" w:type="pct"/>
                  <w:noWrap w:val="0"/>
                  <w:vAlign w:val="center"/>
                </w:tcPr>
                <w:p w14:paraId="3D1450E8">
                  <w:pPr>
                    <w:pStyle w:val="96"/>
                    <w:adjustRightInd w:val="0"/>
                    <w:snapToGrid w:val="0"/>
                    <w:jc w:val="center"/>
                    <w:rPr>
                      <w:rFonts w:hint="default" w:cs="Times New Roman"/>
                      <w:color w:val="auto"/>
                      <w:szCs w:val="21"/>
                      <w:lang w:val="en-US" w:eastAsia="zh-CN"/>
                    </w:rPr>
                  </w:pPr>
                  <w:r>
                    <w:rPr>
                      <w:rFonts w:hint="eastAsia" w:cs="Times New Roman"/>
                      <w:color w:val="auto"/>
                      <w:szCs w:val="21"/>
                      <w:lang w:val="en-US" w:eastAsia="zh-CN"/>
                    </w:rPr>
                    <w:t>电</w:t>
                  </w:r>
                </w:p>
              </w:tc>
              <w:tc>
                <w:tcPr>
                  <w:tcW w:w="572" w:type="pct"/>
                  <w:noWrap w:val="0"/>
                  <w:vAlign w:val="center"/>
                </w:tcPr>
                <w:p w14:paraId="236A7DCD">
                  <w:pPr>
                    <w:pStyle w:val="96"/>
                    <w:adjustRightInd w:val="0"/>
                    <w:snapToGrid w:val="0"/>
                    <w:jc w:val="center"/>
                    <w:rPr>
                      <w:rFonts w:hint="default" w:ascii="Times New Roman" w:hAnsi="Times New Roman" w:cs="Times New Roman"/>
                      <w:color w:val="auto"/>
                      <w:szCs w:val="21"/>
                      <w:lang w:val="en-US" w:eastAsia="zh-CN"/>
                    </w:rPr>
                  </w:pPr>
                  <w:r>
                    <w:rPr>
                      <w:rFonts w:hint="eastAsia" w:cs="Times New Roman"/>
                      <w:color w:val="auto"/>
                      <w:szCs w:val="21"/>
                      <w:lang w:val="en-US" w:eastAsia="zh-CN"/>
                    </w:rPr>
                    <w:t>万k</w:t>
                  </w:r>
                  <w:r>
                    <w:rPr>
                      <w:rFonts w:hint="default" w:ascii="Times New Roman" w:hAnsi="Times New Roman" w:cs="Times New Roman"/>
                      <w:color w:val="auto"/>
                      <w:szCs w:val="21"/>
                      <w:lang w:val="en-US" w:eastAsia="zh-CN"/>
                    </w:rPr>
                    <w:t>W·h/a</w:t>
                  </w:r>
                </w:p>
              </w:tc>
              <w:tc>
                <w:tcPr>
                  <w:tcW w:w="874" w:type="pct"/>
                  <w:noWrap w:val="0"/>
                  <w:vAlign w:val="center"/>
                </w:tcPr>
                <w:p w14:paraId="7CA3DA3B">
                  <w:pPr>
                    <w:pStyle w:val="96"/>
                    <w:adjustRightInd w:val="0"/>
                    <w:snapToGrid w:val="0"/>
                    <w:jc w:val="center"/>
                    <w:rPr>
                      <w:rFonts w:hint="default" w:ascii="Times New Roman" w:hAnsi="Times New Roman" w:cs="Times New Roman"/>
                      <w:color w:val="auto"/>
                      <w:szCs w:val="21"/>
                      <w:lang w:val="en-US" w:eastAsia="zh-CN"/>
                    </w:rPr>
                  </w:pPr>
                  <w:r>
                    <w:rPr>
                      <w:rFonts w:hint="eastAsia" w:cs="Times New Roman"/>
                      <w:color w:val="auto"/>
                      <w:szCs w:val="21"/>
                      <w:lang w:val="en-US" w:eastAsia="zh-CN"/>
                    </w:rPr>
                    <w:t>/</w:t>
                  </w:r>
                </w:p>
              </w:tc>
              <w:tc>
                <w:tcPr>
                  <w:tcW w:w="761" w:type="pct"/>
                  <w:noWrap w:val="0"/>
                  <w:vAlign w:val="center"/>
                </w:tcPr>
                <w:p w14:paraId="330EBD12">
                  <w:pPr>
                    <w:pStyle w:val="96"/>
                    <w:adjustRightInd w:val="0"/>
                    <w:snapToGrid w:val="0"/>
                    <w:jc w:val="center"/>
                    <w:rPr>
                      <w:rFonts w:hint="default" w:ascii="Times New Roman" w:hAnsi="Times New Roman" w:cs="Times New Roman"/>
                      <w:color w:val="auto"/>
                      <w:szCs w:val="21"/>
                      <w:lang w:val="en-US" w:eastAsia="zh-CN"/>
                    </w:rPr>
                  </w:pPr>
                  <w:r>
                    <w:rPr>
                      <w:rFonts w:hint="eastAsia" w:cs="Times New Roman"/>
                      <w:color w:val="auto"/>
                      <w:szCs w:val="21"/>
                      <w:lang w:val="en-US" w:eastAsia="zh-CN"/>
                    </w:rPr>
                    <w:t>/</w:t>
                  </w:r>
                </w:p>
              </w:tc>
              <w:tc>
                <w:tcPr>
                  <w:tcW w:w="692" w:type="pct"/>
                  <w:noWrap w:val="0"/>
                  <w:vAlign w:val="center"/>
                </w:tcPr>
                <w:p w14:paraId="1C230054">
                  <w:pPr>
                    <w:adjustRightInd w:val="0"/>
                    <w:snapToGrid w:val="0"/>
                    <w:jc w:val="center"/>
                    <w:rPr>
                      <w:rFonts w:hint="default" w:ascii="Times New Roman" w:hAnsi="Times New Roman" w:cs="Times New Roman"/>
                      <w:color w:val="FF0000"/>
                      <w:szCs w:val="21"/>
                      <w:lang w:val="en-US" w:eastAsia="zh-CN"/>
                    </w:rPr>
                  </w:pPr>
                  <w:r>
                    <w:rPr>
                      <w:rFonts w:hint="eastAsia" w:cs="Times New Roman"/>
                      <w:color w:val="FF0000"/>
                      <w:szCs w:val="21"/>
                      <w:lang w:val="en-US" w:eastAsia="zh-CN"/>
                    </w:rPr>
                    <w:t>/</w:t>
                  </w:r>
                </w:p>
              </w:tc>
              <w:tc>
                <w:tcPr>
                  <w:tcW w:w="579" w:type="pct"/>
                  <w:noWrap w:val="0"/>
                  <w:vAlign w:val="center"/>
                </w:tcPr>
                <w:p w14:paraId="78AAB56B">
                  <w:pPr>
                    <w:pStyle w:val="96"/>
                    <w:adjustRightInd w:val="0"/>
                    <w:snapToGrid w:val="0"/>
                    <w:jc w:val="center"/>
                    <w:rPr>
                      <w:rFonts w:hint="eastAsia" w:ascii="Times New Roman" w:hAnsi="Times New Roman" w:eastAsia="宋体" w:cs="Times New Roman"/>
                      <w:color w:val="auto"/>
                      <w:szCs w:val="21"/>
                      <w:lang w:val="en-US" w:eastAsia="zh-CN"/>
                    </w:rPr>
                  </w:pPr>
                  <w:r>
                    <w:rPr>
                      <w:rFonts w:hint="eastAsia" w:cs="Times New Roman"/>
                      <w:color w:val="auto"/>
                      <w:szCs w:val="21"/>
                      <w:lang w:val="en-US" w:eastAsia="zh-CN"/>
                    </w:rPr>
                    <w:t>/</w:t>
                  </w:r>
                </w:p>
              </w:tc>
              <w:tc>
                <w:tcPr>
                  <w:tcW w:w="551" w:type="pct"/>
                  <w:shd w:val="clear" w:color="auto" w:fill="auto"/>
                  <w:noWrap w:val="0"/>
                  <w:vAlign w:val="center"/>
                </w:tcPr>
                <w:p w14:paraId="10FE4EA3">
                  <w:pPr>
                    <w:pStyle w:val="96"/>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市政供给</w:t>
                  </w:r>
                </w:p>
              </w:tc>
            </w:tr>
          </w:tbl>
          <w:p w14:paraId="01E55F52">
            <w:pPr>
              <w:pStyle w:val="2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right="0" w:firstLine="482"/>
              <w:jc w:val="both"/>
              <w:rPr>
                <w:rFonts w:hint="default" w:ascii="Times New Roman" w:hAnsi="Times New Roman" w:cs="Times New Roman"/>
                <w:color w:val="auto"/>
                <w:sz w:val="24"/>
                <w:szCs w:val="24"/>
                <w:shd w:val="clear" w:fill="FFFFFF"/>
              </w:rPr>
            </w:pPr>
            <w:r>
              <w:rPr>
                <w:rFonts w:hint="default" w:ascii="Times New Roman" w:hAnsi="Times New Roman" w:cs="Times New Roman"/>
                <w:b/>
                <w:bCs/>
                <w:color w:val="auto"/>
                <w:sz w:val="24"/>
                <w:szCs w:val="24"/>
              </w:rPr>
              <w:t>生物质</w:t>
            </w:r>
            <w:r>
              <w:rPr>
                <w:rFonts w:hint="eastAsia" w:ascii="Times New Roman" w:hAnsi="Times New Roman" w:cs="Times New Roman"/>
                <w:b/>
                <w:bCs/>
                <w:color w:val="auto"/>
                <w:sz w:val="24"/>
                <w:szCs w:val="24"/>
                <w:lang w:val="en-US" w:eastAsia="zh-CN"/>
              </w:rPr>
              <w:t>成型燃料</w:t>
            </w:r>
            <w:r>
              <w:rPr>
                <w:rFonts w:hint="default" w:ascii="Times New Roman" w:hAnsi="Times New Roman" w:cs="Times New Roman"/>
                <w:b/>
                <w:bCs/>
                <w:color w:val="auto"/>
                <w:sz w:val="24"/>
                <w:szCs w:val="24"/>
              </w:rPr>
              <w:t>：</w:t>
            </w:r>
            <w:r>
              <w:rPr>
                <w:rFonts w:hint="default" w:ascii="Times New Roman" w:hAnsi="Times New Roman" w:cs="Times New Roman"/>
                <w:color w:val="auto"/>
                <w:sz w:val="24"/>
                <w:szCs w:val="24"/>
                <w:shd w:val="clear" w:fill="FFFFFF"/>
              </w:rPr>
              <w:t>指</w:t>
            </w:r>
            <w:r>
              <w:rPr>
                <w:rFonts w:hint="eastAsia" w:ascii="Times New Roman" w:hAnsi="Times New Roman" w:cs="Times New Roman"/>
                <w:color w:val="auto"/>
                <w:sz w:val="24"/>
                <w:szCs w:val="24"/>
                <w:shd w:val="clear" w:fill="FFFFFF"/>
                <w:lang w:val="en-US" w:eastAsia="zh-CN"/>
              </w:rPr>
              <w:t>作为燃料的</w:t>
            </w:r>
            <w:r>
              <w:rPr>
                <w:rFonts w:hint="default" w:ascii="Times New Roman" w:hAnsi="Times New Roman" w:cs="Times New Roman"/>
                <w:color w:val="auto"/>
                <w:sz w:val="24"/>
                <w:szCs w:val="24"/>
                <w:shd w:val="clear" w:fill="FFFFFF"/>
              </w:rPr>
              <w:t>生物质材料，一般主要是农林废弃物（如秸秆、锯末、甘蔗渣、稻糠等）</w:t>
            </w:r>
            <w:r>
              <w:rPr>
                <w:rFonts w:hint="eastAsia" w:ascii="Times New Roman" w:hAnsi="Times New Roman" w:cs="Times New Roman"/>
                <w:color w:val="auto"/>
                <w:sz w:val="24"/>
                <w:szCs w:val="24"/>
                <w:shd w:val="clear" w:fill="FFFFFF"/>
                <w:lang w:val="en-US" w:eastAsia="zh-CN"/>
              </w:rPr>
              <w:t>或木材加工品</w:t>
            </w:r>
            <w:r>
              <w:rPr>
                <w:rFonts w:hint="default" w:ascii="Times New Roman" w:hAnsi="Times New Roman" w:cs="Times New Roman"/>
                <w:color w:val="auto"/>
                <w:sz w:val="24"/>
                <w:szCs w:val="24"/>
                <w:shd w:val="clear" w:fill="FFFFFF"/>
              </w:rPr>
              <w:t>。生物质燃料的应用，实际主要是将农林废物</w:t>
            </w:r>
            <w:r>
              <w:rPr>
                <w:rFonts w:hint="eastAsia" w:ascii="Times New Roman" w:hAnsi="Times New Roman" w:cs="Times New Roman"/>
                <w:color w:val="auto"/>
                <w:sz w:val="24"/>
                <w:szCs w:val="24"/>
                <w:shd w:val="clear" w:fill="FFFFFF"/>
                <w:lang w:val="en-US" w:eastAsia="zh-CN"/>
              </w:rPr>
              <w:t>或专用木材</w:t>
            </w:r>
            <w:r>
              <w:rPr>
                <w:rFonts w:hint="default" w:ascii="Times New Roman" w:hAnsi="Times New Roman" w:cs="Times New Roman"/>
                <w:color w:val="auto"/>
                <w:sz w:val="24"/>
                <w:szCs w:val="24"/>
                <w:shd w:val="clear" w:fill="FFFFFF"/>
              </w:rPr>
              <w:t>作为原材料，经过粉碎、混合、挤压、烘干等工艺，制成各种成型（如块状、颗粒状等）的，可直接燃烧的一种新型清洁燃料。</w:t>
            </w:r>
          </w:p>
          <w:p w14:paraId="77C20191">
            <w:pPr>
              <w:pStyle w:val="9"/>
              <w:autoSpaceDE/>
              <w:autoSpaceDN/>
              <w:adjustRightInd/>
              <w:spacing w:line="240" w:lineRule="auto"/>
              <w:ind w:left="0" w:firstLine="0"/>
              <w:jc w:val="center"/>
              <w:textAlignment w:val="auto"/>
              <w:rPr>
                <w:rFonts w:hint="default" w:eastAsia="宋体"/>
                <w:b/>
                <w:bCs/>
                <w:color w:val="FF0000"/>
                <w:kern w:val="2"/>
                <w:szCs w:val="24"/>
                <w:lang w:val="en-US" w:eastAsia="zh-CN"/>
              </w:rPr>
            </w:pPr>
            <w:r>
              <w:rPr>
                <w:rFonts w:hint="eastAsia"/>
                <w:b/>
                <w:bCs/>
                <w:color w:val="FF0000"/>
                <w:kern w:val="2"/>
                <w:szCs w:val="24"/>
              </w:rPr>
              <w:t>表2-</w:t>
            </w:r>
            <w:r>
              <w:rPr>
                <w:rFonts w:hint="eastAsia"/>
                <w:b/>
                <w:bCs/>
                <w:color w:val="FF0000"/>
                <w:kern w:val="2"/>
                <w:szCs w:val="24"/>
                <w:lang w:val="en-US" w:eastAsia="zh-CN"/>
              </w:rPr>
              <w:t>5</w:t>
            </w:r>
            <w:r>
              <w:rPr>
                <w:rFonts w:hint="eastAsia"/>
                <w:b/>
                <w:bCs/>
                <w:color w:val="FF0000"/>
                <w:kern w:val="2"/>
                <w:szCs w:val="24"/>
              </w:rPr>
              <w:t xml:space="preserve"> </w:t>
            </w:r>
            <w:r>
              <w:rPr>
                <w:rFonts w:hint="default" w:ascii="Times New Roman" w:hAnsi="Times New Roman" w:cs="Times New Roman"/>
                <w:b/>
                <w:bCs/>
                <w:color w:val="FF0000"/>
                <w:sz w:val="24"/>
                <w:szCs w:val="24"/>
              </w:rPr>
              <w:t>生物质</w:t>
            </w:r>
            <w:r>
              <w:rPr>
                <w:rFonts w:hint="eastAsia" w:ascii="Times New Roman" w:hAnsi="Times New Roman" w:cs="Times New Roman"/>
                <w:b/>
                <w:bCs/>
                <w:color w:val="FF0000"/>
                <w:sz w:val="24"/>
                <w:szCs w:val="24"/>
                <w:lang w:val="en-US" w:eastAsia="zh-CN"/>
              </w:rPr>
              <w:t>成型燃料</w:t>
            </w:r>
            <w:r>
              <w:rPr>
                <w:rFonts w:hint="eastAsia"/>
                <w:b/>
                <w:bCs/>
                <w:color w:val="FF0000"/>
                <w:kern w:val="2"/>
                <w:szCs w:val="24"/>
                <w:lang w:val="en-US" w:eastAsia="zh-CN"/>
              </w:rPr>
              <w:t>成分</w:t>
            </w:r>
          </w:p>
          <w:tbl>
            <w:tblPr>
              <w:tblStyle w:val="27"/>
              <w:tblW w:w="4998"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721"/>
              <w:gridCol w:w="1303"/>
              <w:gridCol w:w="1305"/>
              <w:gridCol w:w="1334"/>
              <w:gridCol w:w="1168"/>
              <w:gridCol w:w="1016"/>
              <w:gridCol w:w="1236"/>
            </w:tblGrid>
            <w:tr w14:paraId="5362671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131" w:hRule="atLeast"/>
              </w:trPr>
              <w:tc>
                <w:tcPr>
                  <w:tcW w:w="446" w:type="pct"/>
                  <w:vMerge w:val="restart"/>
                  <w:noWrap w:val="0"/>
                  <w:vAlign w:val="center"/>
                </w:tcPr>
                <w:p w14:paraId="76D58C8A">
                  <w:pPr>
                    <w:pStyle w:val="96"/>
                    <w:adjustRightInd w:val="0"/>
                    <w:snapToGrid w:val="0"/>
                    <w:jc w:val="center"/>
                    <w:rPr>
                      <w:rFonts w:hint="default" w:ascii="Times New Roman" w:hAnsi="Times New Roman" w:cs="Times New Roman"/>
                      <w:b/>
                      <w:color w:val="FF0000"/>
                      <w:szCs w:val="21"/>
                    </w:rPr>
                  </w:pPr>
                  <w:r>
                    <w:rPr>
                      <w:rFonts w:hint="default" w:ascii="Times New Roman" w:hAnsi="Times New Roman" w:cs="Times New Roman"/>
                      <w:b/>
                      <w:color w:val="FF0000"/>
                      <w:szCs w:val="21"/>
                    </w:rPr>
                    <w:t>序号</w:t>
                  </w:r>
                </w:p>
              </w:tc>
              <w:tc>
                <w:tcPr>
                  <w:tcW w:w="806" w:type="pct"/>
                  <w:vMerge w:val="restart"/>
                  <w:noWrap w:val="0"/>
                  <w:vAlign w:val="center"/>
                </w:tcPr>
                <w:p w14:paraId="1E0EBB3E">
                  <w:pPr>
                    <w:pStyle w:val="96"/>
                    <w:tabs>
                      <w:tab w:val="left" w:pos="554"/>
                    </w:tabs>
                    <w:adjustRightInd w:val="0"/>
                    <w:snapToGrid w:val="0"/>
                    <w:jc w:val="center"/>
                    <w:rPr>
                      <w:rFonts w:hint="eastAsia" w:ascii="Times New Roman" w:hAnsi="Times New Roman" w:eastAsia="宋体" w:cs="Times New Roman"/>
                      <w:b/>
                      <w:color w:val="FF0000"/>
                      <w:szCs w:val="21"/>
                      <w:lang w:eastAsia="zh-CN"/>
                    </w:rPr>
                  </w:pPr>
                  <w:r>
                    <w:rPr>
                      <w:rFonts w:hint="eastAsia" w:ascii="Times New Roman" w:hAnsi="Times New Roman" w:cs="Times New Roman"/>
                      <w:b/>
                      <w:color w:val="FF0000"/>
                      <w:szCs w:val="21"/>
                      <w:lang w:val="en-US" w:eastAsia="zh-CN"/>
                    </w:rPr>
                    <w:t>项目</w:t>
                  </w:r>
                </w:p>
              </w:tc>
              <w:tc>
                <w:tcPr>
                  <w:tcW w:w="807" w:type="pct"/>
                  <w:vMerge w:val="restart"/>
                  <w:noWrap w:val="0"/>
                  <w:vAlign w:val="center"/>
                </w:tcPr>
                <w:p w14:paraId="6FFDC9DF">
                  <w:pPr>
                    <w:pStyle w:val="96"/>
                    <w:adjustRightInd w:val="0"/>
                    <w:snapToGrid w:val="0"/>
                    <w:jc w:val="center"/>
                    <w:rPr>
                      <w:rFonts w:hint="eastAsia" w:ascii="Times New Roman" w:hAnsi="Times New Roman" w:eastAsia="宋体" w:cs="Times New Roman"/>
                      <w:b/>
                      <w:color w:val="FF0000"/>
                      <w:szCs w:val="21"/>
                      <w:lang w:eastAsia="zh-CN"/>
                    </w:rPr>
                  </w:pPr>
                  <w:r>
                    <w:rPr>
                      <w:rFonts w:hint="eastAsia" w:ascii="Times New Roman" w:hAnsi="Times New Roman" w:eastAsia="宋体" w:cs="Times New Roman"/>
                      <w:b/>
                      <w:color w:val="FF0000"/>
                      <w:szCs w:val="21"/>
                      <w:lang w:val="en-US" w:eastAsia="zh-CN"/>
                    </w:rPr>
                    <w:t>单位</w:t>
                  </w:r>
                </w:p>
              </w:tc>
              <w:tc>
                <w:tcPr>
                  <w:tcW w:w="2939" w:type="pct"/>
                  <w:gridSpan w:val="4"/>
                  <w:noWrap w:val="0"/>
                  <w:vAlign w:val="center"/>
                </w:tcPr>
                <w:p w14:paraId="2541D988">
                  <w:pPr>
                    <w:pStyle w:val="96"/>
                    <w:adjustRightInd w:val="0"/>
                    <w:snapToGrid w:val="0"/>
                    <w:jc w:val="center"/>
                    <w:rPr>
                      <w:rFonts w:hint="eastAsia" w:cs="Times New Roman"/>
                      <w:b/>
                      <w:color w:val="FF0000"/>
                      <w:szCs w:val="21"/>
                      <w:lang w:val="en-US" w:eastAsia="zh-CN"/>
                    </w:rPr>
                  </w:pPr>
                  <w:r>
                    <w:rPr>
                      <w:rFonts w:hint="eastAsia" w:cs="Times New Roman"/>
                      <w:b/>
                      <w:color w:val="FF0000"/>
                      <w:szCs w:val="21"/>
                      <w:lang w:val="en-US" w:eastAsia="zh-CN"/>
                    </w:rPr>
                    <w:t>分成</w:t>
                  </w:r>
                </w:p>
              </w:tc>
            </w:tr>
            <w:tr w14:paraId="3202485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131" w:hRule="atLeast"/>
              </w:trPr>
              <w:tc>
                <w:tcPr>
                  <w:tcW w:w="446" w:type="pct"/>
                  <w:vMerge w:val="continue"/>
                  <w:noWrap w:val="0"/>
                  <w:vAlign w:val="center"/>
                </w:tcPr>
                <w:p w14:paraId="52A185FE">
                  <w:pPr>
                    <w:pStyle w:val="96"/>
                    <w:adjustRightInd w:val="0"/>
                    <w:snapToGrid w:val="0"/>
                    <w:jc w:val="center"/>
                    <w:rPr>
                      <w:color w:val="FF0000"/>
                    </w:rPr>
                  </w:pPr>
                </w:p>
              </w:tc>
              <w:tc>
                <w:tcPr>
                  <w:tcW w:w="806" w:type="pct"/>
                  <w:vMerge w:val="continue"/>
                  <w:noWrap w:val="0"/>
                  <w:vAlign w:val="center"/>
                </w:tcPr>
                <w:p w14:paraId="6F4E04BF">
                  <w:pPr>
                    <w:pStyle w:val="96"/>
                    <w:adjustRightInd w:val="0"/>
                    <w:snapToGrid w:val="0"/>
                    <w:jc w:val="center"/>
                    <w:rPr>
                      <w:color w:val="FF0000"/>
                    </w:rPr>
                  </w:pPr>
                </w:p>
              </w:tc>
              <w:tc>
                <w:tcPr>
                  <w:tcW w:w="807" w:type="pct"/>
                  <w:vMerge w:val="continue"/>
                  <w:noWrap w:val="0"/>
                  <w:vAlign w:val="center"/>
                </w:tcPr>
                <w:p w14:paraId="5514A455">
                  <w:pPr>
                    <w:pStyle w:val="96"/>
                    <w:adjustRightInd w:val="0"/>
                    <w:snapToGrid w:val="0"/>
                    <w:jc w:val="center"/>
                    <w:rPr>
                      <w:color w:val="FF0000"/>
                    </w:rPr>
                  </w:pPr>
                </w:p>
              </w:tc>
              <w:tc>
                <w:tcPr>
                  <w:tcW w:w="825" w:type="pct"/>
                  <w:noWrap w:val="0"/>
                  <w:vAlign w:val="center"/>
                </w:tcPr>
                <w:p w14:paraId="495F55B6">
                  <w:pPr>
                    <w:pStyle w:val="96"/>
                    <w:adjustRightInd w:val="0"/>
                    <w:snapToGrid w:val="0"/>
                    <w:jc w:val="center"/>
                    <w:rPr>
                      <w:color w:val="FF0000"/>
                    </w:rPr>
                  </w:pPr>
                  <w:r>
                    <w:rPr>
                      <w:rFonts w:hint="eastAsia"/>
                      <w:color w:val="FF0000"/>
                    </w:rPr>
                    <w:t>空气干燥基</w:t>
                  </w:r>
                </w:p>
              </w:tc>
              <w:tc>
                <w:tcPr>
                  <w:tcW w:w="722" w:type="pct"/>
                  <w:noWrap w:val="0"/>
                  <w:vAlign w:val="center"/>
                </w:tcPr>
                <w:p w14:paraId="0CB539B9">
                  <w:pPr>
                    <w:pStyle w:val="96"/>
                    <w:adjustRightInd w:val="0"/>
                    <w:snapToGrid w:val="0"/>
                    <w:jc w:val="center"/>
                    <w:rPr>
                      <w:color w:val="FF0000"/>
                    </w:rPr>
                  </w:pPr>
                  <w:r>
                    <w:rPr>
                      <w:rFonts w:hint="eastAsia"/>
                      <w:color w:val="FF0000"/>
                    </w:rPr>
                    <w:t>干燥基</w:t>
                  </w:r>
                </w:p>
              </w:tc>
              <w:tc>
                <w:tcPr>
                  <w:tcW w:w="628" w:type="pct"/>
                  <w:noWrap w:val="0"/>
                  <w:vAlign w:val="center"/>
                </w:tcPr>
                <w:p w14:paraId="1C6A909F">
                  <w:pPr>
                    <w:pStyle w:val="96"/>
                    <w:adjustRightInd w:val="0"/>
                    <w:snapToGrid w:val="0"/>
                    <w:jc w:val="center"/>
                    <w:rPr>
                      <w:color w:val="FF0000"/>
                    </w:rPr>
                  </w:pPr>
                  <w:r>
                    <w:rPr>
                      <w:rFonts w:hint="eastAsia"/>
                      <w:color w:val="FF0000"/>
                    </w:rPr>
                    <w:t>收到基</w:t>
                  </w:r>
                </w:p>
              </w:tc>
              <w:tc>
                <w:tcPr>
                  <w:tcW w:w="764" w:type="pct"/>
                  <w:noWrap w:val="0"/>
                  <w:vAlign w:val="center"/>
                </w:tcPr>
                <w:p w14:paraId="1301022D">
                  <w:pPr>
                    <w:pStyle w:val="96"/>
                    <w:adjustRightInd w:val="0"/>
                    <w:snapToGrid w:val="0"/>
                    <w:jc w:val="center"/>
                    <w:rPr>
                      <w:color w:val="FF0000"/>
                    </w:rPr>
                  </w:pPr>
                  <w:r>
                    <w:rPr>
                      <w:rFonts w:hint="eastAsia"/>
                      <w:color w:val="FF0000"/>
                    </w:rPr>
                    <w:t>干燥无灰基</w:t>
                  </w:r>
                </w:p>
              </w:tc>
            </w:tr>
            <w:tr w14:paraId="079FADC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78" w:hRule="atLeast"/>
              </w:trPr>
              <w:tc>
                <w:tcPr>
                  <w:tcW w:w="446" w:type="pct"/>
                  <w:noWrap w:val="0"/>
                  <w:vAlign w:val="center"/>
                </w:tcPr>
                <w:p w14:paraId="065AAA55">
                  <w:pPr>
                    <w:pStyle w:val="96"/>
                    <w:adjustRightInd w:val="0"/>
                    <w:snapToGrid w:val="0"/>
                    <w:jc w:val="center"/>
                    <w:rPr>
                      <w:rFonts w:hint="default" w:cs="Times New Roman"/>
                      <w:color w:val="FF0000"/>
                      <w:szCs w:val="21"/>
                      <w:lang w:val="en-US" w:eastAsia="zh-CN"/>
                    </w:rPr>
                  </w:pPr>
                  <w:r>
                    <w:rPr>
                      <w:rFonts w:hint="default" w:cs="Times New Roman"/>
                      <w:color w:val="FF0000"/>
                      <w:szCs w:val="21"/>
                      <w:lang w:val="en-US" w:eastAsia="zh-CN"/>
                    </w:rPr>
                    <w:t>1</w:t>
                  </w:r>
                </w:p>
              </w:tc>
              <w:tc>
                <w:tcPr>
                  <w:tcW w:w="806" w:type="pct"/>
                  <w:noWrap w:val="0"/>
                  <w:vAlign w:val="center"/>
                </w:tcPr>
                <w:p w14:paraId="0FA64351">
                  <w:pPr>
                    <w:pStyle w:val="96"/>
                    <w:adjustRightInd w:val="0"/>
                    <w:snapToGrid w:val="0"/>
                    <w:jc w:val="center"/>
                    <w:rPr>
                      <w:rFonts w:hint="default" w:ascii="Times New Roman" w:hAnsi="Times New Roman" w:eastAsia="宋体" w:cs="Times New Roman"/>
                      <w:color w:val="FF0000"/>
                      <w:szCs w:val="21"/>
                      <w:lang w:val="en-US" w:eastAsia="zh-CN"/>
                    </w:rPr>
                  </w:pPr>
                  <w:r>
                    <w:rPr>
                      <w:rFonts w:hint="eastAsia" w:cs="Times New Roman"/>
                      <w:color w:val="FF0000"/>
                      <w:szCs w:val="21"/>
                      <w:lang w:val="en-US" w:eastAsia="zh-CN"/>
                    </w:rPr>
                    <w:t>水分</w:t>
                  </w:r>
                </w:p>
              </w:tc>
              <w:tc>
                <w:tcPr>
                  <w:tcW w:w="807" w:type="pct"/>
                  <w:vMerge w:val="restart"/>
                  <w:noWrap w:val="0"/>
                  <w:vAlign w:val="center"/>
                </w:tcPr>
                <w:p w14:paraId="764542F6">
                  <w:pPr>
                    <w:pStyle w:val="96"/>
                    <w:adjustRightInd w:val="0"/>
                    <w:snapToGrid w:val="0"/>
                    <w:jc w:val="center"/>
                    <w:rPr>
                      <w:rFonts w:hint="default" w:ascii="Times New Roman" w:hAnsi="Times New Roman" w:cs="Times New Roman"/>
                      <w:color w:val="FF0000"/>
                      <w:szCs w:val="21"/>
                      <w:lang w:val="en-US" w:eastAsia="zh-CN"/>
                    </w:rPr>
                  </w:pPr>
                  <w:r>
                    <w:rPr>
                      <w:rFonts w:hint="eastAsia" w:ascii="Times New Roman" w:hAnsi="Times New Roman" w:cs="Times New Roman"/>
                      <w:color w:val="FF0000"/>
                      <w:szCs w:val="21"/>
                      <w:lang w:val="en-US" w:eastAsia="zh-CN"/>
                    </w:rPr>
                    <w:t>%</w:t>
                  </w:r>
                </w:p>
              </w:tc>
              <w:tc>
                <w:tcPr>
                  <w:tcW w:w="825" w:type="pct"/>
                  <w:noWrap w:val="0"/>
                  <w:vAlign w:val="center"/>
                </w:tcPr>
                <w:p w14:paraId="23B4C5D5">
                  <w:pPr>
                    <w:pStyle w:val="96"/>
                    <w:adjustRightInd w:val="0"/>
                    <w:snapToGrid w:val="0"/>
                    <w:jc w:val="center"/>
                    <w:rPr>
                      <w:rFonts w:hint="default" w:ascii="Times New Roman" w:hAnsi="Times New Roman" w:eastAsia="宋体" w:cs="Times New Roman"/>
                      <w:color w:val="FF0000"/>
                      <w:sz w:val="21"/>
                      <w:szCs w:val="21"/>
                      <w:lang w:val="en-US" w:eastAsia="zh-CN"/>
                    </w:rPr>
                  </w:pPr>
                  <w:r>
                    <w:rPr>
                      <w:rFonts w:hint="eastAsia" w:cs="Times New Roman"/>
                      <w:color w:val="FF0000"/>
                      <w:sz w:val="21"/>
                      <w:szCs w:val="21"/>
                      <w:lang w:val="en-US" w:eastAsia="zh-CN"/>
                    </w:rPr>
                    <w:t>6.15</w:t>
                  </w:r>
                </w:p>
              </w:tc>
              <w:tc>
                <w:tcPr>
                  <w:tcW w:w="722" w:type="pct"/>
                  <w:noWrap w:val="0"/>
                  <w:vAlign w:val="center"/>
                </w:tcPr>
                <w:p w14:paraId="41A92C57">
                  <w:pPr>
                    <w:pStyle w:val="96"/>
                    <w:adjustRightInd w:val="0"/>
                    <w:snapToGrid w:val="0"/>
                    <w:jc w:val="center"/>
                    <w:rPr>
                      <w:rFonts w:hint="default" w:cs="Times New Roman"/>
                      <w:color w:val="FF0000"/>
                      <w:sz w:val="21"/>
                      <w:szCs w:val="21"/>
                      <w:lang w:val="en-US" w:eastAsia="zh-CN"/>
                    </w:rPr>
                  </w:pPr>
                  <w:r>
                    <w:rPr>
                      <w:rFonts w:hint="eastAsia" w:cs="Times New Roman"/>
                      <w:color w:val="FF0000"/>
                      <w:sz w:val="21"/>
                      <w:szCs w:val="21"/>
                      <w:lang w:val="en-US" w:eastAsia="zh-CN"/>
                    </w:rPr>
                    <w:t>/</w:t>
                  </w:r>
                </w:p>
              </w:tc>
              <w:tc>
                <w:tcPr>
                  <w:tcW w:w="628" w:type="pct"/>
                  <w:noWrap w:val="0"/>
                  <w:vAlign w:val="center"/>
                </w:tcPr>
                <w:p w14:paraId="4F65694C">
                  <w:pPr>
                    <w:adjustRightInd w:val="0"/>
                    <w:snapToGrid w:val="0"/>
                    <w:jc w:val="center"/>
                    <w:rPr>
                      <w:rFonts w:hint="eastAsia" w:cs="Times New Roman"/>
                      <w:color w:val="FF0000"/>
                      <w:sz w:val="21"/>
                      <w:szCs w:val="21"/>
                      <w:lang w:val="en-US" w:eastAsia="zh-CN"/>
                    </w:rPr>
                  </w:pPr>
                  <w:r>
                    <w:rPr>
                      <w:rFonts w:hint="eastAsia" w:cs="Times New Roman"/>
                      <w:color w:val="FF0000"/>
                      <w:sz w:val="21"/>
                      <w:szCs w:val="21"/>
                      <w:lang w:val="en-US" w:eastAsia="zh-CN"/>
                    </w:rPr>
                    <w:t>/</w:t>
                  </w:r>
                </w:p>
              </w:tc>
              <w:tc>
                <w:tcPr>
                  <w:tcW w:w="764" w:type="pct"/>
                  <w:noWrap w:val="0"/>
                  <w:vAlign w:val="center"/>
                </w:tcPr>
                <w:p w14:paraId="57EB7D97">
                  <w:pPr>
                    <w:adjustRightInd w:val="0"/>
                    <w:snapToGrid w:val="0"/>
                    <w:jc w:val="center"/>
                    <w:rPr>
                      <w:rFonts w:hint="eastAsia" w:cs="Times New Roman"/>
                      <w:color w:val="FF0000"/>
                      <w:sz w:val="21"/>
                      <w:szCs w:val="21"/>
                      <w:lang w:val="en-US" w:eastAsia="zh-CN"/>
                    </w:rPr>
                  </w:pPr>
                  <w:r>
                    <w:rPr>
                      <w:rFonts w:hint="eastAsia" w:cs="Times New Roman"/>
                      <w:color w:val="FF0000"/>
                      <w:sz w:val="21"/>
                      <w:szCs w:val="21"/>
                      <w:lang w:val="en-US" w:eastAsia="zh-CN"/>
                    </w:rPr>
                    <w:t>/</w:t>
                  </w:r>
                </w:p>
              </w:tc>
            </w:tr>
            <w:tr w14:paraId="005CDD1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trPr>
              <w:tc>
                <w:tcPr>
                  <w:tcW w:w="446" w:type="pct"/>
                  <w:noWrap w:val="0"/>
                  <w:vAlign w:val="center"/>
                </w:tcPr>
                <w:p w14:paraId="6C393AAD">
                  <w:pPr>
                    <w:pStyle w:val="96"/>
                    <w:adjustRightInd w:val="0"/>
                    <w:snapToGrid w:val="0"/>
                    <w:jc w:val="center"/>
                    <w:rPr>
                      <w:rFonts w:hint="default" w:cs="Times New Roman"/>
                      <w:color w:val="FF0000"/>
                      <w:szCs w:val="21"/>
                      <w:lang w:val="en-US" w:eastAsia="zh-CN"/>
                    </w:rPr>
                  </w:pPr>
                  <w:r>
                    <w:rPr>
                      <w:rFonts w:hint="default" w:cs="Times New Roman"/>
                      <w:color w:val="FF0000"/>
                      <w:szCs w:val="21"/>
                      <w:lang w:val="en-US" w:eastAsia="zh-CN"/>
                    </w:rPr>
                    <w:t>2</w:t>
                  </w:r>
                </w:p>
              </w:tc>
              <w:tc>
                <w:tcPr>
                  <w:tcW w:w="806" w:type="pct"/>
                  <w:noWrap w:val="0"/>
                  <w:vAlign w:val="center"/>
                </w:tcPr>
                <w:p w14:paraId="3A908632">
                  <w:pPr>
                    <w:pStyle w:val="96"/>
                    <w:adjustRightInd w:val="0"/>
                    <w:snapToGrid w:val="0"/>
                    <w:jc w:val="center"/>
                    <w:rPr>
                      <w:rFonts w:hint="default" w:ascii="Times New Roman" w:hAnsi="Times New Roman" w:eastAsia="宋体" w:cs="Times New Roman"/>
                      <w:color w:val="FF0000"/>
                      <w:szCs w:val="21"/>
                      <w:lang w:val="en-US" w:eastAsia="zh-CN"/>
                    </w:rPr>
                  </w:pPr>
                  <w:r>
                    <w:rPr>
                      <w:rFonts w:hint="eastAsia" w:cs="Times New Roman"/>
                      <w:color w:val="FF0000"/>
                      <w:szCs w:val="21"/>
                      <w:lang w:val="en-US" w:eastAsia="zh-CN"/>
                    </w:rPr>
                    <w:t>灰分</w:t>
                  </w:r>
                </w:p>
              </w:tc>
              <w:tc>
                <w:tcPr>
                  <w:tcW w:w="807" w:type="pct"/>
                  <w:vMerge w:val="continue"/>
                  <w:noWrap w:val="0"/>
                  <w:vAlign w:val="center"/>
                </w:tcPr>
                <w:p w14:paraId="3EE1C318">
                  <w:pPr>
                    <w:pStyle w:val="96"/>
                    <w:adjustRightInd w:val="0"/>
                    <w:snapToGrid w:val="0"/>
                    <w:jc w:val="center"/>
                    <w:rPr>
                      <w:rFonts w:hint="default" w:ascii="Times New Roman" w:hAnsi="Times New Roman" w:eastAsia="宋体" w:cs="Times New Roman"/>
                      <w:color w:val="FF0000"/>
                      <w:szCs w:val="21"/>
                      <w:lang w:val="en-US" w:eastAsia="zh-CN"/>
                    </w:rPr>
                  </w:pPr>
                </w:p>
              </w:tc>
              <w:tc>
                <w:tcPr>
                  <w:tcW w:w="825" w:type="pct"/>
                  <w:noWrap w:val="0"/>
                  <w:vAlign w:val="center"/>
                </w:tcPr>
                <w:p w14:paraId="0736A5F3">
                  <w:pPr>
                    <w:pStyle w:val="96"/>
                    <w:adjustRightInd w:val="0"/>
                    <w:snapToGrid w:val="0"/>
                    <w:jc w:val="center"/>
                    <w:rPr>
                      <w:rFonts w:hint="default" w:ascii="Times New Roman" w:hAnsi="Times New Roman" w:eastAsia="宋体" w:cs="Times New Roman"/>
                      <w:color w:val="FF0000"/>
                      <w:szCs w:val="21"/>
                      <w:lang w:val="en-US" w:eastAsia="zh-CN"/>
                    </w:rPr>
                  </w:pPr>
                  <w:r>
                    <w:rPr>
                      <w:rFonts w:hint="eastAsia" w:cs="Times New Roman"/>
                      <w:color w:val="FF0000"/>
                      <w:szCs w:val="21"/>
                      <w:lang w:val="en-US" w:eastAsia="zh-CN"/>
                    </w:rPr>
                    <w:t>1.74</w:t>
                  </w:r>
                </w:p>
              </w:tc>
              <w:tc>
                <w:tcPr>
                  <w:tcW w:w="722" w:type="pct"/>
                  <w:noWrap w:val="0"/>
                  <w:vAlign w:val="center"/>
                </w:tcPr>
                <w:p w14:paraId="4CDCA050">
                  <w:pPr>
                    <w:pStyle w:val="96"/>
                    <w:adjustRightInd w:val="0"/>
                    <w:snapToGrid w:val="0"/>
                    <w:jc w:val="center"/>
                    <w:rPr>
                      <w:rFonts w:hint="default" w:cs="Times New Roman"/>
                      <w:color w:val="FF0000"/>
                      <w:szCs w:val="21"/>
                      <w:lang w:val="en-US" w:eastAsia="zh-CN"/>
                    </w:rPr>
                  </w:pPr>
                  <w:r>
                    <w:rPr>
                      <w:rFonts w:hint="eastAsia" w:cs="Times New Roman"/>
                      <w:color w:val="FF0000"/>
                      <w:szCs w:val="21"/>
                      <w:lang w:val="en-US" w:eastAsia="zh-CN"/>
                    </w:rPr>
                    <w:t>1.85</w:t>
                  </w:r>
                </w:p>
              </w:tc>
              <w:tc>
                <w:tcPr>
                  <w:tcW w:w="628" w:type="pct"/>
                  <w:noWrap w:val="0"/>
                  <w:vAlign w:val="center"/>
                </w:tcPr>
                <w:p w14:paraId="76ED4271">
                  <w:pPr>
                    <w:pStyle w:val="96"/>
                    <w:adjustRightInd w:val="0"/>
                    <w:snapToGrid w:val="0"/>
                    <w:jc w:val="center"/>
                    <w:rPr>
                      <w:rFonts w:hint="default" w:cs="Times New Roman"/>
                      <w:color w:val="FF0000"/>
                      <w:szCs w:val="21"/>
                      <w:lang w:val="en-US" w:eastAsia="zh-CN"/>
                    </w:rPr>
                  </w:pPr>
                  <w:r>
                    <w:rPr>
                      <w:rFonts w:hint="eastAsia" w:cs="Times New Roman"/>
                      <w:color w:val="FF0000"/>
                      <w:szCs w:val="21"/>
                      <w:lang w:val="en-US" w:eastAsia="zh-CN"/>
                    </w:rPr>
                    <w:t>1.74</w:t>
                  </w:r>
                </w:p>
              </w:tc>
              <w:tc>
                <w:tcPr>
                  <w:tcW w:w="764" w:type="pct"/>
                  <w:shd w:val="clear" w:color="auto" w:fill="auto"/>
                  <w:noWrap w:val="0"/>
                  <w:vAlign w:val="center"/>
                </w:tcPr>
                <w:p w14:paraId="0BE5661F">
                  <w:pPr>
                    <w:pStyle w:val="96"/>
                    <w:adjustRightInd w:val="0"/>
                    <w:snapToGrid w:val="0"/>
                    <w:jc w:val="center"/>
                    <w:rPr>
                      <w:rFonts w:hint="eastAsia" w:ascii="Times New Roman" w:hAnsi="Times New Roman" w:eastAsia="宋体" w:cs="Times New Roman"/>
                      <w:color w:val="FF0000"/>
                      <w:kern w:val="2"/>
                      <w:sz w:val="21"/>
                      <w:szCs w:val="21"/>
                      <w:lang w:val="en-US" w:eastAsia="zh-CN" w:bidi="ar-SA"/>
                    </w:rPr>
                  </w:pPr>
                  <w:r>
                    <w:rPr>
                      <w:rFonts w:hint="eastAsia" w:cs="Times New Roman"/>
                      <w:color w:val="FF0000"/>
                      <w:sz w:val="21"/>
                      <w:szCs w:val="21"/>
                      <w:lang w:val="en-US" w:eastAsia="zh-CN"/>
                    </w:rPr>
                    <w:t>/</w:t>
                  </w:r>
                </w:p>
              </w:tc>
            </w:tr>
            <w:tr w14:paraId="7B03891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trPr>
              <w:tc>
                <w:tcPr>
                  <w:tcW w:w="446" w:type="pct"/>
                  <w:noWrap w:val="0"/>
                  <w:vAlign w:val="center"/>
                </w:tcPr>
                <w:p w14:paraId="2C5D9E42">
                  <w:pPr>
                    <w:pStyle w:val="96"/>
                    <w:adjustRightInd w:val="0"/>
                    <w:snapToGrid w:val="0"/>
                    <w:jc w:val="center"/>
                    <w:rPr>
                      <w:rFonts w:hint="default" w:cs="Times New Roman"/>
                      <w:color w:val="FF0000"/>
                      <w:szCs w:val="21"/>
                      <w:lang w:val="en-US" w:eastAsia="zh-CN"/>
                    </w:rPr>
                  </w:pPr>
                  <w:r>
                    <w:rPr>
                      <w:rFonts w:hint="eastAsia" w:cs="Times New Roman"/>
                      <w:color w:val="FF0000"/>
                      <w:szCs w:val="21"/>
                      <w:lang w:val="en-US" w:eastAsia="zh-CN"/>
                    </w:rPr>
                    <w:t>3</w:t>
                  </w:r>
                </w:p>
              </w:tc>
              <w:tc>
                <w:tcPr>
                  <w:tcW w:w="806" w:type="pct"/>
                  <w:noWrap w:val="0"/>
                  <w:vAlign w:val="center"/>
                </w:tcPr>
                <w:p w14:paraId="0FC7ECFA">
                  <w:pPr>
                    <w:pStyle w:val="96"/>
                    <w:adjustRightInd w:val="0"/>
                    <w:snapToGrid w:val="0"/>
                    <w:jc w:val="center"/>
                    <w:rPr>
                      <w:rFonts w:hint="default" w:cs="Times New Roman"/>
                      <w:color w:val="FF0000"/>
                      <w:szCs w:val="21"/>
                      <w:lang w:val="en-US" w:eastAsia="zh-CN"/>
                    </w:rPr>
                  </w:pPr>
                  <w:r>
                    <w:rPr>
                      <w:rFonts w:hint="eastAsia" w:cs="Times New Roman"/>
                      <w:color w:val="FF0000"/>
                      <w:szCs w:val="21"/>
                      <w:lang w:val="en-US" w:eastAsia="zh-CN"/>
                    </w:rPr>
                    <w:t>挥发分</w:t>
                  </w:r>
                </w:p>
              </w:tc>
              <w:tc>
                <w:tcPr>
                  <w:tcW w:w="807" w:type="pct"/>
                  <w:vMerge w:val="continue"/>
                  <w:noWrap w:val="0"/>
                  <w:vAlign w:val="center"/>
                </w:tcPr>
                <w:p w14:paraId="1D295B96">
                  <w:pPr>
                    <w:pStyle w:val="96"/>
                    <w:adjustRightInd w:val="0"/>
                    <w:snapToGrid w:val="0"/>
                    <w:jc w:val="center"/>
                    <w:rPr>
                      <w:rFonts w:hint="default" w:ascii="Times New Roman" w:hAnsi="Times New Roman" w:cs="Times New Roman"/>
                      <w:color w:val="FF0000"/>
                      <w:szCs w:val="21"/>
                      <w:lang w:val="en-US" w:eastAsia="zh-CN"/>
                    </w:rPr>
                  </w:pPr>
                </w:p>
              </w:tc>
              <w:tc>
                <w:tcPr>
                  <w:tcW w:w="825" w:type="pct"/>
                  <w:noWrap w:val="0"/>
                  <w:vAlign w:val="center"/>
                </w:tcPr>
                <w:p w14:paraId="0E8DF47D">
                  <w:pPr>
                    <w:pStyle w:val="96"/>
                    <w:adjustRightInd w:val="0"/>
                    <w:snapToGrid w:val="0"/>
                    <w:jc w:val="center"/>
                    <w:rPr>
                      <w:rFonts w:hint="default" w:ascii="Times New Roman" w:hAnsi="Times New Roman" w:cs="Times New Roman"/>
                      <w:color w:val="FF0000"/>
                      <w:szCs w:val="21"/>
                      <w:lang w:val="en-US" w:eastAsia="zh-CN"/>
                    </w:rPr>
                  </w:pPr>
                  <w:r>
                    <w:rPr>
                      <w:rFonts w:hint="eastAsia" w:cs="Times New Roman"/>
                      <w:color w:val="FF0000"/>
                      <w:szCs w:val="21"/>
                      <w:lang w:val="en-US" w:eastAsia="zh-CN"/>
                    </w:rPr>
                    <w:t>73.90</w:t>
                  </w:r>
                </w:p>
              </w:tc>
              <w:tc>
                <w:tcPr>
                  <w:tcW w:w="722" w:type="pct"/>
                  <w:noWrap w:val="0"/>
                  <w:vAlign w:val="center"/>
                </w:tcPr>
                <w:p w14:paraId="15506464">
                  <w:pPr>
                    <w:pStyle w:val="96"/>
                    <w:adjustRightInd w:val="0"/>
                    <w:snapToGrid w:val="0"/>
                    <w:jc w:val="center"/>
                    <w:rPr>
                      <w:rFonts w:hint="default" w:cs="Times New Roman"/>
                      <w:color w:val="FF0000"/>
                      <w:szCs w:val="21"/>
                      <w:lang w:val="en-US" w:eastAsia="zh-CN"/>
                    </w:rPr>
                  </w:pPr>
                  <w:r>
                    <w:rPr>
                      <w:rFonts w:hint="eastAsia" w:cs="Times New Roman"/>
                      <w:color w:val="FF0000"/>
                      <w:szCs w:val="21"/>
                      <w:lang w:val="en-US" w:eastAsia="zh-CN"/>
                    </w:rPr>
                    <w:t>78.74</w:t>
                  </w:r>
                </w:p>
              </w:tc>
              <w:tc>
                <w:tcPr>
                  <w:tcW w:w="628" w:type="pct"/>
                  <w:noWrap w:val="0"/>
                  <w:vAlign w:val="center"/>
                </w:tcPr>
                <w:p w14:paraId="40F621CE">
                  <w:pPr>
                    <w:pStyle w:val="96"/>
                    <w:adjustRightInd w:val="0"/>
                    <w:snapToGrid w:val="0"/>
                    <w:jc w:val="center"/>
                    <w:rPr>
                      <w:rFonts w:hint="default" w:cs="Times New Roman"/>
                      <w:color w:val="FF0000"/>
                      <w:szCs w:val="21"/>
                      <w:lang w:val="en-US" w:eastAsia="zh-CN"/>
                    </w:rPr>
                  </w:pPr>
                  <w:r>
                    <w:rPr>
                      <w:rFonts w:hint="eastAsia" w:cs="Times New Roman"/>
                      <w:color w:val="FF0000"/>
                      <w:szCs w:val="21"/>
                      <w:lang w:val="en-US" w:eastAsia="zh-CN"/>
                    </w:rPr>
                    <w:t>73.70</w:t>
                  </w:r>
                </w:p>
              </w:tc>
              <w:tc>
                <w:tcPr>
                  <w:tcW w:w="764" w:type="pct"/>
                  <w:noWrap w:val="0"/>
                  <w:vAlign w:val="center"/>
                </w:tcPr>
                <w:p w14:paraId="42231A43">
                  <w:pPr>
                    <w:pStyle w:val="96"/>
                    <w:adjustRightInd w:val="0"/>
                    <w:snapToGrid w:val="0"/>
                    <w:jc w:val="center"/>
                    <w:rPr>
                      <w:rFonts w:hint="default" w:cs="Times New Roman"/>
                      <w:color w:val="FF0000"/>
                      <w:szCs w:val="21"/>
                      <w:lang w:val="en-US" w:eastAsia="zh-CN"/>
                    </w:rPr>
                  </w:pPr>
                  <w:r>
                    <w:rPr>
                      <w:rFonts w:hint="eastAsia" w:cs="Times New Roman"/>
                      <w:color w:val="FF0000"/>
                      <w:szCs w:val="21"/>
                      <w:lang w:val="en-US" w:eastAsia="zh-CN"/>
                    </w:rPr>
                    <w:t>870.23</w:t>
                  </w:r>
                </w:p>
              </w:tc>
            </w:tr>
            <w:tr w14:paraId="253FA74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trPr>
              <w:tc>
                <w:tcPr>
                  <w:tcW w:w="446" w:type="pct"/>
                  <w:noWrap w:val="0"/>
                  <w:vAlign w:val="center"/>
                </w:tcPr>
                <w:p w14:paraId="0EAC7F19">
                  <w:pPr>
                    <w:pStyle w:val="96"/>
                    <w:adjustRightInd w:val="0"/>
                    <w:snapToGrid w:val="0"/>
                    <w:jc w:val="center"/>
                    <w:rPr>
                      <w:rFonts w:hint="default" w:cs="Times New Roman"/>
                      <w:color w:val="FF0000"/>
                      <w:szCs w:val="21"/>
                      <w:lang w:val="en-US" w:eastAsia="zh-CN"/>
                    </w:rPr>
                  </w:pPr>
                  <w:r>
                    <w:rPr>
                      <w:rFonts w:hint="eastAsia" w:cs="Times New Roman"/>
                      <w:color w:val="FF0000"/>
                      <w:szCs w:val="21"/>
                      <w:lang w:val="en-US" w:eastAsia="zh-CN"/>
                    </w:rPr>
                    <w:t>4</w:t>
                  </w:r>
                </w:p>
              </w:tc>
              <w:tc>
                <w:tcPr>
                  <w:tcW w:w="806" w:type="pct"/>
                  <w:noWrap w:val="0"/>
                  <w:vAlign w:val="center"/>
                </w:tcPr>
                <w:p w14:paraId="4FD709EF">
                  <w:pPr>
                    <w:pStyle w:val="96"/>
                    <w:adjustRightInd w:val="0"/>
                    <w:snapToGrid w:val="0"/>
                    <w:jc w:val="center"/>
                    <w:rPr>
                      <w:rFonts w:hint="default" w:cs="Times New Roman"/>
                      <w:color w:val="FF0000"/>
                      <w:szCs w:val="21"/>
                      <w:lang w:val="en-US" w:eastAsia="zh-CN"/>
                    </w:rPr>
                  </w:pPr>
                  <w:r>
                    <w:rPr>
                      <w:rFonts w:hint="eastAsia" w:cs="Times New Roman"/>
                      <w:color w:val="FF0000"/>
                      <w:szCs w:val="21"/>
                      <w:lang w:val="en-US" w:eastAsia="zh-CN"/>
                    </w:rPr>
                    <w:t>碳</w:t>
                  </w:r>
                </w:p>
              </w:tc>
              <w:tc>
                <w:tcPr>
                  <w:tcW w:w="807" w:type="pct"/>
                  <w:vMerge w:val="continue"/>
                  <w:noWrap w:val="0"/>
                  <w:vAlign w:val="center"/>
                </w:tcPr>
                <w:p w14:paraId="422FFB12">
                  <w:pPr>
                    <w:pStyle w:val="96"/>
                    <w:adjustRightInd w:val="0"/>
                    <w:snapToGrid w:val="0"/>
                    <w:jc w:val="center"/>
                    <w:rPr>
                      <w:rFonts w:hint="eastAsia" w:cs="Times New Roman"/>
                      <w:color w:val="FF0000"/>
                      <w:szCs w:val="21"/>
                      <w:lang w:val="en-US" w:eastAsia="zh-CN"/>
                    </w:rPr>
                  </w:pPr>
                </w:p>
              </w:tc>
              <w:tc>
                <w:tcPr>
                  <w:tcW w:w="825" w:type="pct"/>
                  <w:noWrap w:val="0"/>
                  <w:vAlign w:val="center"/>
                </w:tcPr>
                <w:p w14:paraId="32F85D51">
                  <w:pPr>
                    <w:pStyle w:val="96"/>
                    <w:adjustRightInd w:val="0"/>
                    <w:snapToGrid w:val="0"/>
                    <w:jc w:val="center"/>
                    <w:rPr>
                      <w:rFonts w:hint="default" w:cs="Times New Roman"/>
                      <w:color w:val="FF0000"/>
                      <w:szCs w:val="21"/>
                      <w:lang w:val="en-US" w:eastAsia="zh-CN"/>
                    </w:rPr>
                  </w:pPr>
                  <w:r>
                    <w:rPr>
                      <w:rFonts w:hint="eastAsia" w:cs="Times New Roman"/>
                      <w:color w:val="FF0000"/>
                      <w:szCs w:val="21"/>
                      <w:lang w:val="en-US" w:eastAsia="zh-CN"/>
                    </w:rPr>
                    <w:t>/</w:t>
                  </w:r>
                </w:p>
              </w:tc>
              <w:tc>
                <w:tcPr>
                  <w:tcW w:w="722" w:type="pct"/>
                  <w:noWrap w:val="0"/>
                  <w:vAlign w:val="center"/>
                </w:tcPr>
                <w:p w14:paraId="3F579980">
                  <w:pPr>
                    <w:pStyle w:val="96"/>
                    <w:adjustRightInd w:val="0"/>
                    <w:snapToGrid w:val="0"/>
                    <w:jc w:val="center"/>
                    <w:rPr>
                      <w:rFonts w:hint="eastAsia" w:cs="Times New Roman"/>
                      <w:color w:val="FF0000"/>
                      <w:szCs w:val="21"/>
                      <w:lang w:val="en-US" w:eastAsia="zh-CN"/>
                    </w:rPr>
                  </w:pPr>
                  <w:r>
                    <w:rPr>
                      <w:rFonts w:hint="eastAsia" w:cs="Times New Roman"/>
                      <w:color w:val="FF0000"/>
                      <w:sz w:val="21"/>
                      <w:szCs w:val="21"/>
                      <w:lang w:val="en-US" w:eastAsia="zh-CN"/>
                    </w:rPr>
                    <w:t>/</w:t>
                  </w:r>
                </w:p>
              </w:tc>
              <w:tc>
                <w:tcPr>
                  <w:tcW w:w="628" w:type="pct"/>
                  <w:noWrap w:val="0"/>
                  <w:vAlign w:val="center"/>
                </w:tcPr>
                <w:p w14:paraId="7C547547">
                  <w:pPr>
                    <w:pStyle w:val="96"/>
                    <w:adjustRightInd w:val="0"/>
                    <w:snapToGrid w:val="0"/>
                    <w:jc w:val="center"/>
                    <w:rPr>
                      <w:rFonts w:hint="eastAsia" w:cs="Times New Roman"/>
                      <w:color w:val="FF0000"/>
                      <w:szCs w:val="21"/>
                      <w:lang w:val="en-US" w:eastAsia="zh-CN"/>
                    </w:rPr>
                  </w:pPr>
                  <w:r>
                    <w:rPr>
                      <w:rFonts w:hint="eastAsia" w:cs="Times New Roman"/>
                      <w:color w:val="FF0000"/>
                      <w:sz w:val="21"/>
                      <w:szCs w:val="21"/>
                      <w:lang w:val="en-US" w:eastAsia="zh-CN"/>
                    </w:rPr>
                    <w:t>/</w:t>
                  </w:r>
                </w:p>
              </w:tc>
              <w:tc>
                <w:tcPr>
                  <w:tcW w:w="764" w:type="pct"/>
                  <w:noWrap w:val="0"/>
                  <w:vAlign w:val="center"/>
                </w:tcPr>
                <w:p w14:paraId="26BE6705">
                  <w:pPr>
                    <w:pStyle w:val="96"/>
                    <w:adjustRightInd w:val="0"/>
                    <w:snapToGrid w:val="0"/>
                    <w:jc w:val="center"/>
                    <w:rPr>
                      <w:rFonts w:hint="eastAsia" w:cs="Times New Roman"/>
                      <w:color w:val="FF0000"/>
                      <w:szCs w:val="21"/>
                      <w:lang w:val="en-US" w:eastAsia="zh-CN"/>
                    </w:rPr>
                  </w:pPr>
                  <w:r>
                    <w:rPr>
                      <w:rFonts w:hint="eastAsia" w:cs="Times New Roman"/>
                      <w:color w:val="FF0000"/>
                      <w:sz w:val="21"/>
                      <w:szCs w:val="21"/>
                      <w:lang w:val="en-US" w:eastAsia="zh-CN"/>
                    </w:rPr>
                    <w:t>/</w:t>
                  </w:r>
                </w:p>
              </w:tc>
            </w:tr>
            <w:tr w14:paraId="38E2DD2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trPr>
              <w:tc>
                <w:tcPr>
                  <w:tcW w:w="446" w:type="pct"/>
                  <w:noWrap w:val="0"/>
                  <w:vAlign w:val="center"/>
                </w:tcPr>
                <w:p w14:paraId="34A68C44">
                  <w:pPr>
                    <w:pStyle w:val="96"/>
                    <w:adjustRightInd w:val="0"/>
                    <w:snapToGrid w:val="0"/>
                    <w:jc w:val="center"/>
                    <w:rPr>
                      <w:rFonts w:hint="default" w:cs="Times New Roman"/>
                      <w:color w:val="FF0000"/>
                      <w:szCs w:val="21"/>
                      <w:lang w:val="en-US" w:eastAsia="zh-CN"/>
                    </w:rPr>
                  </w:pPr>
                  <w:r>
                    <w:rPr>
                      <w:rFonts w:hint="eastAsia" w:cs="Times New Roman"/>
                      <w:color w:val="FF0000"/>
                      <w:szCs w:val="21"/>
                      <w:lang w:val="en-US" w:eastAsia="zh-CN"/>
                    </w:rPr>
                    <w:t>5</w:t>
                  </w:r>
                </w:p>
              </w:tc>
              <w:tc>
                <w:tcPr>
                  <w:tcW w:w="806" w:type="pct"/>
                  <w:noWrap w:val="0"/>
                  <w:vAlign w:val="center"/>
                </w:tcPr>
                <w:p w14:paraId="676D2687">
                  <w:pPr>
                    <w:pStyle w:val="96"/>
                    <w:adjustRightInd w:val="0"/>
                    <w:snapToGrid w:val="0"/>
                    <w:jc w:val="center"/>
                    <w:rPr>
                      <w:rFonts w:hint="default" w:cs="Times New Roman"/>
                      <w:color w:val="FF0000"/>
                      <w:szCs w:val="21"/>
                      <w:lang w:val="en-US" w:eastAsia="zh-CN"/>
                    </w:rPr>
                  </w:pPr>
                  <w:r>
                    <w:rPr>
                      <w:rFonts w:hint="eastAsia" w:cs="Times New Roman"/>
                      <w:color w:val="FF0000"/>
                      <w:szCs w:val="21"/>
                      <w:lang w:val="en-US" w:eastAsia="zh-CN"/>
                    </w:rPr>
                    <w:t>氢</w:t>
                  </w:r>
                </w:p>
              </w:tc>
              <w:tc>
                <w:tcPr>
                  <w:tcW w:w="807" w:type="pct"/>
                  <w:vMerge w:val="continue"/>
                  <w:noWrap w:val="0"/>
                  <w:vAlign w:val="center"/>
                </w:tcPr>
                <w:p w14:paraId="48E72D2E">
                  <w:pPr>
                    <w:pStyle w:val="96"/>
                    <w:adjustRightInd w:val="0"/>
                    <w:snapToGrid w:val="0"/>
                    <w:jc w:val="center"/>
                    <w:rPr>
                      <w:rFonts w:hint="eastAsia" w:cs="Times New Roman"/>
                      <w:color w:val="FF0000"/>
                      <w:szCs w:val="21"/>
                      <w:lang w:val="en-US" w:eastAsia="zh-CN"/>
                    </w:rPr>
                  </w:pPr>
                </w:p>
              </w:tc>
              <w:tc>
                <w:tcPr>
                  <w:tcW w:w="825" w:type="pct"/>
                  <w:noWrap w:val="0"/>
                  <w:vAlign w:val="center"/>
                </w:tcPr>
                <w:p w14:paraId="35BC6FAC">
                  <w:pPr>
                    <w:pStyle w:val="96"/>
                    <w:adjustRightInd w:val="0"/>
                    <w:snapToGrid w:val="0"/>
                    <w:jc w:val="center"/>
                    <w:rPr>
                      <w:rFonts w:hint="default" w:cs="Times New Roman"/>
                      <w:color w:val="FF0000"/>
                      <w:szCs w:val="21"/>
                      <w:lang w:val="en-US" w:eastAsia="zh-CN"/>
                    </w:rPr>
                  </w:pPr>
                  <w:r>
                    <w:rPr>
                      <w:rFonts w:hint="eastAsia" w:cs="Times New Roman"/>
                      <w:color w:val="FF0000"/>
                      <w:szCs w:val="21"/>
                      <w:lang w:val="en-US" w:eastAsia="zh-CN"/>
                    </w:rPr>
                    <w:t>4.79</w:t>
                  </w:r>
                </w:p>
              </w:tc>
              <w:tc>
                <w:tcPr>
                  <w:tcW w:w="722" w:type="pct"/>
                  <w:noWrap w:val="0"/>
                  <w:vAlign w:val="center"/>
                </w:tcPr>
                <w:p w14:paraId="71B16737">
                  <w:pPr>
                    <w:pStyle w:val="96"/>
                    <w:adjustRightInd w:val="0"/>
                    <w:snapToGrid w:val="0"/>
                    <w:jc w:val="center"/>
                    <w:rPr>
                      <w:rFonts w:hint="default" w:cs="Times New Roman"/>
                      <w:color w:val="FF0000"/>
                      <w:szCs w:val="21"/>
                      <w:lang w:val="en-US" w:eastAsia="zh-CN"/>
                    </w:rPr>
                  </w:pPr>
                  <w:r>
                    <w:rPr>
                      <w:rFonts w:hint="eastAsia" w:cs="Times New Roman"/>
                      <w:color w:val="FF0000"/>
                      <w:szCs w:val="21"/>
                      <w:lang w:val="en-US" w:eastAsia="zh-CN"/>
                    </w:rPr>
                    <w:t>5.10</w:t>
                  </w:r>
                </w:p>
              </w:tc>
              <w:tc>
                <w:tcPr>
                  <w:tcW w:w="628" w:type="pct"/>
                  <w:noWrap w:val="0"/>
                  <w:vAlign w:val="center"/>
                </w:tcPr>
                <w:p w14:paraId="150A4755">
                  <w:pPr>
                    <w:pStyle w:val="96"/>
                    <w:adjustRightInd w:val="0"/>
                    <w:snapToGrid w:val="0"/>
                    <w:jc w:val="center"/>
                    <w:rPr>
                      <w:rFonts w:hint="default" w:cs="Times New Roman"/>
                      <w:color w:val="FF0000"/>
                      <w:szCs w:val="21"/>
                      <w:lang w:val="en-US" w:eastAsia="zh-CN"/>
                    </w:rPr>
                  </w:pPr>
                  <w:r>
                    <w:rPr>
                      <w:rFonts w:hint="eastAsia" w:cs="Times New Roman"/>
                      <w:color w:val="FF0000"/>
                      <w:szCs w:val="21"/>
                      <w:lang w:val="en-US" w:eastAsia="zh-CN"/>
                    </w:rPr>
                    <w:t>4.78</w:t>
                  </w:r>
                </w:p>
              </w:tc>
              <w:tc>
                <w:tcPr>
                  <w:tcW w:w="764" w:type="pct"/>
                  <w:noWrap w:val="0"/>
                  <w:vAlign w:val="center"/>
                </w:tcPr>
                <w:p w14:paraId="3C7D1ADE">
                  <w:pPr>
                    <w:pStyle w:val="96"/>
                    <w:adjustRightInd w:val="0"/>
                    <w:snapToGrid w:val="0"/>
                    <w:jc w:val="center"/>
                    <w:rPr>
                      <w:rFonts w:hint="default" w:cs="Times New Roman"/>
                      <w:color w:val="FF0000"/>
                      <w:szCs w:val="21"/>
                      <w:lang w:val="en-US" w:eastAsia="zh-CN"/>
                    </w:rPr>
                  </w:pPr>
                  <w:r>
                    <w:rPr>
                      <w:rFonts w:hint="eastAsia" w:cs="Times New Roman"/>
                      <w:color w:val="FF0000"/>
                      <w:szCs w:val="21"/>
                      <w:lang w:val="en-US" w:eastAsia="zh-CN"/>
                    </w:rPr>
                    <w:t>5.20</w:t>
                  </w:r>
                </w:p>
              </w:tc>
            </w:tr>
            <w:tr w14:paraId="154C33F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trPr>
              <w:tc>
                <w:tcPr>
                  <w:tcW w:w="446" w:type="pct"/>
                  <w:noWrap w:val="0"/>
                  <w:vAlign w:val="center"/>
                </w:tcPr>
                <w:p w14:paraId="1B88A1F3">
                  <w:pPr>
                    <w:pStyle w:val="96"/>
                    <w:adjustRightInd w:val="0"/>
                    <w:snapToGrid w:val="0"/>
                    <w:jc w:val="center"/>
                    <w:rPr>
                      <w:rFonts w:hint="default" w:cs="Times New Roman"/>
                      <w:color w:val="FF0000"/>
                      <w:szCs w:val="21"/>
                      <w:lang w:val="en-US" w:eastAsia="zh-CN"/>
                    </w:rPr>
                  </w:pPr>
                  <w:r>
                    <w:rPr>
                      <w:rFonts w:hint="eastAsia" w:cs="Times New Roman"/>
                      <w:color w:val="FF0000"/>
                      <w:szCs w:val="21"/>
                      <w:lang w:val="en-US" w:eastAsia="zh-CN"/>
                    </w:rPr>
                    <w:t>6</w:t>
                  </w:r>
                </w:p>
              </w:tc>
              <w:tc>
                <w:tcPr>
                  <w:tcW w:w="806" w:type="pct"/>
                  <w:noWrap w:val="0"/>
                  <w:vAlign w:val="center"/>
                </w:tcPr>
                <w:p w14:paraId="0289A162">
                  <w:pPr>
                    <w:pStyle w:val="96"/>
                    <w:adjustRightInd w:val="0"/>
                    <w:snapToGrid w:val="0"/>
                    <w:jc w:val="center"/>
                    <w:rPr>
                      <w:rFonts w:hint="default" w:cs="Times New Roman"/>
                      <w:color w:val="FF0000"/>
                      <w:szCs w:val="21"/>
                      <w:lang w:val="en-US" w:eastAsia="zh-CN"/>
                    </w:rPr>
                  </w:pPr>
                  <w:r>
                    <w:rPr>
                      <w:rFonts w:hint="eastAsia" w:cs="Times New Roman"/>
                      <w:color w:val="FF0000"/>
                      <w:szCs w:val="21"/>
                      <w:lang w:val="en-US" w:eastAsia="zh-CN"/>
                    </w:rPr>
                    <w:t>全硫</w:t>
                  </w:r>
                </w:p>
              </w:tc>
              <w:tc>
                <w:tcPr>
                  <w:tcW w:w="807" w:type="pct"/>
                  <w:vMerge w:val="continue"/>
                  <w:noWrap w:val="0"/>
                  <w:vAlign w:val="center"/>
                </w:tcPr>
                <w:p w14:paraId="46DF87B9">
                  <w:pPr>
                    <w:pStyle w:val="96"/>
                    <w:adjustRightInd w:val="0"/>
                    <w:snapToGrid w:val="0"/>
                    <w:jc w:val="center"/>
                    <w:rPr>
                      <w:rFonts w:hint="eastAsia" w:cs="Times New Roman"/>
                      <w:color w:val="FF0000"/>
                      <w:szCs w:val="21"/>
                      <w:lang w:val="en-US" w:eastAsia="zh-CN"/>
                    </w:rPr>
                  </w:pPr>
                </w:p>
              </w:tc>
              <w:tc>
                <w:tcPr>
                  <w:tcW w:w="825" w:type="pct"/>
                  <w:noWrap w:val="0"/>
                  <w:vAlign w:val="center"/>
                </w:tcPr>
                <w:p w14:paraId="6F45C32B">
                  <w:pPr>
                    <w:pStyle w:val="96"/>
                    <w:adjustRightInd w:val="0"/>
                    <w:snapToGrid w:val="0"/>
                    <w:jc w:val="center"/>
                    <w:rPr>
                      <w:rFonts w:hint="default" w:cs="Times New Roman"/>
                      <w:color w:val="FF0000"/>
                      <w:szCs w:val="21"/>
                      <w:lang w:val="en-US" w:eastAsia="zh-CN"/>
                    </w:rPr>
                  </w:pPr>
                  <w:r>
                    <w:rPr>
                      <w:rFonts w:hint="eastAsia" w:cs="Times New Roman"/>
                      <w:color w:val="FF0000"/>
                      <w:szCs w:val="21"/>
                      <w:lang w:val="en-US" w:eastAsia="zh-CN"/>
                    </w:rPr>
                    <w:t>0.01</w:t>
                  </w:r>
                </w:p>
              </w:tc>
              <w:tc>
                <w:tcPr>
                  <w:tcW w:w="722" w:type="pct"/>
                  <w:noWrap w:val="0"/>
                  <w:vAlign w:val="center"/>
                </w:tcPr>
                <w:p w14:paraId="7BF9999C">
                  <w:pPr>
                    <w:adjustRightInd w:val="0"/>
                    <w:snapToGrid w:val="0"/>
                    <w:jc w:val="center"/>
                    <w:rPr>
                      <w:rFonts w:hint="eastAsia" w:cs="Times New Roman"/>
                      <w:color w:val="FF0000"/>
                      <w:szCs w:val="21"/>
                      <w:lang w:val="en-US" w:eastAsia="zh-CN"/>
                    </w:rPr>
                  </w:pPr>
                  <w:r>
                    <w:rPr>
                      <w:rFonts w:hint="eastAsia" w:cs="Times New Roman"/>
                      <w:color w:val="FF0000"/>
                      <w:szCs w:val="21"/>
                      <w:lang w:val="en-US" w:eastAsia="zh-CN"/>
                    </w:rPr>
                    <w:t>0.01</w:t>
                  </w:r>
                </w:p>
              </w:tc>
              <w:tc>
                <w:tcPr>
                  <w:tcW w:w="628" w:type="pct"/>
                  <w:noWrap w:val="0"/>
                  <w:vAlign w:val="center"/>
                </w:tcPr>
                <w:p w14:paraId="31003138">
                  <w:pPr>
                    <w:adjustRightInd w:val="0"/>
                    <w:snapToGrid w:val="0"/>
                    <w:jc w:val="center"/>
                    <w:rPr>
                      <w:rFonts w:hint="eastAsia" w:cs="Times New Roman"/>
                      <w:color w:val="FF0000"/>
                      <w:szCs w:val="21"/>
                      <w:lang w:val="en-US" w:eastAsia="zh-CN"/>
                    </w:rPr>
                  </w:pPr>
                  <w:r>
                    <w:rPr>
                      <w:rFonts w:hint="eastAsia" w:cs="Times New Roman"/>
                      <w:color w:val="FF0000"/>
                      <w:szCs w:val="21"/>
                      <w:lang w:val="en-US" w:eastAsia="zh-CN"/>
                    </w:rPr>
                    <w:t>0.01</w:t>
                  </w:r>
                </w:p>
              </w:tc>
              <w:tc>
                <w:tcPr>
                  <w:tcW w:w="764" w:type="pct"/>
                  <w:noWrap w:val="0"/>
                  <w:vAlign w:val="center"/>
                </w:tcPr>
                <w:p w14:paraId="5C19D3E2">
                  <w:pPr>
                    <w:adjustRightInd w:val="0"/>
                    <w:snapToGrid w:val="0"/>
                    <w:jc w:val="center"/>
                    <w:rPr>
                      <w:rFonts w:hint="eastAsia" w:cs="Times New Roman"/>
                      <w:color w:val="FF0000"/>
                      <w:szCs w:val="21"/>
                      <w:lang w:val="en-US" w:eastAsia="zh-CN"/>
                    </w:rPr>
                  </w:pPr>
                  <w:r>
                    <w:rPr>
                      <w:rFonts w:hint="eastAsia" w:cs="Times New Roman"/>
                      <w:color w:val="FF0000"/>
                      <w:szCs w:val="21"/>
                      <w:lang w:val="en-US" w:eastAsia="zh-CN"/>
                    </w:rPr>
                    <w:t>0.01</w:t>
                  </w:r>
                </w:p>
              </w:tc>
            </w:tr>
            <w:tr w14:paraId="71537D1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trPr>
              <w:tc>
                <w:tcPr>
                  <w:tcW w:w="446" w:type="pct"/>
                  <w:noWrap w:val="0"/>
                  <w:vAlign w:val="center"/>
                </w:tcPr>
                <w:p w14:paraId="1E83B668">
                  <w:pPr>
                    <w:pStyle w:val="96"/>
                    <w:adjustRightInd w:val="0"/>
                    <w:snapToGrid w:val="0"/>
                    <w:jc w:val="center"/>
                    <w:rPr>
                      <w:rFonts w:hint="default" w:cs="Times New Roman"/>
                      <w:color w:val="FF0000"/>
                      <w:szCs w:val="21"/>
                      <w:lang w:val="en-US" w:eastAsia="zh-CN"/>
                    </w:rPr>
                  </w:pPr>
                  <w:r>
                    <w:rPr>
                      <w:rFonts w:hint="eastAsia" w:cs="Times New Roman"/>
                      <w:color w:val="FF0000"/>
                      <w:szCs w:val="21"/>
                      <w:lang w:val="en-US" w:eastAsia="zh-CN"/>
                    </w:rPr>
                    <w:t>7</w:t>
                  </w:r>
                </w:p>
              </w:tc>
              <w:tc>
                <w:tcPr>
                  <w:tcW w:w="806" w:type="pct"/>
                  <w:noWrap w:val="0"/>
                  <w:vAlign w:val="center"/>
                </w:tcPr>
                <w:p w14:paraId="2AD90AB2">
                  <w:pPr>
                    <w:pStyle w:val="96"/>
                    <w:adjustRightInd w:val="0"/>
                    <w:snapToGrid w:val="0"/>
                    <w:jc w:val="center"/>
                    <w:rPr>
                      <w:rFonts w:hint="default" w:cs="Times New Roman"/>
                      <w:color w:val="FF0000"/>
                      <w:szCs w:val="21"/>
                      <w:lang w:val="en-US" w:eastAsia="zh-CN"/>
                    </w:rPr>
                  </w:pPr>
                  <w:r>
                    <w:rPr>
                      <w:rFonts w:hint="eastAsia" w:cs="Times New Roman"/>
                      <w:color w:val="FF0000"/>
                      <w:szCs w:val="21"/>
                      <w:lang w:val="en-US" w:eastAsia="zh-CN"/>
                    </w:rPr>
                    <w:t>全水</w:t>
                  </w:r>
                </w:p>
              </w:tc>
              <w:tc>
                <w:tcPr>
                  <w:tcW w:w="807" w:type="pct"/>
                  <w:vMerge w:val="continue"/>
                  <w:noWrap w:val="0"/>
                  <w:vAlign w:val="center"/>
                </w:tcPr>
                <w:p w14:paraId="0AECD52C">
                  <w:pPr>
                    <w:pStyle w:val="96"/>
                    <w:adjustRightInd w:val="0"/>
                    <w:snapToGrid w:val="0"/>
                    <w:jc w:val="center"/>
                    <w:rPr>
                      <w:rFonts w:hint="eastAsia" w:cs="Times New Roman"/>
                      <w:color w:val="FF0000"/>
                      <w:szCs w:val="21"/>
                      <w:lang w:val="en-US" w:eastAsia="zh-CN"/>
                    </w:rPr>
                  </w:pPr>
                </w:p>
              </w:tc>
              <w:tc>
                <w:tcPr>
                  <w:tcW w:w="825" w:type="pct"/>
                  <w:noWrap w:val="0"/>
                  <w:vAlign w:val="center"/>
                </w:tcPr>
                <w:p w14:paraId="4C54B282">
                  <w:pPr>
                    <w:pStyle w:val="96"/>
                    <w:adjustRightInd w:val="0"/>
                    <w:snapToGrid w:val="0"/>
                    <w:jc w:val="center"/>
                    <w:rPr>
                      <w:rFonts w:hint="default" w:cs="Times New Roman"/>
                      <w:color w:val="FF0000"/>
                      <w:szCs w:val="21"/>
                      <w:lang w:val="en-US" w:eastAsia="zh-CN"/>
                    </w:rPr>
                  </w:pPr>
                  <w:r>
                    <w:rPr>
                      <w:rFonts w:hint="eastAsia" w:cs="Times New Roman"/>
                      <w:color w:val="FF0000"/>
                      <w:szCs w:val="21"/>
                      <w:lang w:val="en-US" w:eastAsia="zh-CN"/>
                    </w:rPr>
                    <w:t>/</w:t>
                  </w:r>
                </w:p>
              </w:tc>
              <w:tc>
                <w:tcPr>
                  <w:tcW w:w="722" w:type="pct"/>
                  <w:shd w:val="clear" w:color="auto" w:fill="auto"/>
                  <w:noWrap w:val="0"/>
                  <w:vAlign w:val="center"/>
                </w:tcPr>
                <w:p w14:paraId="0899DF36">
                  <w:pPr>
                    <w:pStyle w:val="96"/>
                    <w:adjustRightInd w:val="0"/>
                    <w:snapToGrid w:val="0"/>
                    <w:jc w:val="center"/>
                    <w:rPr>
                      <w:rFonts w:hint="eastAsia" w:ascii="Times New Roman" w:hAnsi="Times New Roman" w:eastAsia="宋体" w:cs="Times New Roman"/>
                      <w:color w:val="FF0000"/>
                      <w:kern w:val="2"/>
                      <w:sz w:val="21"/>
                      <w:szCs w:val="21"/>
                      <w:lang w:val="en-US" w:eastAsia="zh-CN" w:bidi="ar-SA"/>
                    </w:rPr>
                  </w:pPr>
                  <w:r>
                    <w:rPr>
                      <w:rFonts w:hint="eastAsia" w:cs="Times New Roman"/>
                      <w:color w:val="FF0000"/>
                      <w:sz w:val="21"/>
                      <w:szCs w:val="21"/>
                      <w:lang w:val="en-US" w:eastAsia="zh-CN"/>
                    </w:rPr>
                    <w:t>/</w:t>
                  </w:r>
                </w:p>
              </w:tc>
              <w:tc>
                <w:tcPr>
                  <w:tcW w:w="628" w:type="pct"/>
                  <w:noWrap w:val="0"/>
                  <w:vAlign w:val="center"/>
                </w:tcPr>
                <w:p w14:paraId="00B58903">
                  <w:pPr>
                    <w:pStyle w:val="96"/>
                    <w:adjustRightInd w:val="0"/>
                    <w:snapToGrid w:val="0"/>
                    <w:jc w:val="center"/>
                    <w:rPr>
                      <w:rFonts w:hint="default" w:cs="Times New Roman"/>
                      <w:color w:val="FF0000"/>
                      <w:szCs w:val="21"/>
                      <w:lang w:val="en-US" w:eastAsia="zh-CN"/>
                    </w:rPr>
                  </w:pPr>
                  <w:r>
                    <w:rPr>
                      <w:rFonts w:hint="eastAsia" w:cs="Times New Roman"/>
                      <w:color w:val="FF0000"/>
                      <w:szCs w:val="21"/>
                      <w:lang w:val="en-US" w:eastAsia="zh-CN"/>
                    </w:rPr>
                    <w:t>6.4-0</w:t>
                  </w:r>
                </w:p>
              </w:tc>
              <w:tc>
                <w:tcPr>
                  <w:tcW w:w="764" w:type="pct"/>
                  <w:shd w:val="clear" w:color="auto" w:fill="auto"/>
                  <w:noWrap w:val="0"/>
                  <w:vAlign w:val="center"/>
                </w:tcPr>
                <w:p w14:paraId="590DF9A6">
                  <w:pPr>
                    <w:pStyle w:val="96"/>
                    <w:adjustRightInd w:val="0"/>
                    <w:snapToGrid w:val="0"/>
                    <w:jc w:val="center"/>
                    <w:rPr>
                      <w:rFonts w:hint="eastAsia" w:ascii="Times New Roman" w:hAnsi="Times New Roman" w:eastAsia="宋体" w:cs="Times New Roman"/>
                      <w:color w:val="FF0000"/>
                      <w:kern w:val="2"/>
                      <w:sz w:val="21"/>
                      <w:szCs w:val="21"/>
                      <w:lang w:val="en-US" w:eastAsia="zh-CN" w:bidi="ar-SA"/>
                    </w:rPr>
                  </w:pPr>
                  <w:r>
                    <w:rPr>
                      <w:rFonts w:hint="eastAsia" w:cs="Times New Roman"/>
                      <w:color w:val="FF0000"/>
                      <w:sz w:val="21"/>
                      <w:szCs w:val="21"/>
                      <w:lang w:val="en-US" w:eastAsia="zh-CN"/>
                    </w:rPr>
                    <w:t>/</w:t>
                  </w:r>
                </w:p>
              </w:tc>
            </w:tr>
            <w:tr w14:paraId="5FA1FFA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trPr>
              <w:tc>
                <w:tcPr>
                  <w:tcW w:w="446" w:type="pct"/>
                  <w:noWrap w:val="0"/>
                  <w:vAlign w:val="center"/>
                </w:tcPr>
                <w:p w14:paraId="18277347">
                  <w:pPr>
                    <w:pStyle w:val="96"/>
                    <w:adjustRightInd w:val="0"/>
                    <w:snapToGrid w:val="0"/>
                    <w:jc w:val="center"/>
                    <w:rPr>
                      <w:rFonts w:hint="default" w:cs="Times New Roman"/>
                      <w:color w:val="FF0000"/>
                      <w:szCs w:val="21"/>
                      <w:lang w:val="en-US" w:eastAsia="zh-CN"/>
                    </w:rPr>
                  </w:pPr>
                  <w:r>
                    <w:rPr>
                      <w:rFonts w:hint="eastAsia" w:cs="Times New Roman"/>
                      <w:color w:val="FF0000"/>
                      <w:szCs w:val="21"/>
                      <w:lang w:val="en-US" w:eastAsia="zh-CN"/>
                    </w:rPr>
                    <w:t>8</w:t>
                  </w:r>
                </w:p>
              </w:tc>
              <w:tc>
                <w:tcPr>
                  <w:tcW w:w="806" w:type="pct"/>
                  <w:noWrap w:val="0"/>
                  <w:vAlign w:val="center"/>
                </w:tcPr>
                <w:p w14:paraId="309339A6">
                  <w:pPr>
                    <w:pStyle w:val="96"/>
                    <w:adjustRightInd w:val="0"/>
                    <w:snapToGrid w:val="0"/>
                    <w:jc w:val="center"/>
                    <w:rPr>
                      <w:rFonts w:hint="default" w:cs="Times New Roman"/>
                      <w:color w:val="FF0000"/>
                      <w:szCs w:val="21"/>
                      <w:lang w:val="en-US" w:eastAsia="zh-CN"/>
                    </w:rPr>
                  </w:pPr>
                  <w:r>
                    <w:rPr>
                      <w:rFonts w:hint="eastAsia" w:cs="Times New Roman"/>
                      <w:color w:val="FF0000"/>
                      <w:szCs w:val="21"/>
                      <w:lang w:val="en-US" w:eastAsia="zh-CN"/>
                    </w:rPr>
                    <w:t>高位发热量</w:t>
                  </w:r>
                </w:p>
              </w:tc>
              <w:tc>
                <w:tcPr>
                  <w:tcW w:w="807" w:type="pct"/>
                  <w:noWrap w:val="0"/>
                  <w:vAlign w:val="center"/>
                </w:tcPr>
                <w:p w14:paraId="19300F22">
                  <w:pPr>
                    <w:pStyle w:val="96"/>
                    <w:adjustRightInd w:val="0"/>
                    <w:snapToGrid w:val="0"/>
                    <w:jc w:val="center"/>
                    <w:rPr>
                      <w:rFonts w:hint="default" w:cs="Times New Roman"/>
                      <w:color w:val="FF0000"/>
                      <w:szCs w:val="21"/>
                      <w:lang w:val="en-US" w:eastAsia="zh-CN"/>
                    </w:rPr>
                  </w:pPr>
                  <w:r>
                    <w:rPr>
                      <w:rFonts w:hint="eastAsia" w:cs="Times New Roman"/>
                      <w:color w:val="FF0000"/>
                      <w:szCs w:val="21"/>
                      <w:lang w:val="en-US" w:eastAsia="zh-CN"/>
                    </w:rPr>
                    <w:t>MJ/kg</w:t>
                  </w:r>
                </w:p>
              </w:tc>
              <w:tc>
                <w:tcPr>
                  <w:tcW w:w="825" w:type="pct"/>
                  <w:noWrap w:val="0"/>
                  <w:vAlign w:val="center"/>
                </w:tcPr>
                <w:p w14:paraId="6DD5FDA3">
                  <w:pPr>
                    <w:pStyle w:val="96"/>
                    <w:adjustRightInd w:val="0"/>
                    <w:snapToGrid w:val="0"/>
                    <w:jc w:val="center"/>
                    <w:rPr>
                      <w:rFonts w:hint="default" w:cs="Times New Roman"/>
                      <w:color w:val="FF0000"/>
                      <w:szCs w:val="21"/>
                      <w:lang w:val="en-US" w:eastAsia="zh-CN"/>
                    </w:rPr>
                  </w:pPr>
                  <w:r>
                    <w:rPr>
                      <w:rFonts w:hint="eastAsia" w:cs="Times New Roman"/>
                      <w:color w:val="FF0000"/>
                      <w:szCs w:val="21"/>
                      <w:lang w:val="en-US" w:eastAsia="zh-CN"/>
                    </w:rPr>
                    <w:t>19.59</w:t>
                  </w:r>
                </w:p>
              </w:tc>
              <w:tc>
                <w:tcPr>
                  <w:tcW w:w="722" w:type="pct"/>
                  <w:shd w:val="clear" w:color="auto" w:fill="auto"/>
                  <w:noWrap w:val="0"/>
                  <w:vAlign w:val="center"/>
                </w:tcPr>
                <w:p w14:paraId="09FB942A">
                  <w:pPr>
                    <w:pStyle w:val="96"/>
                    <w:adjustRightInd w:val="0"/>
                    <w:snapToGrid w:val="0"/>
                    <w:jc w:val="center"/>
                    <w:rPr>
                      <w:rFonts w:hint="default" w:cs="Times New Roman"/>
                      <w:color w:val="FF0000"/>
                      <w:sz w:val="21"/>
                      <w:szCs w:val="21"/>
                      <w:lang w:val="en-US" w:eastAsia="zh-CN"/>
                    </w:rPr>
                  </w:pPr>
                  <w:r>
                    <w:rPr>
                      <w:rFonts w:hint="eastAsia" w:cs="Times New Roman"/>
                      <w:color w:val="FF0000"/>
                      <w:sz w:val="21"/>
                      <w:szCs w:val="21"/>
                      <w:lang w:val="en-US" w:eastAsia="zh-CN"/>
                    </w:rPr>
                    <w:t>20.87</w:t>
                  </w:r>
                </w:p>
              </w:tc>
              <w:tc>
                <w:tcPr>
                  <w:tcW w:w="628" w:type="pct"/>
                  <w:noWrap w:val="0"/>
                  <w:vAlign w:val="center"/>
                </w:tcPr>
                <w:p w14:paraId="11A3B023">
                  <w:pPr>
                    <w:pStyle w:val="96"/>
                    <w:adjustRightInd w:val="0"/>
                    <w:snapToGrid w:val="0"/>
                    <w:jc w:val="center"/>
                    <w:rPr>
                      <w:rFonts w:hint="eastAsia" w:cs="Times New Roman"/>
                      <w:color w:val="FF0000"/>
                      <w:szCs w:val="21"/>
                      <w:lang w:val="en-US" w:eastAsia="zh-CN"/>
                    </w:rPr>
                  </w:pPr>
                  <w:r>
                    <w:rPr>
                      <w:rFonts w:hint="eastAsia" w:cs="Times New Roman"/>
                      <w:color w:val="FF0000"/>
                      <w:sz w:val="21"/>
                      <w:szCs w:val="21"/>
                      <w:lang w:val="en-US" w:eastAsia="zh-CN"/>
                    </w:rPr>
                    <w:t>/</w:t>
                  </w:r>
                </w:p>
              </w:tc>
              <w:tc>
                <w:tcPr>
                  <w:tcW w:w="764" w:type="pct"/>
                  <w:shd w:val="clear" w:color="auto" w:fill="auto"/>
                  <w:noWrap w:val="0"/>
                  <w:vAlign w:val="center"/>
                </w:tcPr>
                <w:p w14:paraId="46E106E6">
                  <w:pPr>
                    <w:pStyle w:val="96"/>
                    <w:adjustRightInd w:val="0"/>
                    <w:snapToGrid w:val="0"/>
                    <w:jc w:val="center"/>
                    <w:rPr>
                      <w:rFonts w:hint="eastAsia" w:cs="Times New Roman"/>
                      <w:color w:val="FF0000"/>
                      <w:sz w:val="21"/>
                      <w:szCs w:val="21"/>
                      <w:lang w:val="en-US" w:eastAsia="zh-CN"/>
                    </w:rPr>
                  </w:pPr>
                  <w:r>
                    <w:rPr>
                      <w:rFonts w:hint="eastAsia" w:cs="Times New Roman"/>
                      <w:color w:val="FF0000"/>
                      <w:sz w:val="21"/>
                      <w:szCs w:val="21"/>
                      <w:lang w:val="en-US" w:eastAsia="zh-CN"/>
                    </w:rPr>
                    <w:t>/</w:t>
                  </w:r>
                </w:p>
              </w:tc>
            </w:tr>
            <w:tr w14:paraId="070BA83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0" w:hRule="atLeast"/>
              </w:trPr>
              <w:tc>
                <w:tcPr>
                  <w:tcW w:w="446" w:type="pct"/>
                  <w:noWrap w:val="0"/>
                  <w:vAlign w:val="center"/>
                </w:tcPr>
                <w:p w14:paraId="6CECE71E">
                  <w:pPr>
                    <w:pStyle w:val="96"/>
                    <w:adjustRightInd w:val="0"/>
                    <w:snapToGrid w:val="0"/>
                    <w:jc w:val="center"/>
                    <w:rPr>
                      <w:rFonts w:hint="default" w:cs="Times New Roman"/>
                      <w:color w:val="FF0000"/>
                      <w:szCs w:val="21"/>
                      <w:lang w:val="en-US" w:eastAsia="zh-CN"/>
                    </w:rPr>
                  </w:pPr>
                  <w:r>
                    <w:rPr>
                      <w:rFonts w:hint="eastAsia" w:cs="Times New Roman"/>
                      <w:color w:val="FF0000"/>
                      <w:szCs w:val="21"/>
                      <w:lang w:val="en-US" w:eastAsia="zh-CN"/>
                    </w:rPr>
                    <w:t>9</w:t>
                  </w:r>
                </w:p>
              </w:tc>
              <w:tc>
                <w:tcPr>
                  <w:tcW w:w="806" w:type="pct"/>
                  <w:noWrap w:val="0"/>
                  <w:vAlign w:val="center"/>
                </w:tcPr>
                <w:p w14:paraId="5E3D008B">
                  <w:pPr>
                    <w:pStyle w:val="96"/>
                    <w:adjustRightInd w:val="0"/>
                    <w:snapToGrid w:val="0"/>
                    <w:jc w:val="center"/>
                    <w:rPr>
                      <w:rFonts w:hint="default" w:cs="Times New Roman"/>
                      <w:color w:val="FF0000"/>
                      <w:szCs w:val="21"/>
                      <w:lang w:val="en-US" w:eastAsia="zh-CN"/>
                    </w:rPr>
                  </w:pPr>
                  <w:r>
                    <w:rPr>
                      <w:rFonts w:hint="eastAsia" w:cs="Times New Roman"/>
                      <w:color w:val="FF0000"/>
                      <w:szCs w:val="21"/>
                      <w:lang w:val="en-US" w:eastAsia="zh-CN"/>
                    </w:rPr>
                    <w:t>低位发热量</w:t>
                  </w:r>
                </w:p>
              </w:tc>
              <w:tc>
                <w:tcPr>
                  <w:tcW w:w="807" w:type="pct"/>
                  <w:noWrap w:val="0"/>
                  <w:vAlign w:val="center"/>
                </w:tcPr>
                <w:p w14:paraId="3827EE1C">
                  <w:pPr>
                    <w:pStyle w:val="96"/>
                    <w:adjustRightInd w:val="0"/>
                    <w:snapToGrid w:val="0"/>
                    <w:jc w:val="center"/>
                    <w:rPr>
                      <w:rFonts w:hint="eastAsia" w:cs="Times New Roman"/>
                      <w:color w:val="FF0000"/>
                      <w:szCs w:val="21"/>
                      <w:lang w:val="en-US" w:eastAsia="zh-CN"/>
                    </w:rPr>
                  </w:pPr>
                  <w:r>
                    <w:rPr>
                      <w:rFonts w:hint="eastAsia" w:cs="Times New Roman"/>
                      <w:color w:val="FF0000"/>
                      <w:szCs w:val="21"/>
                      <w:lang w:val="en-US" w:eastAsia="zh-CN"/>
                    </w:rPr>
                    <w:t>MJ/kg</w:t>
                  </w:r>
                </w:p>
              </w:tc>
              <w:tc>
                <w:tcPr>
                  <w:tcW w:w="825" w:type="pct"/>
                  <w:noWrap w:val="0"/>
                  <w:vAlign w:val="center"/>
                </w:tcPr>
                <w:p w14:paraId="3BC1806E">
                  <w:pPr>
                    <w:pStyle w:val="96"/>
                    <w:adjustRightInd w:val="0"/>
                    <w:snapToGrid w:val="0"/>
                    <w:jc w:val="center"/>
                    <w:rPr>
                      <w:rFonts w:hint="eastAsia" w:cs="Times New Roman"/>
                      <w:color w:val="FF0000"/>
                      <w:szCs w:val="21"/>
                      <w:lang w:val="en-US" w:eastAsia="zh-CN"/>
                    </w:rPr>
                  </w:pPr>
                  <w:r>
                    <w:rPr>
                      <w:rFonts w:hint="eastAsia" w:cs="Times New Roman"/>
                      <w:color w:val="FF0000"/>
                      <w:sz w:val="21"/>
                      <w:szCs w:val="21"/>
                      <w:lang w:val="en-US" w:eastAsia="zh-CN"/>
                    </w:rPr>
                    <w:t>/</w:t>
                  </w:r>
                </w:p>
              </w:tc>
              <w:tc>
                <w:tcPr>
                  <w:tcW w:w="722" w:type="pct"/>
                  <w:shd w:val="clear" w:color="auto" w:fill="auto"/>
                  <w:noWrap w:val="0"/>
                  <w:vAlign w:val="center"/>
                </w:tcPr>
                <w:p w14:paraId="6625F083">
                  <w:pPr>
                    <w:pStyle w:val="96"/>
                    <w:adjustRightInd w:val="0"/>
                    <w:snapToGrid w:val="0"/>
                    <w:jc w:val="center"/>
                    <w:rPr>
                      <w:rFonts w:hint="eastAsia" w:cs="Times New Roman"/>
                      <w:color w:val="FF0000"/>
                      <w:sz w:val="21"/>
                      <w:szCs w:val="21"/>
                      <w:lang w:val="en-US" w:eastAsia="zh-CN"/>
                    </w:rPr>
                  </w:pPr>
                  <w:r>
                    <w:rPr>
                      <w:rFonts w:hint="eastAsia" w:cs="Times New Roman"/>
                      <w:color w:val="FF0000"/>
                      <w:sz w:val="21"/>
                      <w:szCs w:val="21"/>
                      <w:lang w:val="en-US" w:eastAsia="zh-CN"/>
                    </w:rPr>
                    <w:t>/</w:t>
                  </w:r>
                </w:p>
              </w:tc>
              <w:tc>
                <w:tcPr>
                  <w:tcW w:w="628" w:type="pct"/>
                  <w:noWrap w:val="0"/>
                  <w:vAlign w:val="center"/>
                </w:tcPr>
                <w:p w14:paraId="071F449F">
                  <w:pPr>
                    <w:pStyle w:val="96"/>
                    <w:adjustRightInd w:val="0"/>
                    <w:snapToGrid w:val="0"/>
                    <w:jc w:val="center"/>
                    <w:rPr>
                      <w:rFonts w:hint="default" w:cs="Times New Roman"/>
                      <w:color w:val="FF0000"/>
                      <w:szCs w:val="21"/>
                      <w:lang w:val="en-US" w:eastAsia="zh-CN"/>
                    </w:rPr>
                  </w:pPr>
                  <w:r>
                    <w:rPr>
                      <w:rFonts w:hint="eastAsia" w:cs="Times New Roman"/>
                      <w:color w:val="FF0000"/>
                      <w:szCs w:val="21"/>
                      <w:lang w:val="en-US" w:eastAsia="zh-CN"/>
                    </w:rPr>
                    <w:t>18.41</w:t>
                  </w:r>
                </w:p>
              </w:tc>
              <w:tc>
                <w:tcPr>
                  <w:tcW w:w="764" w:type="pct"/>
                  <w:shd w:val="clear" w:color="auto" w:fill="auto"/>
                  <w:noWrap w:val="0"/>
                  <w:vAlign w:val="center"/>
                </w:tcPr>
                <w:p w14:paraId="2153CD8B">
                  <w:pPr>
                    <w:pStyle w:val="96"/>
                    <w:adjustRightInd w:val="0"/>
                    <w:snapToGrid w:val="0"/>
                    <w:jc w:val="center"/>
                    <w:rPr>
                      <w:rFonts w:hint="eastAsia" w:ascii="Times New Roman" w:hAnsi="Times New Roman" w:eastAsia="宋体" w:cs="Times New Roman"/>
                      <w:color w:val="FF0000"/>
                      <w:kern w:val="2"/>
                      <w:sz w:val="21"/>
                      <w:szCs w:val="21"/>
                      <w:lang w:val="en-US" w:eastAsia="zh-CN" w:bidi="ar-SA"/>
                    </w:rPr>
                  </w:pPr>
                  <w:r>
                    <w:rPr>
                      <w:rFonts w:hint="eastAsia" w:cs="Times New Roman"/>
                      <w:color w:val="FF0000"/>
                      <w:sz w:val="21"/>
                      <w:szCs w:val="21"/>
                      <w:lang w:val="en-US" w:eastAsia="zh-CN"/>
                    </w:rPr>
                    <w:t>/</w:t>
                  </w:r>
                </w:p>
              </w:tc>
            </w:tr>
          </w:tbl>
          <w:p w14:paraId="6A88DBDD">
            <w:pPr>
              <w:pStyle w:val="2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right="0" w:firstLine="482"/>
              <w:jc w:val="both"/>
              <w:rPr>
                <w:rFonts w:hint="eastAsia" w:ascii="Times New Roman" w:hAnsi="Times New Roman" w:eastAsia="宋体" w:cs="Times New Roman"/>
                <w:color w:val="FF0000"/>
                <w:sz w:val="24"/>
                <w:szCs w:val="24"/>
                <w:shd w:val="clear" w:fill="FFFFFF"/>
                <w:lang w:eastAsia="zh-CN"/>
              </w:rPr>
            </w:pPr>
            <w:r>
              <w:rPr>
                <w:rFonts w:hint="default" w:ascii="Times New Roman" w:hAnsi="Times New Roman" w:cs="Times New Roman"/>
                <w:color w:val="FF0000"/>
                <w:sz w:val="24"/>
                <w:szCs w:val="24"/>
                <w:shd w:val="clear" w:fill="FFFFFF"/>
              </w:rPr>
              <w:t>燃料用量核算</w:t>
            </w:r>
            <w:r>
              <w:rPr>
                <w:rFonts w:hint="eastAsia" w:ascii="Times New Roman" w:hAnsi="Times New Roman" w:cs="Times New Roman"/>
                <w:color w:val="FF0000"/>
                <w:sz w:val="24"/>
                <w:szCs w:val="24"/>
                <w:shd w:val="clear" w:fill="FFFFFF"/>
                <w:lang w:eastAsia="zh-CN"/>
              </w:rPr>
              <w:t>：</w:t>
            </w:r>
          </w:p>
          <w:p w14:paraId="28CC08F5">
            <w:pPr>
              <w:pStyle w:val="2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right="0" w:firstLine="482"/>
              <w:jc w:val="both"/>
              <w:rPr>
                <w:rFonts w:hint="default" w:ascii="Times New Roman" w:hAnsi="Times New Roman" w:cs="Times New Roman"/>
                <w:b w:val="0"/>
                <w:bCs w:val="0"/>
                <w:color w:val="FF0000"/>
                <w:kern w:val="0"/>
                <w:sz w:val="24"/>
                <w:szCs w:val="24"/>
                <w:lang w:val="en-US" w:eastAsia="zh-CN" w:bidi="ar"/>
              </w:rPr>
            </w:pPr>
            <w:r>
              <w:rPr>
                <w:rFonts w:hint="default" w:ascii="Times New Roman" w:hAnsi="Times New Roman" w:cs="Times New Roman"/>
                <w:color w:val="FF0000"/>
                <w:sz w:val="24"/>
                <w:szCs w:val="24"/>
                <w:shd w:val="clear" w:fill="FFFFFF"/>
              </w:rPr>
              <w:t>锅炉生物质</w:t>
            </w:r>
            <w:r>
              <w:rPr>
                <w:rFonts w:hint="eastAsia" w:ascii="Times New Roman" w:hAnsi="Times New Roman" w:cs="Times New Roman"/>
                <w:color w:val="FF0000"/>
                <w:sz w:val="24"/>
                <w:szCs w:val="24"/>
                <w:shd w:val="clear" w:fill="FFFFFF"/>
                <w:lang w:val="en-US" w:eastAsia="zh-CN"/>
              </w:rPr>
              <w:t>锅炉运行</w:t>
            </w:r>
            <w:r>
              <w:rPr>
                <w:rFonts w:hint="default" w:ascii="Times New Roman" w:hAnsi="Times New Roman" w:cs="Times New Roman"/>
                <w:color w:val="FF0000"/>
                <w:sz w:val="24"/>
                <w:szCs w:val="24"/>
                <w:shd w:val="clear" w:fill="FFFFFF"/>
              </w:rPr>
              <w:t>负荷</w:t>
            </w:r>
            <w:r>
              <w:rPr>
                <w:rFonts w:hint="eastAsia" w:ascii="Times New Roman" w:hAnsi="Times New Roman" w:cs="Times New Roman"/>
                <w:color w:val="FF0000"/>
                <w:sz w:val="24"/>
                <w:szCs w:val="24"/>
                <w:shd w:val="clear" w:fill="FFFFFF"/>
                <w:lang w:val="en-US" w:eastAsia="zh-CN"/>
              </w:rPr>
              <w:t>为85%，锅炉运行时长为</w:t>
            </w:r>
            <w:r>
              <w:rPr>
                <w:rFonts w:hint="default" w:ascii="Times New Roman" w:hAnsi="Times New Roman" w:cs="Times New Roman"/>
                <w:color w:val="FF0000"/>
                <w:sz w:val="24"/>
                <w:szCs w:val="24"/>
                <w:shd w:val="clear" w:fill="FFFFFF"/>
                <w:lang w:val="en-US" w:eastAsia="zh-CN"/>
              </w:rPr>
              <w:t>4650</w:t>
            </w:r>
            <w:r>
              <w:rPr>
                <w:rFonts w:hint="default" w:ascii="Times New Roman" w:hAnsi="Times New Roman" w:cs="Times New Roman"/>
                <w:color w:val="FF0000"/>
                <w:sz w:val="24"/>
                <w:szCs w:val="24"/>
                <w:shd w:val="clear" w:fill="FFFFFF"/>
              </w:rPr>
              <w:t>h</w:t>
            </w:r>
            <w:r>
              <w:rPr>
                <w:rFonts w:hint="default" w:ascii="Times New Roman" w:hAnsi="Times New Roman" w:cs="Times New Roman"/>
                <w:color w:val="FF0000"/>
                <w:sz w:val="24"/>
                <w:szCs w:val="24"/>
                <w:shd w:val="clear" w:fill="FFFFFF"/>
                <w:lang w:val="en-US" w:eastAsia="zh-CN"/>
              </w:rPr>
              <w:t>/</w:t>
            </w:r>
            <w:r>
              <w:rPr>
                <w:rFonts w:hint="default" w:ascii="Times New Roman" w:hAnsi="Times New Roman" w:cs="Times New Roman"/>
                <w:color w:val="FF0000"/>
                <w:sz w:val="24"/>
                <w:szCs w:val="24"/>
                <w:shd w:val="clear" w:fill="FFFFFF"/>
              </w:rPr>
              <w:t>a，6t</w:t>
            </w:r>
            <w:r>
              <w:rPr>
                <w:rFonts w:hint="default" w:ascii="Times New Roman" w:hAnsi="Times New Roman" w:cs="Times New Roman"/>
                <w:color w:val="FF0000"/>
                <w:sz w:val="24"/>
                <w:szCs w:val="24"/>
                <w:shd w:val="clear" w:fill="FFFFFF"/>
                <w:lang w:val="en-US" w:eastAsia="zh-CN"/>
              </w:rPr>
              <w:t>/</w:t>
            </w:r>
            <w:r>
              <w:rPr>
                <w:rFonts w:hint="default" w:ascii="Times New Roman" w:hAnsi="Times New Roman" w:cs="Times New Roman"/>
                <w:color w:val="FF0000"/>
                <w:sz w:val="24"/>
                <w:szCs w:val="24"/>
                <w:shd w:val="clear" w:fill="FFFFFF"/>
              </w:rPr>
              <w:t>h</w:t>
            </w:r>
            <w:r>
              <w:rPr>
                <w:rFonts w:hint="default" w:ascii="Times New Roman" w:hAnsi="Times New Roman" w:cs="Times New Roman"/>
                <w:color w:val="FF0000"/>
                <w:sz w:val="24"/>
                <w:szCs w:val="24"/>
                <w:shd w:val="clear" w:fill="FFFFFF"/>
                <w:lang w:val="en-US" w:eastAsia="zh-CN"/>
              </w:rPr>
              <w:t>生物质</w:t>
            </w:r>
            <w:r>
              <w:rPr>
                <w:rFonts w:hint="default" w:ascii="Times New Roman" w:hAnsi="Times New Roman" w:cs="Times New Roman"/>
                <w:color w:val="FF0000"/>
                <w:sz w:val="24"/>
                <w:szCs w:val="24"/>
                <w:shd w:val="clear" w:fill="FFFFFF"/>
              </w:rPr>
              <w:t>锅炉额定功率为360万大卡/小时，根据生物质成型颗粒检测报告，项目生物质成型颗粒低位发热量约为</w:t>
            </w:r>
            <w:r>
              <w:rPr>
                <w:rFonts w:hint="default" w:ascii="Times New Roman" w:hAnsi="Times New Roman" w:cs="Times New Roman"/>
                <w:color w:val="FF0000"/>
                <w:sz w:val="24"/>
                <w:szCs w:val="24"/>
                <w:shd w:val="clear" w:fill="FFFFFF"/>
                <w:lang w:val="en-US" w:eastAsia="zh-CN"/>
              </w:rPr>
              <w:t>18.41</w:t>
            </w:r>
            <w:r>
              <w:rPr>
                <w:rFonts w:hint="default" w:ascii="Times New Roman" w:hAnsi="Times New Roman" w:cs="Times New Roman"/>
                <w:color w:val="FF0000"/>
                <w:sz w:val="24"/>
                <w:szCs w:val="24"/>
                <w:shd w:val="clear" w:fill="FFFFFF"/>
              </w:rPr>
              <w:t>MJ/kg</w:t>
            </w:r>
            <w:r>
              <w:rPr>
                <w:rFonts w:hint="eastAsia" w:ascii="Times New Roman" w:hAnsi="Times New Roman" w:cs="Times New Roman"/>
                <w:color w:val="FF0000"/>
                <w:sz w:val="24"/>
                <w:szCs w:val="24"/>
                <w:shd w:val="clear" w:fill="FFFFFF"/>
                <w:lang w:eastAsia="zh-CN"/>
              </w:rPr>
              <w:t>，</w:t>
            </w:r>
            <w:r>
              <w:rPr>
                <w:rFonts w:hint="eastAsia" w:ascii="Times New Roman" w:hAnsi="Times New Roman" w:cs="Times New Roman"/>
                <w:color w:val="FF0000"/>
                <w:sz w:val="24"/>
                <w:szCs w:val="24"/>
                <w:shd w:val="clear" w:fill="FFFFFF"/>
                <w:lang w:val="en-US" w:eastAsia="zh-CN"/>
              </w:rPr>
              <w:t>锅炉热利用率按85%计，</w:t>
            </w:r>
            <w:r>
              <w:rPr>
                <w:rFonts w:hint="default" w:ascii="Times New Roman" w:hAnsi="Times New Roman" w:cs="Times New Roman"/>
                <w:color w:val="FF0000"/>
                <w:sz w:val="24"/>
                <w:szCs w:val="24"/>
                <w:shd w:val="clear" w:fill="FFFFFF"/>
              </w:rPr>
              <w:t>则锅炉生物质成型颗粒用量约为3600000</w:t>
            </w:r>
            <w:r>
              <w:rPr>
                <w:rFonts w:hint="default" w:ascii="Times New Roman" w:hAnsi="Times New Roman" w:cs="Times New Roman"/>
                <w:color w:val="FF0000"/>
                <w:sz w:val="24"/>
                <w:szCs w:val="24"/>
                <w:shd w:val="clear" w:fill="FFFFFF"/>
                <w:lang w:val="en-US" w:eastAsia="zh-CN"/>
              </w:rPr>
              <w:t>×4650÷</w:t>
            </w:r>
            <w:r>
              <w:rPr>
                <w:rFonts w:hint="default" w:ascii="Times New Roman" w:hAnsi="Times New Roman" w:cs="Times New Roman"/>
                <w:color w:val="FF0000"/>
                <w:sz w:val="24"/>
                <w:szCs w:val="24"/>
                <w:shd w:val="clear" w:fill="FFFFFF"/>
              </w:rPr>
              <w:t>0.</w:t>
            </w:r>
            <w:r>
              <w:rPr>
                <w:rFonts w:hint="default" w:ascii="Times New Roman" w:hAnsi="Times New Roman" w:cs="Times New Roman"/>
                <w:color w:val="FF0000"/>
                <w:sz w:val="24"/>
                <w:szCs w:val="24"/>
                <w:shd w:val="clear" w:fill="FFFFFF"/>
                <w:lang w:val="en-US" w:eastAsia="zh-CN"/>
              </w:rPr>
              <w:t>85÷（</w:t>
            </w:r>
            <w:r>
              <w:rPr>
                <w:rFonts w:hint="default" w:ascii="Times New Roman" w:hAnsi="Times New Roman" w:cs="Times New Roman"/>
                <w:color w:val="FF0000"/>
                <w:sz w:val="24"/>
                <w:szCs w:val="24"/>
                <w:shd w:val="clear" w:fill="FFFFFF"/>
              </w:rPr>
              <w:t>1</w:t>
            </w:r>
            <w:r>
              <w:rPr>
                <w:rFonts w:hint="default" w:ascii="Times New Roman" w:hAnsi="Times New Roman" w:cs="Times New Roman"/>
                <w:color w:val="FF0000"/>
                <w:sz w:val="24"/>
                <w:szCs w:val="24"/>
                <w:shd w:val="clear" w:fill="FFFFFF"/>
                <w:lang w:val="en-US" w:eastAsia="zh-CN"/>
              </w:rPr>
              <w:t>8</w:t>
            </w:r>
            <w:r>
              <w:rPr>
                <w:rFonts w:hint="default" w:ascii="Times New Roman" w:hAnsi="Times New Roman" w:cs="Times New Roman"/>
                <w:color w:val="FF0000"/>
                <w:sz w:val="24"/>
                <w:szCs w:val="24"/>
                <w:shd w:val="clear" w:fill="FFFFFF"/>
              </w:rPr>
              <w:t>.</w:t>
            </w:r>
            <w:r>
              <w:rPr>
                <w:rFonts w:hint="default" w:ascii="Times New Roman" w:hAnsi="Times New Roman" w:cs="Times New Roman"/>
                <w:color w:val="FF0000"/>
                <w:sz w:val="24"/>
                <w:szCs w:val="24"/>
                <w:shd w:val="clear" w:fill="FFFFFF"/>
                <w:lang w:val="en-US" w:eastAsia="zh-CN"/>
              </w:rPr>
              <w:t>41×</w:t>
            </w:r>
            <w:r>
              <w:rPr>
                <w:rFonts w:hint="default" w:ascii="Times New Roman" w:hAnsi="Times New Roman" w:cs="Times New Roman"/>
                <w:color w:val="FF0000"/>
                <w:sz w:val="24"/>
                <w:szCs w:val="24"/>
                <w:shd w:val="clear" w:fill="FFFFFF"/>
              </w:rPr>
              <w:t>23</w:t>
            </w:r>
            <w:r>
              <w:rPr>
                <w:rFonts w:hint="default" w:ascii="Times New Roman" w:hAnsi="Times New Roman" w:cs="Times New Roman"/>
                <w:color w:val="FF0000"/>
                <w:sz w:val="24"/>
                <w:szCs w:val="24"/>
                <w:shd w:val="clear" w:fill="FFFFFF"/>
                <w:lang w:val="en-US" w:eastAsia="zh-CN"/>
              </w:rPr>
              <w:t>9）÷</w:t>
            </w:r>
            <w:r>
              <w:rPr>
                <w:rFonts w:hint="default" w:ascii="Times New Roman" w:hAnsi="Times New Roman" w:cs="Times New Roman"/>
                <w:color w:val="FF0000"/>
                <w:sz w:val="24"/>
                <w:szCs w:val="24"/>
                <w:shd w:val="clear" w:fill="FFFFFF"/>
              </w:rPr>
              <w:t>1000=</w:t>
            </w:r>
            <w:r>
              <w:rPr>
                <w:rFonts w:hint="default" w:ascii="Times New Roman" w:hAnsi="Times New Roman" w:cs="Times New Roman"/>
                <w:color w:val="FF0000"/>
                <w:sz w:val="24"/>
                <w:szCs w:val="24"/>
                <w:shd w:val="clear" w:fill="FFFFFF"/>
                <w:lang w:val="en-US" w:eastAsia="zh-CN"/>
              </w:rPr>
              <w:t>4475.946</w:t>
            </w:r>
            <w:r>
              <w:rPr>
                <w:rFonts w:hint="default" w:ascii="Times New Roman" w:hAnsi="Times New Roman" w:cs="Times New Roman"/>
                <w:color w:val="FF0000"/>
                <w:sz w:val="24"/>
                <w:szCs w:val="24"/>
                <w:shd w:val="clear" w:fill="FFFFFF"/>
              </w:rPr>
              <w:t>t</w:t>
            </w:r>
            <w:r>
              <w:rPr>
                <w:rFonts w:hint="default" w:ascii="Times New Roman" w:hAnsi="Times New Roman" w:cs="Times New Roman"/>
                <w:color w:val="FF0000"/>
                <w:sz w:val="24"/>
                <w:szCs w:val="24"/>
                <w:shd w:val="clear" w:fill="FFFFFF"/>
                <w:lang w:val="en-US" w:eastAsia="zh-CN"/>
              </w:rPr>
              <w:t>/</w:t>
            </w:r>
            <w:r>
              <w:rPr>
                <w:rFonts w:hint="default" w:ascii="Times New Roman" w:hAnsi="Times New Roman" w:cs="Times New Roman"/>
                <w:color w:val="FF0000"/>
                <w:sz w:val="24"/>
                <w:szCs w:val="24"/>
                <w:shd w:val="clear" w:fill="FFFFFF"/>
              </w:rPr>
              <w:t>a。则本项目锅炉生物质成型颗粒使用量取</w:t>
            </w:r>
            <w:r>
              <w:rPr>
                <w:rFonts w:hint="default" w:ascii="Times New Roman" w:hAnsi="Times New Roman" w:cs="Times New Roman"/>
                <w:color w:val="FF0000"/>
                <w:sz w:val="24"/>
                <w:szCs w:val="24"/>
                <w:shd w:val="clear" w:fill="FFFFFF"/>
                <w:lang w:val="en-US" w:eastAsia="zh-CN"/>
              </w:rPr>
              <w:t>45</w:t>
            </w:r>
            <w:r>
              <w:rPr>
                <w:rFonts w:hint="default" w:ascii="Times New Roman" w:hAnsi="Times New Roman" w:cs="Times New Roman"/>
                <w:color w:val="FF0000"/>
                <w:sz w:val="24"/>
                <w:szCs w:val="24"/>
                <w:shd w:val="clear" w:fill="FFFFFF"/>
              </w:rPr>
              <w:t>00t</w:t>
            </w:r>
            <w:r>
              <w:rPr>
                <w:rFonts w:hint="default" w:ascii="Times New Roman" w:hAnsi="Times New Roman" w:cs="Times New Roman"/>
                <w:color w:val="FF0000"/>
                <w:sz w:val="24"/>
                <w:szCs w:val="24"/>
                <w:shd w:val="clear" w:fill="FFFFFF"/>
                <w:lang w:val="en-US" w:eastAsia="zh-CN"/>
              </w:rPr>
              <w:t>/</w:t>
            </w:r>
            <w:r>
              <w:rPr>
                <w:rFonts w:hint="default" w:ascii="Times New Roman" w:hAnsi="Times New Roman" w:cs="Times New Roman"/>
                <w:color w:val="FF0000"/>
                <w:sz w:val="24"/>
                <w:szCs w:val="24"/>
                <w:shd w:val="clear" w:fill="FFFFFF"/>
              </w:rPr>
              <w:t>a。</w:t>
            </w:r>
          </w:p>
          <w:p w14:paraId="407B302C">
            <w:pPr>
              <w:pStyle w:val="5"/>
              <w:spacing w:before="0" w:after="0" w:line="360" w:lineRule="auto"/>
              <w:ind w:firstLine="482" w:firstLineChars="200"/>
              <w:rPr>
                <w:rFonts w:ascii="宋体" w:hAnsi="宋体" w:cs="宋体"/>
                <w:sz w:val="24"/>
                <w:szCs w:val="24"/>
              </w:rPr>
            </w:pPr>
            <w:r>
              <w:rPr>
                <w:rFonts w:hint="eastAsia"/>
                <w:kern w:val="0"/>
                <w:sz w:val="24"/>
                <w:szCs w:val="24"/>
                <w:lang w:val="en-US" w:eastAsia="zh-CN" w:bidi="ar"/>
              </w:rPr>
              <w:t>六</w:t>
            </w:r>
            <w:r>
              <w:rPr>
                <w:rFonts w:hint="eastAsia"/>
                <w:kern w:val="0"/>
                <w:sz w:val="24"/>
                <w:szCs w:val="24"/>
                <w:lang w:bidi="ar"/>
              </w:rPr>
              <w:t>、</w:t>
            </w:r>
            <w:r>
              <w:rPr>
                <w:rFonts w:hint="eastAsia" w:ascii="宋体" w:hAnsi="宋体" w:cs="宋体"/>
                <w:sz w:val="24"/>
                <w:szCs w:val="24"/>
              </w:rPr>
              <w:t>劳动定员及工作制度</w:t>
            </w:r>
          </w:p>
          <w:p w14:paraId="5404099D">
            <w:pPr>
              <w:pStyle w:val="17"/>
              <w:spacing w:line="360" w:lineRule="auto"/>
              <w:ind w:firstLine="480" w:firstLineChars="200"/>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现有项目劳动定员150人</w:t>
            </w:r>
            <w:r>
              <w:rPr>
                <w:rFonts w:hint="eastAsia" w:ascii="Times New Roman" w:hAnsi="Times New Roman" w:cs="Times New Roman"/>
                <w:color w:val="000000" w:themeColor="text1"/>
                <w:sz w:val="24"/>
                <w:szCs w:val="24"/>
                <w:lang w:val="en-US" w:eastAsia="zh-CN"/>
                <w14:textFill>
                  <w14:solidFill>
                    <w14:schemeClr w14:val="tx1"/>
                  </w14:solidFill>
                </w14:textFill>
              </w:rPr>
              <w:t xml:space="preserve"> </w:t>
            </w:r>
            <w:r>
              <w:rPr>
                <w:rFonts w:hint="eastAsia" w:ascii="Times New Roman" w:hAnsi="Times New Roman" w:cs="Times New Roman"/>
                <w:color w:val="FF0000"/>
                <w:sz w:val="24"/>
                <w:szCs w:val="24"/>
                <w:lang w:val="en-US" w:eastAsia="zh-CN"/>
              </w:rPr>
              <w:t>，</w:t>
            </w:r>
            <w:r>
              <w:rPr>
                <w:rFonts w:hint="default" w:ascii="Times New Roman" w:hAnsi="Times New Roman" w:cs="Times New Roman"/>
                <w:color w:val="000000" w:themeColor="text1"/>
                <w:sz w:val="24"/>
                <w:szCs w:val="24"/>
                <w:lang w:val="en-US" w:eastAsia="zh-CN"/>
                <w14:textFill>
                  <w14:solidFill>
                    <w14:schemeClr w14:val="tx1"/>
                  </w14:solidFill>
                </w14:textFill>
              </w:rPr>
              <w:t>工作制</w:t>
            </w:r>
            <w:r>
              <w:rPr>
                <w:rFonts w:hint="eastAsia" w:ascii="Times New Roman" w:hAnsi="Times New Roman" w:cs="Times New Roman"/>
                <w:color w:val="000000" w:themeColor="text1"/>
                <w:sz w:val="24"/>
                <w:szCs w:val="24"/>
                <w:lang w:val="en-US" w:eastAsia="zh-CN"/>
                <w14:textFill>
                  <w14:solidFill>
                    <w14:schemeClr w14:val="tx1"/>
                  </w14:solidFill>
                </w14:textFill>
              </w:rPr>
              <w:t>度</w:t>
            </w:r>
            <w:r>
              <w:rPr>
                <w:rFonts w:hint="default" w:ascii="Times New Roman" w:hAnsi="Times New Roman" w:cs="Times New Roman"/>
                <w:color w:val="000000" w:themeColor="text1"/>
                <w:sz w:val="24"/>
                <w:szCs w:val="24"/>
                <w:lang w:val="en-US" w:eastAsia="zh-CN"/>
                <w14:textFill>
                  <w14:solidFill>
                    <w14:schemeClr w14:val="tx1"/>
                  </w14:solidFill>
                </w14:textFill>
              </w:rPr>
              <w:t>为</w:t>
            </w:r>
            <w:r>
              <w:rPr>
                <w:rFonts w:hint="eastAsia" w:ascii="Times New Roman" w:hAnsi="Times New Roman" w:cs="Times New Roman"/>
                <w:color w:val="000000" w:themeColor="text1"/>
                <w:sz w:val="24"/>
                <w:szCs w:val="24"/>
                <w:lang w:val="en-US" w:eastAsia="zh-CN"/>
                <w14:textFill>
                  <w14:solidFill>
                    <w14:schemeClr w14:val="tx1"/>
                  </w14:solidFill>
                </w14:textFill>
              </w:rPr>
              <w:t>二</w:t>
            </w:r>
            <w:r>
              <w:rPr>
                <w:rFonts w:hint="default" w:ascii="Times New Roman" w:hAnsi="Times New Roman" w:cs="Times New Roman"/>
                <w:color w:val="000000" w:themeColor="text1"/>
                <w:sz w:val="24"/>
                <w:szCs w:val="24"/>
                <w:lang w:val="en-US" w:eastAsia="zh-CN"/>
                <w14:textFill>
                  <w14:solidFill>
                    <w14:schemeClr w14:val="tx1"/>
                  </w14:solidFill>
                </w14:textFill>
              </w:rPr>
              <w:t>班制</w:t>
            </w:r>
            <w:r>
              <w:rPr>
                <w:rFonts w:hint="eastAsia" w:ascii="Times New Roman" w:hAnsi="Times New Roman" w:cs="Times New Roman"/>
                <w:color w:val="FF0000"/>
                <w:sz w:val="24"/>
                <w:szCs w:val="24"/>
                <w:lang w:val="en-US" w:eastAsia="zh-CN"/>
              </w:rPr>
              <w:t>，</w:t>
            </w:r>
            <w:r>
              <w:rPr>
                <w:rFonts w:hint="default" w:ascii="Times New Roman" w:hAnsi="Times New Roman" w:cs="Times New Roman"/>
                <w:color w:val="000000" w:themeColor="text1"/>
                <w:sz w:val="24"/>
                <w:szCs w:val="24"/>
                <w:lang w:val="en-US" w:eastAsia="zh-CN"/>
                <w14:textFill>
                  <w14:solidFill>
                    <w14:schemeClr w14:val="tx1"/>
                  </w14:solidFill>
                </w14:textFill>
              </w:rPr>
              <w:t>每班</w:t>
            </w:r>
            <w:r>
              <w:rPr>
                <w:rFonts w:hint="eastAsia" w:ascii="Times New Roman" w:hAnsi="Times New Roman" w:cs="Times New Roman"/>
                <w:color w:val="000000" w:themeColor="text1"/>
                <w:sz w:val="24"/>
                <w:szCs w:val="24"/>
                <w:lang w:val="en-US" w:eastAsia="zh-CN"/>
                <w14:textFill>
                  <w14:solidFill>
                    <w14:schemeClr w14:val="tx1"/>
                  </w14:solidFill>
                </w14:textFill>
              </w:rPr>
              <w:t>7.5</w:t>
            </w:r>
            <w:r>
              <w:rPr>
                <w:rFonts w:hint="default" w:ascii="Times New Roman" w:hAnsi="Times New Roman" w:cs="Times New Roman"/>
                <w:color w:val="000000" w:themeColor="text1"/>
                <w:sz w:val="24"/>
                <w:szCs w:val="24"/>
                <w:lang w:val="en-US" w:eastAsia="zh-CN"/>
                <w14:textFill>
                  <w14:solidFill>
                    <w14:schemeClr w14:val="tx1"/>
                  </w14:solidFill>
                </w14:textFill>
              </w:rPr>
              <w:t>小时</w:t>
            </w:r>
            <w:r>
              <w:rPr>
                <w:rFonts w:hint="eastAsia" w:ascii="Times New Roman" w:hAnsi="Times New Roman" w:cs="Times New Roman"/>
                <w:color w:val="000000" w:themeColor="text1"/>
                <w:sz w:val="24"/>
                <w:szCs w:val="24"/>
                <w:lang w:val="en-US" w:eastAsia="zh-CN"/>
                <w14:textFill>
                  <w14:solidFill>
                    <w14:schemeClr w14:val="tx1"/>
                  </w14:solidFill>
                </w14:textFill>
              </w:rPr>
              <w:t>（一班为6：00</w:t>
            </w:r>
            <w:r>
              <w:rPr>
                <w:rFonts w:hint="eastAsia" w:ascii="Times New Roman" w:hAnsi="Times New Roman" w:cs="Times New Roman"/>
                <w:color w:val="FF0000"/>
                <w:sz w:val="24"/>
                <w:szCs w:val="24"/>
                <w:lang w:val="en-US" w:eastAsia="zh-CN"/>
              </w:rPr>
              <w:t>~</w:t>
            </w:r>
            <w:r>
              <w:rPr>
                <w:rFonts w:hint="eastAsia" w:ascii="Times New Roman" w:hAnsi="Times New Roman" w:cs="Times New Roman"/>
                <w:color w:val="000000" w:themeColor="text1"/>
                <w:sz w:val="24"/>
                <w:szCs w:val="24"/>
                <w:lang w:val="en-US" w:eastAsia="zh-CN"/>
                <w14:textFill>
                  <w14:solidFill>
                    <w14:schemeClr w14:val="tx1"/>
                  </w14:solidFill>
                </w14:textFill>
              </w:rPr>
              <w:t>13：30、一班为13：30</w:t>
            </w:r>
            <w:r>
              <w:rPr>
                <w:rFonts w:hint="eastAsia" w:ascii="Times New Roman" w:hAnsi="Times New Roman" w:cs="Times New Roman"/>
                <w:color w:val="FF0000"/>
                <w:sz w:val="24"/>
                <w:szCs w:val="24"/>
                <w:lang w:val="en-US" w:eastAsia="zh-CN"/>
              </w:rPr>
              <w:t>~</w:t>
            </w:r>
            <w:r>
              <w:rPr>
                <w:rFonts w:hint="eastAsia" w:ascii="Times New Roman" w:hAnsi="Times New Roman" w:cs="Times New Roman"/>
                <w:color w:val="000000" w:themeColor="text1"/>
                <w:sz w:val="24"/>
                <w:szCs w:val="24"/>
                <w:lang w:val="en-US" w:eastAsia="zh-CN"/>
                <w14:textFill>
                  <w14:solidFill>
                    <w14:schemeClr w14:val="tx1"/>
                  </w14:solidFill>
                </w14:textFill>
              </w:rPr>
              <w:t>21：00）</w:t>
            </w:r>
            <w:r>
              <w:rPr>
                <w:rFonts w:hint="eastAsia" w:ascii="Times New Roman" w:hAnsi="Times New Roman" w:cs="Times New Roman"/>
                <w:color w:val="FF0000"/>
                <w:sz w:val="24"/>
                <w:szCs w:val="24"/>
                <w:lang w:val="en-US" w:eastAsia="zh-CN"/>
              </w:rPr>
              <w:t>，</w:t>
            </w:r>
            <w:r>
              <w:rPr>
                <w:rFonts w:hint="eastAsia" w:ascii="Times New Roman" w:hAnsi="Times New Roman" w:cs="Times New Roman"/>
                <w:color w:val="auto"/>
                <w:sz w:val="24"/>
                <w:szCs w:val="24"/>
                <w:lang w:val="en-US" w:eastAsia="zh-CN"/>
              </w:rPr>
              <w:t>日生产时长为15h</w:t>
            </w:r>
            <w:r>
              <w:rPr>
                <w:rFonts w:hint="eastAsia" w:ascii="Times New Roman" w:hAnsi="Times New Roman" w:cs="Times New Roman"/>
                <w:color w:val="FF0000"/>
                <w:sz w:val="24"/>
                <w:szCs w:val="24"/>
                <w:lang w:val="en-US" w:eastAsia="zh-CN"/>
              </w:rPr>
              <w:t>，</w:t>
            </w:r>
            <w:r>
              <w:rPr>
                <w:rFonts w:hint="default" w:ascii="Times New Roman" w:hAnsi="Times New Roman" w:cs="Times New Roman"/>
                <w:color w:val="000000" w:themeColor="text1"/>
                <w:sz w:val="24"/>
                <w:szCs w:val="24"/>
                <w:lang w:val="en-US" w:eastAsia="zh-CN"/>
                <w14:textFill>
                  <w14:solidFill>
                    <w14:schemeClr w14:val="tx1"/>
                  </w14:solidFill>
                </w14:textFill>
              </w:rPr>
              <w:t>年工作</w:t>
            </w:r>
            <w:r>
              <w:rPr>
                <w:rFonts w:hint="eastAsia" w:ascii="Times New Roman" w:hAnsi="Times New Roman" w:cs="Times New Roman"/>
                <w:color w:val="000000" w:themeColor="text1"/>
                <w:sz w:val="24"/>
                <w:szCs w:val="24"/>
                <w:lang w:val="en-US" w:eastAsia="zh-CN"/>
                <w14:textFill>
                  <w14:solidFill>
                    <w14:schemeClr w14:val="tx1"/>
                  </w14:solidFill>
                </w14:textFill>
              </w:rPr>
              <w:t>310</w:t>
            </w:r>
            <w:r>
              <w:rPr>
                <w:rFonts w:hint="default" w:ascii="Times New Roman" w:hAnsi="Times New Roman" w:cs="Times New Roman"/>
                <w:color w:val="000000" w:themeColor="text1"/>
                <w:sz w:val="24"/>
                <w:szCs w:val="24"/>
                <w:lang w:val="en-US" w:eastAsia="zh-CN"/>
                <w14:textFill>
                  <w14:solidFill>
                    <w14:schemeClr w14:val="tx1"/>
                  </w14:solidFill>
                </w14:textFill>
              </w:rPr>
              <w:t>天，项目</w:t>
            </w:r>
            <w:r>
              <w:rPr>
                <w:rFonts w:hint="eastAsia" w:ascii="Times New Roman" w:hAnsi="Times New Roman" w:cs="Times New Roman"/>
                <w:color w:val="000000" w:themeColor="text1"/>
                <w:sz w:val="24"/>
                <w:szCs w:val="24"/>
                <w:lang w:val="en-US" w:eastAsia="zh-CN"/>
                <w14:textFill>
                  <w14:solidFill>
                    <w14:schemeClr w14:val="tx1"/>
                  </w14:solidFill>
                </w14:textFill>
              </w:rPr>
              <w:t>技改</w:t>
            </w:r>
            <w:r>
              <w:rPr>
                <w:rFonts w:hint="default" w:ascii="Times New Roman" w:hAnsi="Times New Roman" w:cs="Times New Roman"/>
                <w:color w:val="000000" w:themeColor="text1"/>
                <w:sz w:val="24"/>
                <w:szCs w:val="24"/>
                <w:lang w:val="en-US" w:eastAsia="zh-CN"/>
                <w14:textFill>
                  <w14:solidFill>
                    <w14:schemeClr w14:val="tx1"/>
                  </w14:solidFill>
                </w14:textFill>
              </w:rPr>
              <w:t>后劳动人员由现有项目进行配给、不新增劳动</w:t>
            </w:r>
            <w:r>
              <w:rPr>
                <w:rFonts w:hint="eastAsia" w:ascii="Times New Roman" w:hAnsi="Times New Roman" w:cs="Times New Roman"/>
                <w:color w:val="000000" w:themeColor="text1"/>
                <w:sz w:val="24"/>
                <w:szCs w:val="24"/>
                <w:lang w:val="en-US" w:eastAsia="zh-CN"/>
                <w14:textFill>
                  <w14:solidFill>
                    <w14:schemeClr w14:val="tx1"/>
                  </w14:solidFill>
                </w14:textFill>
              </w:rPr>
              <w:t>定</w:t>
            </w:r>
            <w:r>
              <w:rPr>
                <w:rFonts w:hint="default" w:ascii="Times New Roman" w:hAnsi="Times New Roman" w:cs="Times New Roman"/>
                <w:color w:val="000000" w:themeColor="text1"/>
                <w:sz w:val="24"/>
                <w:szCs w:val="24"/>
                <w:lang w:val="en-US" w:eastAsia="zh-CN"/>
                <w14:textFill>
                  <w14:solidFill>
                    <w14:schemeClr w14:val="tx1"/>
                  </w14:solidFill>
                </w14:textFill>
              </w:rPr>
              <w:t>员、不改变工作制度。</w:t>
            </w:r>
          </w:p>
          <w:p w14:paraId="5A86EBF9">
            <w:pPr>
              <w:pStyle w:val="17"/>
              <w:spacing w:line="360" w:lineRule="auto"/>
              <w:ind w:firstLine="482" w:firstLineChars="200"/>
              <w:rPr>
                <w:rFonts w:ascii="Times New Roman" w:hAnsi="Times New Roman"/>
                <w:b/>
                <w:bCs/>
                <w:kern w:val="0"/>
                <w:sz w:val="24"/>
                <w:szCs w:val="24"/>
                <w:lang w:bidi="ar"/>
              </w:rPr>
            </w:pPr>
            <w:r>
              <w:rPr>
                <w:rFonts w:hint="eastAsia" w:ascii="Times New Roman" w:hAnsi="Times New Roman"/>
                <w:b/>
                <w:bCs/>
                <w:kern w:val="0"/>
                <w:sz w:val="24"/>
                <w:szCs w:val="24"/>
                <w:lang w:val="en-US" w:eastAsia="zh-CN" w:bidi="ar"/>
              </w:rPr>
              <w:t>七</w:t>
            </w:r>
            <w:r>
              <w:rPr>
                <w:rFonts w:hint="eastAsia" w:ascii="Times New Roman" w:hAnsi="Times New Roman"/>
                <w:b/>
                <w:bCs/>
                <w:kern w:val="0"/>
                <w:sz w:val="24"/>
                <w:szCs w:val="24"/>
                <w:lang w:bidi="ar"/>
              </w:rPr>
              <w:t>、公用工程</w:t>
            </w:r>
          </w:p>
          <w:p w14:paraId="0421B433">
            <w:pPr>
              <w:tabs>
                <w:tab w:val="left" w:pos="3102"/>
              </w:tabs>
              <w:spacing w:line="360" w:lineRule="auto"/>
              <w:ind w:firstLine="480" w:firstLineChars="200"/>
              <w:rPr>
                <w:bCs/>
                <w:sz w:val="24"/>
                <w:lang w:bidi="ar"/>
              </w:rPr>
            </w:pPr>
            <w:r>
              <w:rPr>
                <w:rFonts w:hint="eastAsia" w:ascii="宋体" w:hAnsi="宋体" w:cs="宋体"/>
                <w:bCs/>
                <w:sz w:val="24"/>
                <w:lang w:bidi="ar"/>
              </w:rPr>
              <w:t>①</w:t>
            </w:r>
            <w:r>
              <w:rPr>
                <w:bCs/>
                <w:sz w:val="24"/>
                <w:lang w:bidi="ar"/>
              </w:rPr>
              <w:t>给水：本项目用水由市政供水管网提供。</w:t>
            </w:r>
          </w:p>
          <w:p w14:paraId="458D8C65">
            <w:pPr>
              <w:tabs>
                <w:tab w:val="left" w:pos="3102"/>
              </w:tabs>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cs="Times New Roman"/>
                <w:bCs/>
                <w:sz w:val="24"/>
                <w:lang w:bidi="ar"/>
              </w:rPr>
              <w:t>②排水</w:t>
            </w:r>
            <w:r>
              <w:rPr>
                <w:rFonts w:hint="default" w:ascii="Times New Roman" w:hAnsi="Times New Roman" w:cs="Times New Roman"/>
                <w:bCs/>
                <w:color w:val="auto"/>
                <w:sz w:val="24"/>
                <w:lang w:bidi="ar"/>
              </w:rPr>
              <w:t>：</w:t>
            </w:r>
            <w:r>
              <w:rPr>
                <w:rFonts w:hint="default" w:ascii="Times New Roman" w:hAnsi="Times New Roman" w:cs="Times New Roman"/>
                <w:b w:val="0"/>
                <w:bCs/>
                <w:color w:val="auto"/>
                <w:sz w:val="24"/>
                <w:szCs w:val="24"/>
                <w:lang w:val="en-US" w:eastAsia="zh-CN"/>
              </w:rPr>
              <w:t>排水体制为雨、污分流制，初期</w:t>
            </w:r>
            <w:r>
              <w:rPr>
                <w:rFonts w:hint="default" w:ascii="Times New Roman" w:hAnsi="Times New Roman" w:cs="Times New Roman"/>
                <w:color w:val="auto"/>
                <w:sz w:val="24"/>
                <w:szCs w:val="24"/>
              </w:rPr>
              <w:t>雨水经</w:t>
            </w:r>
            <w:r>
              <w:rPr>
                <w:rFonts w:hint="default" w:ascii="Times New Roman" w:hAnsi="Times New Roman" w:cs="Times New Roman"/>
                <w:color w:val="auto"/>
                <w:sz w:val="24"/>
                <w:szCs w:val="24"/>
                <w:lang w:val="en-US" w:eastAsia="zh-CN"/>
              </w:rPr>
              <w:t>厂内雨水管道进入园区雨水管网，最终排入肖江</w:t>
            </w:r>
            <w:r>
              <w:rPr>
                <w:rFonts w:hint="default" w:ascii="Times New Roman" w:hAnsi="Times New Roman" w:cs="Times New Roman"/>
                <w:color w:val="auto"/>
                <w:sz w:val="24"/>
                <w:szCs w:val="24"/>
              </w:rPr>
              <w:t>；</w:t>
            </w:r>
            <w:r>
              <w:rPr>
                <w:rFonts w:hint="eastAsia" w:cs="Times New Roman"/>
                <w:color w:val="FF0000"/>
                <w:sz w:val="24"/>
                <w:szCs w:val="24"/>
                <w:lang w:val="en-US" w:eastAsia="zh-CN"/>
              </w:rPr>
              <w:t>树脂再生废水</w:t>
            </w:r>
            <w:r>
              <w:rPr>
                <w:rFonts w:hint="default" w:ascii="Times New Roman" w:hAnsi="Times New Roman" w:eastAsia="宋体" w:cs="Times New Roman"/>
                <w:color w:val="auto"/>
                <w:sz w:val="24"/>
                <w:szCs w:val="24"/>
                <w:lang w:val="en-US" w:eastAsia="zh-CN"/>
              </w:rPr>
              <w:t>经厂内设施中和</w:t>
            </w:r>
            <w:r>
              <w:rPr>
                <w:rFonts w:hint="default" w:ascii="Times New Roman" w:hAnsi="Times New Roman" w:cs="Times New Roman"/>
                <w:color w:val="auto"/>
                <w:sz w:val="24"/>
                <w:szCs w:val="24"/>
                <w:lang w:val="en-US" w:eastAsia="zh-CN"/>
              </w:rPr>
              <w:t>沉淀</w:t>
            </w:r>
            <w:r>
              <w:rPr>
                <w:rFonts w:hint="default" w:ascii="Times New Roman" w:hAnsi="Times New Roman" w:eastAsia="宋体" w:cs="Times New Roman"/>
                <w:color w:val="auto"/>
                <w:sz w:val="24"/>
                <w:szCs w:val="24"/>
                <w:lang w:val="en-US" w:eastAsia="zh-CN"/>
              </w:rPr>
              <w:t>处理</w:t>
            </w:r>
            <w:r>
              <w:rPr>
                <w:rFonts w:hint="eastAsia" w:ascii="Times New Roman" w:hAnsi="Times New Roman" w:cs="Times New Roman"/>
                <w:color w:val="auto"/>
                <w:sz w:val="24"/>
                <w:szCs w:val="24"/>
                <w:lang w:val="en-US" w:eastAsia="zh-CN"/>
              </w:rPr>
              <w:t>达到</w:t>
            </w:r>
            <w:r>
              <w:rPr>
                <w:rFonts w:hint="eastAsia"/>
                <w:color w:val="auto"/>
                <w:sz w:val="24"/>
                <w:szCs w:val="24"/>
                <w:lang w:bidi="ar"/>
              </w:rPr>
              <w:t>《城市污水再生利用-工业用水水质标准》</w:t>
            </w:r>
            <w:r>
              <w:rPr>
                <w:rFonts w:hint="eastAsia"/>
                <w:color w:val="auto"/>
                <w:sz w:val="24"/>
                <w:szCs w:val="24"/>
                <w:lang w:eastAsia="zh-CN" w:bidi="ar"/>
              </w:rPr>
              <w:t>（</w:t>
            </w:r>
            <w:r>
              <w:rPr>
                <w:rFonts w:hint="eastAsia"/>
                <w:color w:val="auto"/>
                <w:sz w:val="24"/>
                <w:szCs w:val="24"/>
                <w:lang w:bidi="ar"/>
              </w:rPr>
              <w:t>GB/T19923-2024</w:t>
            </w:r>
            <w:r>
              <w:rPr>
                <w:rFonts w:hint="eastAsia"/>
                <w:color w:val="auto"/>
                <w:sz w:val="24"/>
                <w:szCs w:val="24"/>
                <w:lang w:eastAsia="zh-CN" w:bidi="ar"/>
              </w:rPr>
              <w:t>）</w:t>
            </w:r>
            <w:r>
              <w:rPr>
                <w:rFonts w:hint="eastAsia"/>
                <w:color w:val="auto"/>
                <w:sz w:val="24"/>
                <w:szCs w:val="24"/>
                <w:lang w:bidi="ar"/>
              </w:rPr>
              <w:t>表1中相关限值</w:t>
            </w:r>
            <w:r>
              <w:rPr>
                <w:rFonts w:hint="default" w:ascii="Times New Roman" w:hAnsi="Times New Roman" w:cs="Times New Roman"/>
                <w:color w:val="auto"/>
                <w:sz w:val="24"/>
                <w:szCs w:val="24"/>
                <w:lang w:val="en-US" w:eastAsia="zh-CN"/>
              </w:rPr>
              <w:t>后回用于厂区绿化、洒水冷却灰渣等。</w:t>
            </w:r>
          </w:p>
          <w:p w14:paraId="356B08F4">
            <w:pPr>
              <w:pStyle w:val="5"/>
              <w:spacing w:before="0" w:after="0" w:line="360" w:lineRule="auto"/>
              <w:ind w:firstLine="482" w:firstLineChars="200"/>
              <w:rPr>
                <w:kern w:val="0"/>
                <w:sz w:val="24"/>
                <w:szCs w:val="24"/>
                <w:lang w:bidi="ar"/>
              </w:rPr>
            </w:pPr>
            <w:r>
              <w:rPr>
                <w:rFonts w:hint="eastAsia"/>
                <w:kern w:val="0"/>
                <w:sz w:val="24"/>
                <w:szCs w:val="24"/>
                <w:lang w:val="en-US" w:eastAsia="zh-CN" w:bidi="ar"/>
              </w:rPr>
              <w:t>八</w:t>
            </w:r>
            <w:r>
              <w:rPr>
                <w:rFonts w:hint="eastAsia"/>
                <w:kern w:val="0"/>
                <w:sz w:val="24"/>
                <w:szCs w:val="24"/>
                <w:lang w:bidi="ar"/>
              </w:rPr>
              <w:t>、水量平衡</w:t>
            </w:r>
          </w:p>
          <w:p w14:paraId="40E8321F">
            <w:pPr>
              <w:tabs>
                <w:tab w:val="left" w:pos="950"/>
              </w:tabs>
              <w:spacing w:line="360" w:lineRule="auto"/>
              <w:ind w:firstLine="480"/>
            </w:pPr>
            <w:r>
              <w:rPr>
                <w:rFonts w:hint="eastAsia"/>
                <w:color w:val="000000" w:themeColor="text1"/>
                <w:sz w:val="24"/>
                <w14:textFill>
                  <w14:solidFill>
                    <w14:schemeClr w14:val="tx1"/>
                  </w14:solidFill>
                </w14:textFill>
              </w:rPr>
              <w:t>（1）</w:t>
            </w:r>
            <w:r>
              <w:rPr>
                <w:color w:val="000000" w:themeColor="text1"/>
                <w:sz w:val="24"/>
                <w14:textFill>
                  <w14:solidFill>
                    <w14:schemeClr w14:val="tx1"/>
                  </w14:solidFill>
                </w14:textFill>
              </w:rPr>
              <w:t>生活污水</w:t>
            </w:r>
          </w:p>
          <w:p w14:paraId="5246FDFA">
            <w:pPr>
              <w:pStyle w:val="7"/>
              <w:pageBreakBefore w:val="0"/>
              <w:widowControl w:val="0"/>
              <w:numPr>
                <w:ilvl w:val="0"/>
                <w:numId w:val="0"/>
              </w:numPr>
              <w:kinsoku/>
              <w:wordWrap/>
              <w:overflowPunct/>
              <w:topLinePunct w:val="0"/>
              <w:autoSpaceDE/>
              <w:autoSpaceDN/>
              <w:bidi w:val="0"/>
              <w:adjustRightInd/>
              <w:snapToGrid/>
              <w:ind w:left="0" w:firstLine="480" w:firstLineChars="200"/>
              <w:jc w:val="both"/>
              <w:textAlignment w:val="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本次技改无新增人员，无新增生活污水。</w:t>
            </w:r>
          </w:p>
          <w:p w14:paraId="49CAFDEA">
            <w:pPr>
              <w:pStyle w:val="7"/>
              <w:pageBreakBefore w:val="0"/>
              <w:widowControl w:val="0"/>
              <w:numPr>
                <w:ilvl w:val="0"/>
                <w:numId w:val="0"/>
              </w:numPr>
              <w:kinsoku/>
              <w:wordWrap/>
              <w:overflowPunct/>
              <w:topLinePunct w:val="0"/>
              <w:autoSpaceDE/>
              <w:autoSpaceDN/>
              <w:bidi w:val="0"/>
              <w:adjustRightInd/>
              <w:snapToGrid/>
              <w:ind w:left="0" w:firstLine="480" w:firstLineChars="200"/>
              <w:jc w:val="both"/>
              <w:textAlignment w:val="auto"/>
              <w:rPr>
                <w:rFonts w:hint="default" w:ascii="Times New Roman" w:hAnsi="Times New Roman" w:cs="Times New Roman"/>
                <w:b w:val="0"/>
                <w:bCs w:val="0"/>
                <w:color w:val="FF0000"/>
                <w:lang w:val="en-US" w:eastAsia="zh-CN"/>
              </w:rPr>
            </w:pPr>
            <w:r>
              <w:rPr>
                <w:rFonts w:hint="eastAsia" w:ascii="Times New Roman" w:hAnsi="Times New Roman" w:cs="Times New Roman"/>
                <w:b w:val="0"/>
                <w:bCs w:val="0"/>
                <w:color w:val="auto"/>
                <w:sz w:val="24"/>
                <w:highlight w:val="none"/>
                <w:lang w:val="en-US" w:eastAsia="zh-CN"/>
              </w:rPr>
              <w:t>（2）</w:t>
            </w:r>
            <w:r>
              <w:rPr>
                <w:rFonts w:hint="eastAsia" w:cs="Times New Roman"/>
                <w:b w:val="0"/>
                <w:bCs w:val="0"/>
                <w:color w:val="auto"/>
                <w:sz w:val="24"/>
                <w:highlight w:val="none"/>
                <w:lang w:val="en-US" w:eastAsia="zh-CN"/>
              </w:rPr>
              <w:t>软水制备用水及锅炉</w:t>
            </w:r>
            <w:r>
              <w:rPr>
                <w:rFonts w:hint="default" w:ascii="Times New Roman" w:hAnsi="Times New Roman" w:cs="Times New Roman"/>
                <w:b w:val="0"/>
                <w:bCs w:val="0"/>
                <w:color w:val="auto"/>
                <w:sz w:val="24"/>
                <w:highlight w:val="none"/>
                <w:lang w:val="en-US" w:eastAsia="zh-CN"/>
              </w:rPr>
              <w:t>用水</w:t>
            </w:r>
          </w:p>
          <w:p w14:paraId="67DB186B">
            <w:pPr>
              <w:pStyle w:val="6"/>
              <w:pageBreakBefore w:val="0"/>
              <w:widowControl w:val="0"/>
              <w:numPr>
                <w:ilvl w:val="3"/>
                <w:numId w:val="0"/>
              </w:numPr>
              <w:kinsoku/>
              <w:wordWrap/>
              <w:overflowPunct/>
              <w:topLinePunct w:val="0"/>
              <w:autoSpaceDE/>
              <w:autoSpaceDN/>
              <w:bidi w:val="0"/>
              <w:adjustRightInd/>
              <w:snapToGrid/>
              <w:ind w:left="0" w:leftChars="0" w:firstLine="480" w:firstLineChars="200"/>
              <w:jc w:val="both"/>
              <w:textAlignment w:val="auto"/>
              <w:rPr>
                <w:rFonts w:hint="eastAsia" w:cs="Times New Roman"/>
                <w:b w:val="0"/>
                <w:bCs w:val="0"/>
                <w:color w:val="FF0000"/>
                <w:sz w:val="24"/>
                <w:szCs w:val="24"/>
                <w:highlight w:val="none"/>
                <w:lang w:val="en-US" w:eastAsia="zh-CN"/>
              </w:rPr>
            </w:pPr>
            <w:r>
              <w:rPr>
                <w:rFonts w:hint="eastAsia" w:cs="Times New Roman"/>
                <w:b w:val="0"/>
                <w:bCs w:val="0"/>
                <w:color w:val="FF0000"/>
                <w:sz w:val="24"/>
                <w:szCs w:val="24"/>
                <w:highlight w:val="none"/>
                <w:lang w:val="en-US" w:eastAsia="zh-CN"/>
              </w:rPr>
              <w:t>项目技改后，新增1台6t/h生物质锅炉提供蒸汽，原有锅炉留作备用。锅炉年运行时长为4650h，锅炉负荷为85%，则蒸汽产生总量为23715</w:t>
            </w:r>
            <w:r>
              <w:rPr>
                <w:rFonts w:hint="default" w:ascii="Times New Roman" w:hAnsi="Times New Roman" w:eastAsia="宋体" w:cs="Times New Roman"/>
                <w:b w:val="0"/>
                <w:bCs/>
                <w:color w:val="FF0000"/>
                <w:sz w:val="24"/>
                <w:szCs w:val="24"/>
                <w:lang w:val="en-US" w:eastAsia="zh-CN"/>
              </w:rPr>
              <w:t>t/a</w:t>
            </w:r>
            <w:r>
              <w:rPr>
                <w:rFonts w:hint="eastAsia" w:ascii="Times New Roman" w:hAnsi="Times New Roman" w:eastAsia="宋体" w:cs="Times New Roman"/>
                <w:b w:val="0"/>
                <w:bCs/>
                <w:color w:val="FF0000"/>
                <w:sz w:val="24"/>
                <w:szCs w:val="24"/>
                <w:lang w:val="en-US" w:eastAsia="zh-CN"/>
              </w:rPr>
              <w:t>（</w:t>
            </w:r>
            <w:r>
              <w:rPr>
                <w:rFonts w:hint="eastAsia" w:cs="Times New Roman"/>
                <w:b w:val="0"/>
                <w:bCs/>
                <w:color w:val="FF0000"/>
                <w:sz w:val="24"/>
                <w:szCs w:val="24"/>
                <w:lang w:val="en-US" w:eastAsia="zh-CN"/>
              </w:rPr>
              <w:t>76.5t</w:t>
            </w:r>
            <w:r>
              <w:rPr>
                <w:rFonts w:hint="default" w:ascii="Times New Roman" w:hAnsi="Times New Roman" w:eastAsia="宋体" w:cs="Times New Roman"/>
                <w:b w:val="0"/>
                <w:bCs/>
                <w:color w:val="FF0000"/>
                <w:sz w:val="24"/>
                <w:szCs w:val="24"/>
                <w:lang w:val="en-US" w:eastAsia="zh-CN"/>
              </w:rPr>
              <w:t>/d</w:t>
            </w:r>
            <w:r>
              <w:rPr>
                <w:rFonts w:hint="eastAsia" w:ascii="Times New Roman" w:hAnsi="Times New Roman" w:eastAsia="宋体" w:cs="Times New Roman"/>
                <w:b w:val="0"/>
                <w:bCs/>
                <w:color w:val="FF0000"/>
                <w:sz w:val="24"/>
                <w:szCs w:val="24"/>
                <w:lang w:val="en-US" w:eastAsia="zh-CN"/>
              </w:rPr>
              <w:t>）</w:t>
            </w:r>
            <w:r>
              <w:rPr>
                <w:rFonts w:hint="eastAsia" w:cs="Times New Roman"/>
                <w:b w:val="0"/>
                <w:bCs/>
                <w:color w:val="FF0000"/>
                <w:sz w:val="24"/>
                <w:szCs w:val="24"/>
                <w:lang w:val="en-US" w:eastAsia="zh-CN"/>
              </w:rPr>
              <w:t>，其中管道蒸发损耗按蒸汽产生量的5%计（即3.825t</w:t>
            </w:r>
            <w:r>
              <w:rPr>
                <w:rFonts w:hint="default" w:ascii="Times New Roman" w:hAnsi="Times New Roman" w:eastAsia="宋体" w:cs="Times New Roman"/>
                <w:b w:val="0"/>
                <w:bCs/>
                <w:color w:val="FF0000"/>
                <w:sz w:val="24"/>
                <w:szCs w:val="24"/>
                <w:lang w:val="en-US" w:eastAsia="zh-CN"/>
              </w:rPr>
              <w:t>/d</w:t>
            </w:r>
            <w:r>
              <w:rPr>
                <w:rFonts w:hint="eastAsia" w:cs="Times New Roman"/>
                <w:b w:val="0"/>
                <w:bCs/>
                <w:color w:val="FF0000"/>
                <w:sz w:val="24"/>
                <w:szCs w:val="24"/>
                <w:lang w:val="en-US" w:eastAsia="zh-CN"/>
              </w:rPr>
              <w:t>）、锅炉自用蒸汽约为蒸汽产生量的1%-3%（本次取2%，即1.53t/d），剩余蒸汽用于现有项目生产。</w:t>
            </w:r>
          </w:p>
          <w:p w14:paraId="6EB8B27F">
            <w:pPr>
              <w:pStyle w:val="114"/>
              <w:rPr>
                <w:rFonts w:hint="eastAsia" w:eastAsia="宋体"/>
                <w:color w:val="000000" w:themeColor="text1"/>
                <w:lang w:val="en-US" w:eastAsia="zh-CN"/>
                <w14:textFill>
                  <w14:solidFill>
                    <w14:schemeClr w14:val="tx1"/>
                  </w14:solidFill>
                </w14:textFill>
              </w:rPr>
            </w:pPr>
            <w:r>
              <w:rPr>
                <w:rFonts w:hint="eastAsia" w:eastAsia="宋体"/>
                <w:color w:val="FF0000"/>
                <w:lang w:val="en-US"/>
              </w:rPr>
              <w:t>锅炉</w:t>
            </w:r>
            <w:r>
              <w:rPr>
                <w:rFonts w:hint="eastAsia" w:eastAsia="宋体"/>
                <w:color w:val="FF0000"/>
                <w:lang w:val="en-US" w:eastAsia="zh-CN"/>
              </w:rPr>
              <w:t>用水为自来水</w:t>
            </w:r>
            <w:r>
              <w:rPr>
                <w:rFonts w:hint="eastAsia" w:eastAsia="宋体"/>
                <w:color w:val="FF0000"/>
                <w:lang w:val="en-US"/>
              </w:rPr>
              <w:t>制备软水，软水制备工艺采用</w:t>
            </w:r>
            <w:r>
              <w:rPr>
                <w:rFonts w:hint="eastAsia" w:eastAsia="宋体" w:cs="Times New Roman"/>
                <w:color w:val="FF0000"/>
                <w:sz w:val="24"/>
                <w:szCs w:val="24"/>
                <w:lang w:val="en-US" w:eastAsia="zh-CN"/>
              </w:rPr>
              <w:t>离子交换树脂法</w:t>
            </w:r>
            <w:r>
              <w:rPr>
                <w:rFonts w:hint="eastAsia" w:eastAsia="宋体"/>
                <w:color w:val="FF0000"/>
                <w:lang w:val="en-US"/>
              </w:rPr>
              <w:t>，根据业主提供资料，1吨新鲜水</w:t>
            </w:r>
            <w:r>
              <w:rPr>
                <w:rFonts w:hint="eastAsia" w:eastAsia="宋体"/>
                <w:color w:val="FF0000"/>
                <w:lang w:val="en-US" w:eastAsia="zh-CN"/>
              </w:rPr>
              <w:t>可</w:t>
            </w:r>
            <w:r>
              <w:rPr>
                <w:rFonts w:hint="eastAsia" w:eastAsia="宋体"/>
                <w:color w:val="FF0000"/>
                <w:lang w:val="en-US"/>
              </w:rPr>
              <w:t>制备约0.</w:t>
            </w:r>
            <w:r>
              <w:rPr>
                <w:rFonts w:hint="eastAsia" w:eastAsia="宋体"/>
                <w:color w:val="FF0000"/>
                <w:lang w:val="en-US" w:eastAsia="zh-CN"/>
              </w:rPr>
              <w:t>9</w:t>
            </w:r>
            <w:r>
              <w:rPr>
                <w:rFonts w:hint="eastAsia" w:eastAsia="宋体"/>
                <w:color w:val="FF0000"/>
                <w:lang w:val="en-US"/>
              </w:rPr>
              <w:t>吨软水，</w:t>
            </w:r>
            <w:r>
              <w:rPr>
                <w:rFonts w:hint="eastAsia" w:eastAsia="宋体"/>
                <w:color w:val="FF0000"/>
                <w:lang w:val="en-US" w:eastAsia="zh-CN"/>
              </w:rPr>
              <w:t>产生</w:t>
            </w:r>
            <w:r>
              <w:rPr>
                <w:rFonts w:hint="eastAsia" w:eastAsia="宋体"/>
                <w:color w:val="FF0000"/>
                <w:lang w:val="en-US"/>
              </w:rPr>
              <w:t>0.</w:t>
            </w:r>
            <w:r>
              <w:rPr>
                <w:rFonts w:hint="eastAsia" w:eastAsia="宋体"/>
                <w:color w:val="FF0000"/>
                <w:lang w:val="en-US" w:eastAsia="zh-CN"/>
              </w:rPr>
              <w:t>1</w:t>
            </w:r>
            <w:r>
              <w:rPr>
                <w:rFonts w:hint="eastAsia" w:eastAsia="宋体"/>
                <w:color w:val="FF0000"/>
                <w:lang w:val="en-US"/>
              </w:rPr>
              <w:t>吨的</w:t>
            </w:r>
            <w:r>
              <w:rPr>
                <w:rFonts w:hint="eastAsia" w:eastAsia="宋体"/>
                <w:color w:val="FF0000"/>
                <w:lang w:val="en-US" w:eastAsia="zh-CN"/>
              </w:rPr>
              <w:t>树脂再生废水</w:t>
            </w:r>
            <w:r>
              <w:rPr>
                <w:rFonts w:hint="eastAsia" w:eastAsia="宋体"/>
                <w:color w:val="FF0000"/>
                <w:lang w:val="en-US"/>
              </w:rPr>
              <w:t>，</w:t>
            </w:r>
            <w:r>
              <w:rPr>
                <w:rFonts w:hint="eastAsia" w:ascii="Times New Roman" w:hAnsi="Times New Roman" w:eastAsia="宋体" w:cs="Times New Roman"/>
                <w:color w:val="FF0000"/>
                <w:sz w:val="24"/>
                <w:szCs w:val="24"/>
                <w:lang w:val="en-US" w:eastAsia="zh-CN"/>
              </w:rPr>
              <w:t>根据以上分析，项目软水使用量为</w:t>
            </w:r>
            <w:r>
              <w:rPr>
                <w:rFonts w:hint="eastAsia" w:cs="Times New Roman"/>
                <w:b w:val="0"/>
                <w:bCs w:val="0"/>
                <w:color w:val="FF0000"/>
                <w:sz w:val="24"/>
                <w:szCs w:val="24"/>
                <w:highlight w:val="none"/>
                <w:lang w:val="en-US" w:eastAsia="zh-CN"/>
              </w:rPr>
              <w:t>23715</w:t>
            </w:r>
            <w:r>
              <w:rPr>
                <w:rFonts w:hint="default" w:ascii="Times New Roman" w:hAnsi="Times New Roman" w:eastAsia="宋体" w:cs="Times New Roman"/>
                <w:b w:val="0"/>
                <w:bCs/>
                <w:color w:val="FF0000"/>
                <w:sz w:val="24"/>
                <w:szCs w:val="24"/>
                <w:lang w:val="en-US" w:eastAsia="zh-CN"/>
              </w:rPr>
              <w:t>t/a</w:t>
            </w:r>
            <w:r>
              <w:rPr>
                <w:rFonts w:hint="eastAsia" w:ascii="Times New Roman" w:hAnsi="Times New Roman" w:eastAsia="宋体" w:cs="Times New Roman"/>
                <w:b w:val="0"/>
                <w:bCs/>
                <w:color w:val="FF0000"/>
                <w:sz w:val="24"/>
                <w:szCs w:val="24"/>
                <w:lang w:val="en-US" w:eastAsia="zh-CN"/>
              </w:rPr>
              <w:t>（</w:t>
            </w:r>
            <w:r>
              <w:rPr>
                <w:rFonts w:hint="eastAsia" w:cs="Times New Roman"/>
                <w:b w:val="0"/>
                <w:bCs/>
                <w:color w:val="FF0000"/>
                <w:sz w:val="24"/>
                <w:szCs w:val="24"/>
                <w:lang w:val="en-US" w:eastAsia="zh-CN"/>
              </w:rPr>
              <w:t>76.5t</w:t>
            </w:r>
            <w:r>
              <w:rPr>
                <w:rFonts w:hint="default" w:ascii="Times New Roman" w:hAnsi="Times New Roman" w:eastAsia="宋体" w:cs="Times New Roman"/>
                <w:b w:val="0"/>
                <w:bCs/>
                <w:color w:val="FF0000"/>
                <w:sz w:val="24"/>
                <w:szCs w:val="24"/>
                <w:lang w:val="en-US" w:eastAsia="zh-CN"/>
              </w:rPr>
              <w:t>/d</w:t>
            </w:r>
            <w:r>
              <w:rPr>
                <w:rFonts w:hint="eastAsia" w:ascii="Times New Roman" w:hAnsi="Times New Roman" w:eastAsia="宋体" w:cs="Times New Roman"/>
                <w:b w:val="0"/>
                <w:bCs/>
                <w:color w:val="FF0000"/>
                <w:sz w:val="24"/>
                <w:szCs w:val="24"/>
                <w:lang w:val="en-US" w:eastAsia="zh-CN"/>
              </w:rPr>
              <w:t>）</w:t>
            </w:r>
            <w:r>
              <w:rPr>
                <w:rFonts w:hint="eastAsia" w:ascii="Times New Roman" w:hAnsi="Times New Roman" w:eastAsia="宋体" w:cs="Times New Roman"/>
                <w:color w:val="FF0000"/>
                <w:sz w:val="24"/>
                <w:szCs w:val="24"/>
                <w:lang w:val="en-US" w:eastAsia="zh-CN"/>
              </w:rPr>
              <w:t>，则</w:t>
            </w:r>
            <w:r>
              <w:rPr>
                <w:rFonts w:hint="eastAsia" w:eastAsia="宋体"/>
                <w:color w:val="FF0000"/>
                <w:lang w:val="en-US"/>
              </w:rPr>
              <w:t>软水制备</w:t>
            </w:r>
            <w:r>
              <w:rPr>
                <w:rFonts w:hint="eastAsia" w:eastAsia="宋体"/>
                <w:color w:val="FF0000"/>
                <w:lang w:val="en-US" w:eastAsia="zh-CN"/>
              </w:rPr>
              <w:t>所需</w:t>
            </w:r>
            <w:r>
              <w:rPr>
                <w:rFonts w:hint="eastAsia" w:eastAsia="宋体"/>
                <w:color w:val="FF0000"/>
                <w:lang w:val="en-US"/>
              </w:rPr>
              <w:t>新鲜水用量为</w:t>
            </w:r>
            <w:r>
              <w:rPr>
                <w:rFonts w:hint="eastAsia" w:eastAsia="宋体"/>
                <w:color w:val="FF0000"/>
                <w:lang w:val="en-US" w:eastAsia="zh-CN"/>
              </w:rPr>
              <w:t>26350</w:t>
            </w:r>
            <w:r>
              <w:rPr>
                <w:rFonts w:eastAsia="宋体"/>
                <w:color w:val="FF0000"/>
                <w:lang w:val="en-US"/>
              </w:rPr>
              <w:t>m</w:t>
            </w:r>
            <w:r>
              <w:rPr>
                <w:rFonts w:eastAsia="宋体"/>
                <w:color w:val="FF0000"/>
                <w:vertAlign w:val="superscript"/>
                <w:lang w:val="en-US"/>
              </w:rPr>
              <w:t>3</w:t>
            </w:r>
            <w:r>
              <w:rPr>
                <w:rFonts w:eastAsia="宋体"/>
                <w:color w:val="FF0000"/>
                <w:lang w:val="en-US"/>
              </w:rPr>
              <w:t>/a</w:t>
            </w:r>
            <w:r>
              <w:rPr>
                <w:rFonts w:hint="eastAsia" w:eastAsia="宋体"/>
                <w:color w:val="FF0000"/>
                <w:lang w:val="en-US" w:eastAsia="zh-CN"/>
              </w:rPr>
              <w:t>（85</w:t>
            </w:r>
            <w:r>
              <w:rPr>
                <w:rFonts w:eastAsia="宋体"/>
                <w:color w:val="FF0000"/>
                <w:lang w:val="en-US"/>
              </w:rPr>
              <w:t>m</w:t>
            </w:r>
            <w:r>
              <w:rPr>
                <w:rFonts w:eastAsia="宋体"/>
                <w:color w:val="FF0000"/>
                <w:vertAlign w:val="superscript"/>
                <w:lang w:val="en-US"/>
              </w:rPr>
              <w:t>3</w:t>
            </w:r>
            <w:r>
              <w:rPr>
                <w:rFonts w:eastAsia="宋体"/>
                <w:color w:val="FF0000"/>
                <w:lang w:val="en-US"/>
              </w:rPr>
              <w:t>/</w:t>
            </w:r>
            <w:r>
              <w:rPr>
                <w:rFonts w:hint="eastAsia" w:eastAsia="宋体"/>
                <w:color w:val="FF0000"/>
                <w:lang w:val="en-US" w:eastAsia="zh-CN"/>
              </w:rPr>
              <w:t>d）</w:t>
            </w:r>
            <w:r>
              <w:rPr>
                <w:rFonts w:hint="eastAsia" w:eastAsia="宋体"/>
                <w:color w:val="FF0000"/>
                <w:lang w:val="en-US"/>
              </w:rPr>
              <w:t>，</w:t>
            </w:r>
            <w:r>
              <w:rPr>
                <w:rFonts w:hint="eastAsia" w:eastAsia="宋体"/>
                <w:color w:val="FF0000"/>
                <w:lang w:val="en-US" w:eastAsia="zh-CN"/>
              </w:rPr>
              <w:t>树脂再生废水产生</w:t>
            </w:r>
            <w:r>
              <w:rPr>
                <w:rFonts w:hint="eastAsia" w:eastAsia="宋体"/>
                <w:color w:val="FF0000"/>
                <w:lang w:val="en-US"/>
              </w:rPr>
              <w:t>量为</w:t>
            </w:r>
            <w:r>
              <w:rPr>
                <w:rFonts w:hint="eastAsia" w:eastAsia="宋体"/>
                <w:color w:val="FF0000"/>
                <w:lang w:val="en-US" w:eastAsia="zh-CN"/>
              </w:rPr>
              <w:t>2635</w:t>
            </w:r>
            <w:r>
              <w:rPr>
                <w:rFonts w:eastAsia="宋体"/>
                <w:color w:val="FF0000"/>
                <w:lang w:val="en-US"/>
              </w:rPr>
              <w:t>m</w:t>
            </w:r>
            <w:r>
              <w:rPr>
                <w:rFonts w:eastAsia="宋体"/>
                <w:color w:val="FF0000"/>
                <w:vertAlign w:val="superscript"/>
                <w:lang w:val="en-US"/>
              </w:rPr>
              <w:t>3</w:t>
            </w:r>
            <w:r>
              <w:rPr>
                <w:rFonts w:eastAsia="宋体"/>
                <w:color w:val="FF0000"/>
                <w:lang w:val="en-US"/>
              </w:rPr>
              <w:t>/a</w:t>
            </w:r>
            <w:r>
              <w:rPr>
                <w:rFonts w:hint="eastAsia" w:eastAsia="宋体"/>
                <w:color w:val="FF0000"/>
                <w:lang w:val="en-US" w:eastAsia="zh-CN"/>
              </w:rPr>
              <w:t>（8.5</w:t>
            </w:r>
            <w:r>
              <w:rPr>
                <w:rFonts w:eastAsia="宋体"/>
                <w:color w:val="FF0000"/>
                <w:lang w:val="en-US"/>
              </w:rPr>
              <w:t>m</w:t>
            </w:r>
            <w:r>
              <w:rPr>
                <w:rFonts w:eastAsia="宋体"/>
                <w:color w:val="FF0000"/>
                <w:vertAlign w:val="superscript"/>
                <w:lang w:val="en-US"/>
              </w:rPr>
              <w:t>3</w:t>
            </w:r>
            <w:r>
              <w:rPr>
                <w:rFonts w:eastAsia="宋体"/>
                <w:color w:val="FF0000"/>
                <w:lang w:val="en-US"/>
              </w:rPr>
              <w:t>/</w:t>
            </w:r>
            <w:r>
              <w:rPr>
                <w:rFonts w:hint="eastAsia" w:eastAsia="宋体"/>
                <w:color w:val="FF0000"/>
                <w:lang w:val="en-US" w:eastAsia="zh-CN"/>
              </w:rPr>
              <w:t>d）。</w:t>
            </w:r>
          </w:p>
          <w:p w14:paraId="51CDC940">
            <w:pPr>
              <w:pStyle w:val="7"/>
              <w:pageBreakBefore w:val="0"/>
              <w:widowControl w:val="0"/>
              <w:numPr>
                <w:ilvl w:val="0"/>
                <w:numId w:val="0"/>
              </w:numPr>
              <w:kinsoku/>
              <w:wordWrap/>
              <w:overflowPunct/>
              <w:topLinePunct w:val="0"/>
              <w:autoSpaceDE/>
              <w:autoSpaceDN/>
              <w:bidi w:val="0"/>
              <w:adjustRightInd/>
              <w:snapToGrid/>
              <w:ind w:left="0" w:firstLine="480" w:firstLineChars="200"/>
              <w:jc w:val="both"/>
              <w:textAlignment w:val="auto"/>
              <w:rPr>
                <w:rFonts w:hint="default" w:ascii="Times New Roman" w:hAnsi="Times New Roman" w:cs="Times New Roman"/>
                <w:b w:val="0"/>
                <w:bCs w:val="0"/>
                <w:color w:val="000000" w:themeColor="text1"/>
                <w:lang w:val="en-US" w:eastAsia="zh-CN"/>
                <w14:textFill>
                  <w14:solidFill>
                    <w14:schemeClr w14:val="tx1"/>
                  </w14:solidFill>
                </w14:textFill>
              </w:rPr>
            </w:pPr>
            <w:r>
              <w:rPr>
                <w:rFonts w:hint="eastAsia" w:ascii="Times New Roman" w:hAnsi="Times New Roman" w:cs="Times New Roman"/>
                <w:b w:val="0"/>
                <w:bCs w:val="0"/>
                <w:color w:val="000000" w:themeColor="text1"/>
                <w:sz w:val="24"/>
                <w:highlight w:val="none"/>
                <w:lang w:val="en-US" w:eastAsia="zh-CN"/>
                <w14:textFill>
                  <w14:solidFill>
                    <w14:schemeClr w14:val="tx1"/>
                  </w14:solidFill>
                </w14:textFill>
              </w:rPr>
              <w:t>（</w:t>
            </w:r>
            <w:r>
              <w:rPr>
                <w:rFonts w:hint="eastAsia" w:cs="Times New Roman"/>
                <w:b w:val="0"/>
                <w:bCs w:val="0"/>
                <w:color w:val="000000" w:themeColor="text1"/>
                <w:sz w:val="24"/>
                <w:highlight w:val="none"/>
                <w:lang w:val="en-US" w:eastAsia="zh-CN"/>
                <w14:textFill>
                  <w14:solidFill>
                    <w14:schemeClr w14:val="tx1"/>
                  </w14:solidFill>
                </w14:textFill>
              </w:rPr>
              <w:t>3</w:t>
            </w:r>
            <w:r>
              <w:rPr>
                <w:rFonts w:hint="eastAsia" w:ascii="Times New Roman" w:hAnsi="Times New Roman" w:cs="Times New Roman"/>
                <w:b w:val="0"/>
                <w:bCs w:val="0"/>
                <w:color w:val="000000" w:themeColor="text1"/>
                <w:sz w:val="24"/>
                <w:highlight w:val="none"/>
                <w:lang w:val="en-US" w:eastAsia="zh-CN"/>
                <w14:textFill>
                  <w14:solidFill>
                    <w14:schemeClr w14:val="tx1"/>
                  </w14:solidFill>
                </w14:textFill>
              </w:rPr>
              <w:t>）</w:t>
            </w:r>
            <w:r>
              <w:rPr>
                <w:rFonts w:hint="eastAsia" w:cs="Times New Roman"/>
                <w:b w:val="0"/>
                <w:bCs w:val="0"/>
                <w:color w:val="000000" w:themeColor="text1"/>
                <w:sz w:val="24"/>
                <w:highlight w:val="none"/>
                <w:lang w:val="en-US" w:eastAsia="zh-CN"/>
                <w14:textFill>
                  <w14:solidFill>
                    <w14:schemeClr w14:val="tx1"/>
                  </w14:solidFill>
                </w14:textFill>
              </w:rPr>
              <w:t>冷却塔用水</w:t>
            </w:r>
          </w:p>
          <w:p w14:paraId="13E7F8C8">
            <w:pPr>
              <w:pStyle w:val="1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jc w:val="both"/>
              <w:textAlignment w:val="auto"/>
              <w:rPr>
                <w:rFonts w:hint="eastAsia"/>
                <w:color w:val="FF0000"/>
                <w:lang w:val="en-US" w:eastAsia="zh-CN"/>
              </w:rPr>
            </w:pPr>
            <w:r>
              <w:rPr>
                <w:rFonts w:hint="eastAsia" w:cs="Times New Roman"/>
                <w:color w:val="FF0000"/>
                <w:szCs w:val="24"/>
                <w:highlight w:val="none"/>
                <w:shd w:val="clear" w:color="auto" w:fill="auto"/>
                <w:lang w:val="en-US" w:eastAsia="zh-CN" w:bidi="ar"/>
              </w:rPr>
              <w:t>项目技改后，锅炉配备1台冷却塔用于冷却锅炉烟气，锅炉烟气不与冷却水直接接触。冷却塔循环泵流量为10m</w:t>
            </w:r>
            <w:r>
              <w:rPr>
                <w:rFonts w:hint="eastAsia" w:cs="Times New Roman"/>
                <w:color w:val="FF0000"/>
                <w:szCs w:val="24"/>
                <w:highlight w:val="none"/>
                <w:shd w:val="clear" w:color="auto" w:fill="auto"/>
                <w:vertAlign w:val="superscript"/>
                <w:lang w:val="en-US" w:eastAsia="zh-CN" w:bidi="ar"/>
              </w:rPr>
              <w:t>3</w:t>
            </w:r>
            <w:r>
              <w:rPr>
                <w:rFonts w:hint="eastAsia" w:cs="Times New Roman"/>
                <w:color w:val="FF0000"/>
                <w:szCs w:val="24"/>
                <w:highlight w:val="none"/>
                <w:shd w:val="clear" w:color="auto" w:fill="auto"/>
                <w:vertAlign w:val="baseline"/>
                <w:lang w:val="en-US" w:eastAsia="zh-CN" w:bidi="ar"/>
              </w:rPr>
              <w:t>/h，冷却塔年运行时长为4650h，循环水量为46500</w:t>
            </w:r>
            <w:r>
              <w:rPr>
                <w:rFonts w:hint="eastAsia" w:cs="Times New Roman"/>
                <w:color w:val="FF0000"/>
                <w:szCs w:val="24"/>
                <w:highlight w:val="none"/>
                <w:shd w:val="clear" w:color="auto" w:fill="auto"/>
                <w:lang w:val="en-US" w:eastAsia="zh-CN" w:bidi="ar"/>
              </w:rPr>
              <w:t>m</w:t>
            </w:r>
            <w:r>
              <w:rPr>
                <w:rFonts w:hint="eastAsia" w:cs="Times New Roman"/>
                <w:color w:val="FF0000"/>
                <w:szCs w:val="24"/>
                <w:highlight w:val="none"/>
                <w:shd w:val="clear" w:color="auto" w:fill="auto"/>
                <w:vertAlign w:val="superscript"/>
                <w:lang w:val="en-US" w:eastAsia="zh-CN" w:bidi="ar"/>
              </w:rPr>
              <w:t>3</w:t>
            </w:r>
            <w:r>
              <w:rPr>
                <w:rFonts w:hint="eastAsia" w:cs="Times New Roman"/>
                <w:color w:val="FF0000"/>
                <w:szCs w:val="24"/>
                <w:highlight w:val="none"/>
                <w:shd w:val="clear" w:color="auto" w:fill="auto"/>
                <w:vertAlign w:val="baseline"/>
                <w:lang w:val="en-US" w:eastAsia="zh-CN" w:bidi="ar"/>
              </w:rPr>
              <w:t>/a（150</w:t>
            </w:r>
            <w:r>
              <w:rPr>
                <w:rFonts w:hint="eastAsia" w:cs="Times New Roman"/>
                <w:color w:val="FF0000"/>
                <w:szCs w:val="24"/>
                <w:highlight w:val="none"/>
                <w:shd w:val="clear" w:color="auto" w:fill="auto"/>
                <w:lang w:val="en-US" w:eastAsia="zh-CN" w:bidi="ar"/>
              </w:rPr>
              <w:t>m</w:t>
            </w:r>
            <w:r>
              <w:rPr>
                <w:rFonts w:hint="eastAsia" w:cs="Times New Roman"/>
                <w:color w:val="FF0000"/>
                <w:szCs w:val="24"/>
                <w:highlight w:val="none"/>
                <w:shd w:val="clear" w:color="auto" w:fill="auto"/>
                <w:vertAlign w:val="superscript"/>
                <w:lang w:val="en-US" w:eastAsia="zh-CN" w:bidi="ar"/>
              </w:rPr>
              <w:t>3</w:t>
            </w:r>
            <w:r>
              <w:rPr>
                <w:rFonts w:hint="eastAsia" w:cs="Times New Roman"/>
                <w:color w:val="FF0000"/>
                <w:szCs w:val="24"/>
                <w:highlight w:val="none"/>
                <w:shd w:val="clear" w:color="auto" w:fill="auto"/>
                <w:vertAlign w:val="baseline"/>
                <w:lang w:val="en-US" w:eastAsia="zh-CN" w:bidi="ar"/>
              </w:rPr>
              <w:t>/d）</w:t>
            </w:r>
            <w:r>
              <w:rPr>
                <w:rFonts w:hint="default" w:ascii="Times New Roman" w:hAnsi="Times New Roman" w:cs="Times New Roman"/>
                <w:color w:val="FF0000"/>
                <w:szCs w:val="24"/>
                <w:highlight w:val="none"/>
                <w:shd w:val="clear" w:color="auto" w:fill="auto"/>
                <w:lang w:val="en-US" w:eastAsia="zh-CN" w:bidi="ar"/>
              </w:rPr>
              <w:t>，冷却水循环回用，循环过程中</w:t>
            </w:r>
            <w:r>
              <w:rPr>
                <w:rFonts w:hint="eastAsia" w:cs="Times New Roman"/>
                <w:color w:val="FF0000"/>
                <w:szCs w:val="24"/>
                <w:highlight w:val="none"/>
                <w:shd w:val="clear" w:color="auto" w:fill="auto"/>
                <w:lang w:val="en-US" w:eastAsia="zh-CN" w:bidi="ar"/>
              </w:rPr>
              <w:t>，</w:t>
            </w:r>
            <w:r>
              <w:rPr>
                <w:rFonts w:hint="default" w:ascii="Times New Roman" w:hAnsi="Times New Roman" w:cs="Times New Roman"/>
                <w:color w:val="FF0000"/>
                <w:szCs w:val="24"/>
                <w:highlight w:val="none"/>
                <w:shd w:val="clear" w:color="auto" w:fill="auto"/>
                <w:lang w:val="en-US" w:eastAsia="zh-CN" w:bidi="ar"/>
              </w:rPr>
              <w:t>蒸发损耗量</w:t>
            </w:r>
            <w:r>
              <w:rPr>
                <w:rFonts w:hint="eastAsia" w:cs="Times New Roman"/>
                <w:color w:val="FF0000"/>
                <w:szCs w:val="24"/>
                <w:highlight w:val="none"/>
                <w:shd w:val="clear" w:color="auto" w:fill="auto"/>
                <w:lang w:val="en-US" w:eastAsia="zh-CN" w:bidi="ar"/>
              </w:rPr>
              <w:t>按0.5</w:t>
            </w:r>
            <w:r>
              <w:rPr>
                <w:rFonts w:hint="default" w:ascii="Times New Roman" w:hAnsi="Times New Roman" w:cs="Times New Roman"/>
                <w:color w:val="FF0000"/>
                <w:szCs w:val="24"/>
                <w:highlight w:val="none"/>
                <w:shd w:val="clear" w:color="auto" w:fill="auto"/>
                <w:lang w:val="en-US" w:eastAsia="zh-CN" w:bidi="ar"/>
              </w:rPr>
              <w:t>%</w:t>
            </w:r>
            <w:r>
              <w:rPr>
                <w:rFonts w:hint="eastAsia" w:cs="Times New Roman"/>
                <w:color w:val="FF0000"/>
                <w:szCs w:val="24"/>
                <w:highlight w:val="none"/>
                <w:shd w:val="clear" w:color="auto" w:fill="auto"/>
                <w:lang w:val="en-US" w:eastAsia="zh-CN" w:bidi="ar"/>
              </w:rPr>
              <w:t>计</w:t>
            </w:r>
            <w:r>
              <w:rPr>
                <w:rFonts w:hint="default" w:ascii="Times New Roman" w:hAnsi="Times New Roman" w:cs="Times New Roman"/>
                <w:color w:val="FF0000"/>
                <w:szCs w:val="24"/>
                <w:highlight w:val="none"/>
                <w:shd w:val="clear" w:color="auto" w:fill="auto"/>
                <w:lang w:val="en-US" w:eastAsia="zh-CN" w:bidi="ar"/>
              </w:rPr>
              <w:t>，</w:t>
            </w:r>
            <w:r>
              <w:rPr>
                <w:rFonts w:hint="eastAsia" w:cs="Times New Roman"/>
                <w:color w:val="FF0000"/>
                <w:szCs w:val="24"/>
                <w:highlight w:val="none"/>
                <w:shd w:val="clear" w:color="auto" w:fill="auto"/>
                <w:lang w:val="en-US" w:eastAsia="zh-CN" w:bidi="ar"/>
              </w:rPr>
              <w:t>则</w:t>
            </w:r>
            <w:r>
              <w:rPr>
                <w:rFonts w:hint="default" w:ascii="Times New Roman" w:hAnsi="Times New Roman" w:cs="Times New Roman"/>
                <w:color w:val="FF0000"/>
                <w:szCs w:val="24"/>
                <w:highlight w:val="none"/>
                <w:shd w:val="clear" w:color="auto" w:fill="auto"/>
                <w:lang w:val="en-US" w:eastAsia="zh-CN" w:bidi="ar"/>
              </w:rPr>
              <w:t>冷却水损耗量为</w:t>
            </w:r>
            <w:r>
              <w:rPr>
                <w:rFonts w:hint="eastAsia" w:cs="Times New Roman"/>
                <w:color w:val="FF0000"/>
                <w:szCs w:val="24"/>
                <w:highlight w:val="none"/>
                <w:shd w:val="clear" w:color="auto" w:fill="auto"/>
                <w:lang w:val="en-US" w:eastAsia="zh-CN" w:bidi="ar"/>
              </w:rPr>
              <w:t>232.5</w:t>
            </w:r>
            <w:r>
              <w:rPr>
                <w:rFonts w:hint="eastAsia" w:cs="Times New Roman" w:eastAsiaTheme="minorEastAsia"/>
                <w:color w:val="FF0000"/>
                <w:sz w:val="24"/>
                <w:szCs w:val="24"/>
                <w:highlight w:val="none"/>
                <w:lang w:val="en-US" w:eastAsia="zh-CN"/>
              </w:rPr>
              <w:t>m</w:t>
            </w:r>
            <w:r>
              <w:rPr>
                <w:rFonts w:hint="eastAsia" w:cs="Times New Roman" w:eastAsiaTheme="minorEastAsia"/>
                <w:color w:val="FF0000"/>
                <w:sz w:val="24"/>
                <w:szCs w:val="24"/>
                <w:highlight w:val="none"/>
                <w:vertAlign w:val="superscript"/>
                <w:lang w:val="en-US" w:eastAsia="zh-CN"/>
              </w:rPr>
              <w:t>3</w:t>
            </w:r>
            <w:r>
              <w:rPr>
                <w:rFonts w:hint="default" w:ascii="Times New Roman" w:hAnsi="Times New Roman" w:cs="Times New Roman"/>
                <w:color w:val="FF0000"/>
                <w:szCs w:val="24"/>
                <w:highlight w:val="none"/>
                <w:shd w:val="clear" w:color="auto" w:fill="auto"/>
                <w:lang w:val="en-US" w:eastAsia="zh-CN" w:bidi="ar"/>
              </w:rPr>
              <w:t>/a（</w:t>
            </w:r>
            <w:r>
              <w:rPr>
                <w:rFonts w:hint="eastAsia" w:cs="Times New Roman"/>
                <w:color w:val="FF0000"/>
                <w:szCs w:val="24"/>
                <w:highlight w:val="none"/>
                <w:shd w:val="clear" w:color="auto" w:fill="auto"/>
                <w:lang w:val="en-US" w:eastAsia="zh-CN" w:bidi="ar"/>
              </w:rPr>
              <w:t>0.75</w:t>
            </w:r>
            <w:r>
              <w:rPr>
                <w:rFonts w:hint="eastAsia" w:cs="Times New Roman" w:eastAsiaTheme="minorEastAsia"/>
                <w:color w:val="FF0000"/>
                <w:sz w:val="24"/>
                <w:szCs w:val="24"/>
                <w:highlight w:val="none"/>
                <w:lang w:val="en-US" w:eastAsia="zh-CN"/>
              </w:rPr>
              <w:t>m</w:t>
            </w:r>
            <w:r>
              <w:rPr>
                <w:rFonts w:hint="eastAsia" w:cs="Times New Roman" w:eastAsiaTheme="minorEastAsia"/>
                <w:color w:val="FF0000"/>
                <w:sz w:val="24"/>
                <w:szCs w:val="24"/>
                <w:highlight w:val="none"/>
                <w:vertAlign w:val="superscript"/>
                <w:lang w:val="en-US" w:eastAsia="zh-CN"/>
              </w:rPr>
              <w:t>3</w:t>
            </w:r>
            <w:r>
              <w:rPr>
                <w:rFonts w:hint="default" w:ascii="Times New Roman" w:hAnsi="Times New Roman" w:cs="Times New Roman"/>
                <w:color w:val="FF0000"/>
                <w:szCs w:val="24"/>
                <w:highlight w:val="none"/>
                <w:shd w:val="clear" w:color="auto" w:fill="auto"/>
                <w:lang w:val="en-US" w:eastAsia="zh-CN" w:bidi="ar"/>
              </w:rPr>
              <w:t>/d）。</w:t>
            </w:r>
          </w:p>
          <w:p w14:paraId="1A1045E4">
            <w:pPr>
              <w:pStyle w:val="7"/>
              <w:rPr>
                <w:rFonts w:hint="default"/>
                <w:color w:val="auto"/>
                <w:lang w:val="en-US" w:eastAsia="zh-CN"/>
              </w:rPr>
            </w:pPr>
            <w:r>
              <w:rPr>
                <w:rFonts w:hint="eastAsia"/>
                <w:color w:val="auto"/>
                <w:lang w:val="en-US" w:eastAsia="zh-CN"/>
              </w:rPr>
              <w:t>项目水量平衡详见图2-1，表2-6。</w:t>
            </w:r>
          </w:p>
          <w:p w14:paraId="5CBB337C">
            <w:pPr>
              <w:pStyle w:val="17"/>
              <w:spacing w:line="360" w:lineRule="auto"/>
              <w:jc w:val="center"/>
              <w:rPr>
                <w:rFonts w:hint="eastAsia" w:ascii="Times New Roman" w:hAnsi="Times New Roman" w:eastAsia="宋体"/>
                <w:color w:val="000000"/>
                <w:kern w:val="0"/>
                <w:sz w:val="24"/>
                <w:szCs w:val="24"/>
                <w:lang w:eastAsia="zh-CN" w:bidi="ar"/>
              </w:rPr>
            </w:pPr>
            <w:r>
              <w:rPr>
                <w:rFonts w:hint="eastAsia" w:ascii="Times New Roman" w:hAnsi="Times New Roman" w:eastAsia="宋体"/>
                <w:color w:val="000000"/>
                <w:kern w:val="0"/>
                <w:sz w:val="24"/>
                <w:szCs w:val="24"/>
                <w:lang w:eastAsia="zh-CN" w:bidi="ar"/>
              </w:rPr>
              <w:drawing>
                <wp:inline distT="0" distB="0" distL="114300" distR="114300">
                  <wp:extent cx="5344795" cy="3388995"/>
                  <wp:effectExtent l="0" t="0" r="8255" b="1905"/>
                  <wp:docPr id="3" name="图片 3" descr="f8189f3a1cfec04a8321a0bad7ba50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8189f3a1cfec04a8321a0bad7ba50d5"/>
                          <pic:cNvPicPr>
                            <a:picLocks noChangeAspect="1"/>
                          </pic:cNvPicPr>
                        </pic:nvPicPr>
                        <pic:blipFill>
                          <a:blip r:embed="rId13"/>
                          <a:stretch>
                            <a:fillRect/>
                          </a:stretch>
                        </pic:blipFill>
                        <pic:spPr>
                          <a:xfrm>
                            <a:off x="0" y="0"/>
                            <a:ext cx="5344795" cy="3388995"/>
                          </a:xfrm>
                          <a:prstGeom prst="rect">
                            <a:avLst/>
                          </a:prstGeom>
                        </pic:spPr>
                      </pic:pic>
                    </a:graphicData>
                  </a:graphic>
                </wp:inline>
              </w:drawing>
            </w:r>
          </w:p>
          <w:p w14:paraId="03D05A7F">
            <w:pPr>
              <w:pStyle w:val="17"/>
              <w:spacing w:line="360" w:lineRule="auto"/>
              <w:jc w:val="center"/>
              <w:rPr>
                <w:rFonts w:hint="eastAsia" w:hAnsi="宋体" w:cs="宋体"/>
                <w:b/>
                <w:bCs/>
                <w:color w:val="auto"/>
                <w:sz w:val="24"/>
                <w:szCs w:val="24"/>
              </w:rPr>
            </w:pPr>
            <w:r>
              <w:rPr>
                <w:rFonts w:hint="eastAsia"/>
                <w:b/>
                <w:bCs/>
                <w:color w:val="auto"/>
                <w:sz w:val="24"/>
                <w:szCs w:val="24"/>
              </w:rPr>
              <w:t>图</w:t>
            </w:r>
            <w:r>
              <w:rPr>
                <w:rFonts w:ascii="Times New Roman" w:hAnsi="Times New Roman"/>
                <w:b/>
                <w:bCs/>
                <w:color w:val="auto"/>
                <w:sz w:val="24"/>
                <w:szCs w:val="24"/>
              </w:rPr>
              <w:t>2-</w:t>
            </w:r>
            <w:r>
              <w:rPr>
                <w:rFonts w:hint="eastAsia" w:ascii="Times New Roman" w:hAnsi="Times New Roman"/>
                <w:b/>
                <w:bCs/>
                <w:color w:val="auto"/>
                <w:sz w:val="24"/>
                <w:szCs w:val="24"/>
              </w:rPr>
              <w:t xml:space="preserve">1  </w:t>
            </w:r>
            <w:r>
              <w:rPr>
                <w:rFonts w:hint="eastAsia" w:hAnsi="宋体" w:cs="宋体"/>
                <w:b/>
                <w:bCs/>
                <w:color w:val="auto"/>
                <w:sz w:val="24"/>
                <w:szCs w:val="24"/>
              </w:rPr>
              <w:t>项目水平衡图（</w:t>
            </w:r>
            <w:r>
              <w:rPr>
                <w:rFonts w:hint="default" w:ascii="Times New Roman" w:hAnsi="Times New Roman" w:cs="Times New Roman"/>
                <w:b/>
                <w:bCs/>
                <w:color w:val="auto"/>
                <w:sz w:val="24"/>
                <w:szCs w:val="24"/>
                <w:lang w:val="en-US" w:eastAsia="zh-CN"/>
              </w:rPr>
              <w:t>m</w:t>
            </w:r>
            <w:r>
              <w:rPr>
                <w:rFonts w:hint="default" w:ascii="Times New Roman" w:hAnsi="Times New Roman" w:cs="Times New Roman"/>
                <w:b/>
                <w:bCs/>
                <w:color w:val="auto"/>
                <w:sz w:val="24"/>
                <w:szCs w:val="24"/>
                <w:vertAlign w:val="superscript"/>
                <w:lang w:val="en-US" w:eastAsia="zh-CN"/>
              </w:rPr>
              <w:t>3</w:t>
            </w:r>
            <w:r>
              <w:rPr>
                <w:rFonts w:ascii="Times New Roman" w:hAnsi="Times New Roman"/>
                <w:b/>
                <w:bCs/>
                <w:color w:val="auto"/>
                <w:sz w:val="24"/>
                <w:szCs w:val="24"/>
              </w:rPr>
              <w:t>/</w:t>
            </w:r>
            <w:r>
              <w:rPr>
                <w:rFonts w:hint="eastAsia" w:ascii="Times New Roman" w:hAnsi="Times New Roman"/>
                <w:b/>
                <w:bCs/>
                <w:color w:val="auto"/>
                <w:sz w:val="24"/>
                <w:szCs w:val="24"/>
              </w:rPr>
              <w:t>d</w:t>
            </w:r>
            <w:r>
              <w:rPr>
                <w:rFonts w:hint="eastAsia" w:hAnsi="宋体" w:cs="宋体"/>
                <w:b/>
                <w:bCs/>
                <w:color w:val="auto"/>
                <w:sz w:val="24"/>
                <w:szCs w:val="24"/>
              </w:rPr>
              <w:t>）</w:t>
            </w:r>
          </w:p>
          <w:p w14:paraId="45466B0D">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firstLine="0" w:firstLineChars="0"/>
              <w:jc w:val="center"/>
              <w:textAlignment w:val="baseline"/>
              <w:rPr>
                <w:rFonts w:hint="eastAsia" w:ascii="Times New Roman" w:hAnsi="Times New Roman" w:cs="Times New Roman"/>
                <w:b/>
                <w:bCs/>
                <w:color w:val="auto"/>
                <w:sz w:val="24"/>
                <w:szCs w:val="24"/>
                <w:highlight w:val="none"/>
                <w:lang w:val="en-US" w:eastAsia="zh-CN"/>
              </w:rPr>
            </w:pPr>
            <w:r>
              <w:rPr>
                <w:rFonts w:hint="default" w:ascii="Times New Roman" w:hAnsi="Times New Roman" w:cs="Times New Roman"/>
                <w:b/>
                <w:bCs/>
                <w:color w:val="auto"/>
                <w:sz w:val="24"/>
                <w:szCs w:val="24"/>
                <w:highlight w:val="none"/>
                <w:lang w:val="en-US" w:eastAsia="zh-CN"/>
              </w:rPr>
              <w:t>表2-</w:t>
            </w:r>
            <w:r>
              <w:rPr>
                <w:rFonts w:hint="eastAsia" w:cs="Times New Roman"/>
                <w:b/>
                <w:bCs/>
                <w:color w:val="auto"/>
                <w:sz w:val="24"/>
                <w:szCs w:val="24"/>
                <w:highlight w:val="none"/>
                <w:lang w:val="en-US" w:eastAsia="zh-CN"/>
              </w:rPr>
              <w:t>6</w:t>
            </w:r>
            <w:r>
              <w:rPr>
                <w:rFonts w:hint="default" w:ascii="Times New Roman" w:hAnsi="Times New Roman" w:cs="Times New Roman"/>
                <w:b/>
                <w:bCs/>
                <w:color w:val="auto"/>
                <w:sz w:val="24"/>
                <w:szCs w:val="24"/>
                <w:highlight w:val="none"/>
                <w:lang w:val="en-US" w:eastAsia="zh-CN"/>
              </w:rPr>
              <w:t xml:space="preserve">  </w:t>
            </w:r>
            <w:r>
              <w:rPr>
                <w:rFonts w:hint="eastAsia" w:ascii="Times New Roman" w:hAnsi="Times New Roman" w:cs="Times New Roman"/>
                <w:b/>
                <w:bCs/>
                <w:color w:val="auto"/>
                <w:sz w:val="24"/>
                <w:szCs w:val="24"/>
                <w:highlight w:val="none"/>
                <w:lang w:val="en-US" w:eastAsia="zh-CN"/>
              </w:rPr>
              <w:t>项目水平衡</w:t>
            </w:r>
            <w:r>
              <w:rPr>
                <w:rFonts w:hint="default" w:ascii="Times New Roman" w:hAnsi="Times New Roman" w:cs="Times New Roman"/>
                <w:b/>
                <w:bCs/>
                <w:color w:val="auto"/>
                <w:sz w:val="24"/>
                <w:szCs w:val="24"/>
                <w:highlight w:val="none"/>
                <w:lang w:val="en-US" w:eastAsia="zh-CN"/>
              </w:rPr>
              <w:t>表</w:t>
            </w:r>
          </w:p>
          <w:tbl>
            <w:tblPr>
              <w:tblStyle w:val="2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6"/>
              <w:gridCol w:w="1033"/>
              <w:gridCol w:w="1000"/>
              <w:gridCol w:w="917"/>
              <w:gridCol w:w="766"/>
              <w:gridCol w:w="784"/>
              <w:gridCol w:w="816"/>
              <w:gridCol w:w="739"/>
              <w:gridCol w:w="751"/>
              <w:gridCol w:w="711"/>
            </w:tblGrid>
            <w:tr w14:paraId="0665F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344" w:type="pct"/>
                  <w:vMerge w:val="restart"/>
                  <w:shd w:val="clear" w:color="auto" w:fill="auto"/>
                  <w:vAlign w:val="center"/>
                </w:tcPr>
                <w:p w14:paraId="09CCEC53">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FF0000"/>
                      <w:kern w:val="0"/>
                      <w:sz w:val="21"/>
                      <w:szCs w:val="21"/>
                      <w:highlight w:val="none"/>
                      <w:vertAlign w:val="baseline"/>
                      <w:lang w:val="en-US" w:eastAsia="zh-CN" w:bidi="ar"/>
                    </w:rPr>
                  </w:pPr>
                  <w:r>
                    <w:rPr>
                      <w:rFonts w:hint="eastAsia" w:ascii="Times New Roman" w:hAnsi="Times New Roman" w:cs="Times New Roman"/>
                      <w:b w:val="0"/>
                      <w:bCs w:val="0"/>
                      <w:color w:val="FF0000"/>
                      <w:kern w:val="0"/>
                      <w:sz w:val="21"/>
                      <w:szCs w:val="21"/>
                      <w:highlight w:val="none"/>
                      <w:vertAlign w:val="baseline"/>
                      <w:lang w:val="en-US" w:eastAsia="zh-CN" w:bidi="ar"/>
                    </w:rPr>
                    <w:t>序号</w:t>
                  </w:r>
                </w:p>
              </w:tc>
              <w:tc>
                <w:tcPr>
                  <w:tcW w:w="639" w:type="pct"/>
                  <w:vMerge w:val="restart"/>
                  <w:vAlign w:val="center"/>
                </w:tcPr>
                <w:p w14:paraId="20A8D7BC">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b w:val="0"/>
                      <w:bCs w:val="0"/>
                      <w:color w:val="FF0000"/>
                      <w:sz w:val="21"/>
                      <w:szCs w:val="21"/>
                      <w:vertAlign w:val="baseline"/>
                    </w:rPr>
                  </w:pPr>
                  <w:r>
                    <w:rPr>
                      <w:rFonts w:hint="eastAsia"/>
                      <w:b w:val="0"/>
                      <w:bCs w:val="0"/>
                      <w:color w:val="FF0000"/>
                      <w:sz w:val="21"/>
                      <w:szCs w:val="21"/>
                      <w:vertAlign w:val="baseline"/>
                    </w:rPr>
                    <w:t>用水设备名称</w:t>
                  </w:r>
                </w:p>
              </w:tc>
              <w:tc>
                <w:tcPr>
                  <w:tcW w:w="619" w:type="pct"/>
                  <w:vMerge w:val="restart"/>
                  <w:vAlign w:val="center"/>
                </w:tcPr>
                <w:p w14:paraId="3EE9C1ED">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eastAsia" w:eastAsia="宋体"/>
                      <w:b w:val="0"/>
                      <w:bCs w:val="0"/>
                      <w:color w:val="FF0000"/>
                      <w:sz w:val="21"/>
                      <w:szCs w:val="21"/>
                      <w:vertAlign w:val="baseline"/>
                      <w:lang w:eastAsia="zh-CN"/>
                    </w:rPr>
                  </w:pPr>
                  <w:r>
                    <w:rPr>
                      <w:rFonts w:hint="eastAsia"/>
                      <w:b w:val="0"/>
                      <w:bCs w:val="0"/>
                      <w:color w:val="FF0000"/>
                      <w:sz w:val="21"/>
                      <w:szCs w:val="21"/>
                      <w:vertAlign w:val="baseline"/>
                    </w:rPr>
                    <w:t>总用水量</w:t>
                  </w:r>
                  <w:r>
                    <w:rPr>
                      <w:rFonts w:hint="eastAsia"/>
                      <w:b w:val="0"/>
                      <w:bCs w:val="0"/>
                      <w:color w:val="FF0000"/>
                      <w:sz w:val="21"/>
                      <w:szCs w:val="21"/>
                      <w:vertAlign w:val="baseline"/>
                      <w:lang w:eastAsia="zh-CN"/>
                    </w:rPr>
                    <w:t>（</w:t>
                  </w:r>
                  <w:r>
                    <w:rPr>
                      <w:rFonts w:hint="eastAsia"/>
                      <w:b w:val="0"/>
                      <w:bCs w:val="0"/>
                      <w:color w:val="FF0000"/>
                      <w:sz w:val="21"/>
                      <w:szCs w:val="21"/>
                      <w:vertAlign w:val="baseline"/>
                      <w:lang w:val="en-US" w:eastAsia="zh-CN"/>
                    </w:rPr>
                    <w:t>m</w:t>
                  </w:r>
                  <w:r>
                    <w:rPr>
                      <w:rFonts w:hint="eastAsia"/>
                      <w:b w:val="0"/>
                      <w:bCs w:val="0"/>
                      <w:color w:val="FF0000"/>
                      <w:sz w:val="21"/>
                      <w:szCs w:val="21"/>
                      <w:vertAlign w:val="superscript"/>
                      <w:lang w:val="en-US" w:eastAsia="zh-CN"/>
                    </w:rPr>
                    <w:t>3</w:t>
                  </w:r>
                  <w:r>
                    <w:rPr>
                      <w:rFonts w:hint="eastAsia"/>
                      <w:b w:val="0"/>
                      <w:bCs w:val="0"/>
                      <w:color w:val="FF0000"/>
                      <w:sz w:val="21"/>
                      <w:szCs w:val="21"/>
                      <w:vertAlign w:val="baseline"/>
                      <w:lang w:val="en-US" w:eastAsia="zh-CN"/>
                    </w:rPr>
                    <w:t>/d</w:t>
                  </w:r>
                  <w:r>
                    <w:rPr>
                      <w:rFonts w:hint="eastAsia"/>
                      <w:b w:val="0"/>
                      <w:bCs w:val="0"/>
                      <w:color w:val="FF0000"/>
                      <w:sz w:val="21"/>
                      <w:szCs w:val="21"/>
                      <w:vertAlign w:val="baseline"/>
                      <w:lang w:eastAsia="zh-CN"/>
                    </w:rPr>
                    <w:t>）</w:t>
                  </w:r>
                </w:p>
              </w:tc>
              <w:tc>
                <w:tcPr>
                  <w:tcW w:w="567" w:type="pct"/>
                  <w:vMerge w:val="restart"/>
                  <w:vAlign w:val="center"/>
                </w:tcPr>
                <w:p w14:paraId="32FC212D">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b w:val="0"/>
                      <w:bCs w:val="0"/>
                      <w:color w:val="FF0000"/>
                      <w:sz w:val="21"/>
                      <w:szCs w:val="21"/>
                      <w:vertAlign w:val="baseline"/>
                    </w:rPr>
                  </w:pPr>
                  <w:r>
                    <w:rPr>
                      <w:rFonts w:hint="eastAsia"/>
                      <w:b w:val="0"/>
                      <w:bCs w:val="0"/>
                      <w:color w:val="FF0000"/>
                      <w:sz w:val="21"/>
                      <w:szCs w:val="21"/>
                      <w:vertAlign w:val="baseline"/>
                    </w:rPr>
                    <w:t>水质</w:t>
                  </w:r>
                </w:p>
              </w:tc>
              <w:tc>
                <w:tcPr>
                  <w:tcW w:w="959" w:type="pct"/>
                  <w:gridSpan w:val="2"/>
                  <w:vAlign w:val="center"/>
                </w:tcPr>
                <w:p w14:paraId="71463A04">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eastAsia"/>
                      <w:b w:val="0"/>
                      <w:bCs w:val="0"/>
                      <w:color w:val="FF0000"/>
                      <w:sz w:val="21"/>
                      <w:szCs w:val="21"/>
                      <w:vertAlign w:val="baseline"/>
                      <w:lang w:val="en-US" w:eastAsia="zh-CN"/>
                    </w:rPr>
                  </w:pPr>
                  <w:r>
                    <w:rPr>
                      <w:rFonts w:hint="eastAsia"/>
                      <w:b w:val="0"/>
                      <w:bCs w:val="0"/>
                      <w:color w:val="FF0000"/>
                      <w:sz w:val="21"/>
                      <w:szCs w:val="21"/>
                      <w:vertAlign w:val="baseline"/>
                      <w:lang w:val="en-US" w:eastAsia="zh-CN"/>
                    </w:rPr>
                    <w:t>给水量（m</w:t>
                  </w:r>
                  <w:r>
                    <w:rPr>
                      <w:rFonts w:hint="eastAsia"/>
                      <w:b w:val="0"/>
                      <w:bCs w:val="0"/>
                      <w:color w:val="FF0000"/>
                      <w:sz w:val="21"/>
                      <w:szCs w:val="21"/>
                      <w:vertAlign w:val="superscript"/>
                      <w:lang w:val="en-US" w:eastAsia="zh-CN"/>
                    </w:rPr>
                    <w:t>3</w:t>
                  </w:r>
                  <w:r>
                    <w:rPr>
                      <w:rFonts w:hint="eastAsia"/>
                      <w:b w:val="0"/>
                      <w:bCs w:val="0"/>
                      <w:color w:val="FF0000"/>
                      <w:sz w:val="21"/>
                      <w:szCs w:val="21"/>
                      <w:vertAlign w:val="baseline"/>
                      <w:lang w:val="en-US" w:eastAsia="zh-CN"/>
                    </w:rPr>
                    <w:t>/d）</w:t>
                  </w:r>
                </w:p>
              </w:tc>
              <w:tc>
                <w:tcPr>
                  <w:tcW w:w="1868" w:type="pct"/>
                  <w:gridSpan w:val="4"/>
                  <w:vAlign w:val="center"/>
                </w:tcPr>
                <w:p w14:paraId="507E1CF3">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eastAsia"/>
                      <w:b w:val="0"/>
                      <w:bCs w:val="0"/>
                      <w:color w:val="FF0000"/>
                      <w:sz w:val="21"/>
                      <w:szCs w:val="21"/>
                      <w:vertAlign w:val="baseline"/>
                      <w:lang w:val="en-US" w:eastAsia="zh-CN"/>
                    </w:rPr>
                  </w:pPr>
                  <w:r>
                    <w:rPr>
                      <w:rFonts w:hint="eastAsia"/>
                      <w:b w:val="0"/>
                      <w:bCs w:val="0"/>
                      <w:color w:val="FF0000"/>
                      <w:sz w:val="21"/>
                      <w:szCs w:val="21"/>
                      <w:vertAlign w:val="baseline"/>
                      <w:lang w:val="en-US" w:eastAsia="zh-CN"/>
                    </w:rPr>
                    <w:t>排水量（m</w:t>
                  </w:r>
                  <w:r>
                    <w:rPr>
                      <w:rFonts w:hint="eastAsia"/>
                      <w:b w:val="0"/>
                      <w:bCs w:val="0"/>
                      <w:color w:val="FF0000"/>
                      <w:sz w:val="21"/>
                      <w:szCs w:val="21"/>
                      <w:vertAlign w:val="superscript"/>
                      <w:lang w:val="en-US" w:eastAsia="zh-CN"/>
                    </w:rPr>
                    <w:t>3</w:t>
                  </w:r>
                  <w:r>
                    <w:rPr>
                      <w:rFonts w:hint="eastAsia"/>
                      <w:b w:val="0"/>
                      <w:bCs w:val="0"/>
                      <w:color w:val="FF0000"/>
                      <w:sz w:val="21"/>
                      <w:szCs w:val="21"/>
                      <w:vertAlign w:val="baseline"/>
                      <w:lang w:val="en-US" w:eastAsia="zh-CN"/>
                    </w:rPr>
                    <w:t>/d）</w:t>
                  </w:r>
                </w:p>
              </w:tc>
            </w:tr>
            <w:tr w14:paraId="415D5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344" w:type="pct"/>
                  <w:vMerge w:val="continue"/>
                  <w:shd w:val="clear" w:color="auto" w:fill="auto"/>
                  <w:vAlign w:val="center"/>
                </w:tcPr>
                <w:p w14:paraId="5FE0E8D5">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color w:val="FF0000"/>
                    </w:rPr>
                  </w:pPr>
                </w:p>
              </w:tc>
              <w:tc>
                <w:tcPr>
                  <w:tcW w:w="639" w:type="pct"/>
                  <w:vMerge w:val="continue"/>
                  <w:vAlign w:val="center"/>
                </w:tcPr>
                <w:p w14:paraId="6F76708E">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color w:val="FF0000"/>
                    </w:rPr>
                  </w:pPr>
                </w:p>
              </w:tc>
              <w:tc>
                <w:tcPr>
                  <w:tcW w:w="619" w:type="pct"/>
                  <w:vMerge w:val="continue"/>
                  <w:vAlign w:val="center"/>
                </w:tcPr>
                <w:p w14:paraId="1B524B1B">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color w:val="FF0000"/>
                    </w:rPr>
                  </w:pPr>
                </w:p>
              </w:tc>
              <w:tc>
                <w:tcPr>
                  <w:tcW w:w="567" w:type="pct"/>
                  <w:vMerge w:val="continue"/>
                  <w:vAlign w:val="center"/>
                </w:tcPr>
                <w:p w14:paraId="688B5EA6">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color w:val="FF0000"/>
                    </w:rPr>
                  </w:pPr>
                </w:p>
              </w:tc>
              <w:tc>
                <w:tcPr>
                  <w:tcW w:w="474" w:type="pct"/>
                  <w:vAlign w:val="center"/>
                </w:tcPr>
                <w:p w14:paraId="64A6AADF">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eastAsia"/>
                      <w:b w:val="0"/>
                      <w:bCs w:val="0"/>
                      <w:color w:val="FF0000"/>
                      <w:sz w:val="21"/>
                      <w:szCs w:val="21"/>
                      <w:vertAlign w:val="baseline"/>
                      <w:lang w:val="en-US" w:eastAsia="zh-CN"/>
                    </w:rPr>
                  </w:pPr>
                  <w:r>
                    <w:rPr>
                      <w:rFonts w:hint="eastAsia"/>
                      <w:b w:val="0"/>
                      <w:bCs w:val="0"/>
                      <w:color w:val="FF0000"/>
                      <w:sz w:val="21"/>
                      <w:szCs w:val="21"/>
                      <w:vertAlign w:val="baseline"/>
                      <w:lang w:val="en-US" w:eastAsia="zh-CN"/>
                    </w:rPr>
                    <w:t>新水</w:t>
                  </w:r>
                </w:p>
              </w:tc>
              <w:tc>
                <w:tcPr>
                  <w:tcW w:w="485" w:type="pct"/>
                  <w:vAlign w:val="center"/>
                </w:tcPr>
                <w:p w14:paraId="1297EF5F">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eastAsia"/>
                      <w:b w:val="0"/>
                      <w:bCs w:val="0"/>
                      <w:color w:val="FF0000"/>
                      <w:sz w:val="21"/>
                      <w:szCs w:val="21"/>
                      <w:vertAlign w:val="baseline"/>
                      <w:lang w:val="en-US" w:eastAsia="zh-CN"/>
                    </w:rPr>
                  </w:pPr>
                  <w:r>
                    <w:rPr>
                      <w:rFonts w:hint="eastAsia"/>
                      <w:b w:val="0"/>
                      <w:bCs w:val="0"/>
                      <w:color w:val="FF0000"/>
                      <w:sz w:val="21"/>
                      <w:szCs w:val="21"/>
                      <w:vertAlign w:val="baseline"/>
                      <w:lang w:val="en-US" w:eastAsia="zh-CN"/>
                    </w:rPr>
                    <w:t>软水</w:t>
                  </w:r>
                </w:p>
              </w:tc>
              <w:tc>
                <w:tcPr>
                  <w:tcW w:w="505" w:type="pct"/>
                  <w:vAlign w:val="center"/>
                </w:tcPr>
                <w:p w14:paraId="347FEF2A">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b w:val="0"/>
                      <w:bCs w:val="0"/>
                      <w:color w:val="FF0000"/>
                      <w:sz w:val="21"/>
                      <w:szCs w:val="21"/>
                      <w:vertAlign w:val="baseline"/>
                      <w:lang w:val="en-US" w:eastAsia="zh-CN"/>
                    </w:rPr>
                  </w:pPr>
                  <w:r>
                    <w:rPr>
                      <w:rFonts w:hint="eastAsia"/>
                      <w:b w:val="0"/>
                      <w:bCs w:val="0"/>
                      <w:color w:val="FF0000"/>
                      <w:sz w:val="21"/>
                      <w:szCs w:val="21"/>
                      <w:vertAlign w:val="baseline"/>
                      <w:lang w:val="en-US" w:eastAsia="zh-CN"/>
                    </w:rPr>
                    <w:t>树脂再生废水</w:t>
                  </w:r>
                </w:p>
              </w:tc>
              <w:tc>
                <w:tcPr>
                  <w:tcW w:w="457" w:type="pct"/>
                  <w:vAlign w:val="center"/>
                </w:tcPr>
                <w:p w14:paraId="2020BA7B">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eastAsia"/>
                      <w:b w:val="0"/>
                      <w:bCs w:val="0"/>
                      <w:color w:val="FF0000"/>
                      <w:sz w:val="21"/>
                      <w:szCs w:val="21"/>
                      <w:vertAlign w:val="baseline"/>
                      <w:lang w:val="en-US" w:eastAsia="zh-CN"/>
                    </w:rPr>
                  </w:pPr>
                  <w:r>
                    <w:rPr>
                      <w:rFonts w:hint="eastAsia"/>
                      <w:b w:val="0"/>
                      <w:bCs w:val="0"/>
                      <w:color w:val="FF0000"/>
                      <w:sz w:val="21"/>
                      <w:szCs w:val="21"/>
                      <w:vertAlign w:val="baseline"/>
                      <w:lang w:val="en-US" w:eastAsia="zh-CN"/>
                    </w:rPr>
                    <w:t>管道蒸汽损失水</w:t>
                  </w:r>
                </w:p>
              </w:tc>
              <w:tc>
                <w:tcPr>
                  <w:tcW w:w="465" w:type="pct"/>
                  <w:vAlign w:val="center"/>
                </w:tcPr>
                <w:p w14:paraId="4CFFA126">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b w:val="0"/>
                      <w:bCs w:val="0"/>
                      <w:color w:val="FF0000"/>
                      <w:sz w:val="21"/>
                      <w:szCs w:val="21"/>
                      <w:vertAlign w:val="baseline"/>
                      <w:lang w:val="en-US" w:eastAsia="zh-CN"/>
                    </w:rPr>
                  </w:pPr>
                  <w:r>
                    <w:rPr>
                      <w:rFonts w:hint="eastAsia"/>
                      <w:b w:val="0"/>
                      <w:bCs w:val="0"/>
                      <w:color w:val="FF0000"/>
                      <w:sz w:val="21"/>
                      <w:szCs w:val="21"/>
                      <w:vertAlign w:val="baseline"/>
                      <w:lang w:val="en-US" w:eastAsia="zh-CN"/>
                    </w:rPr>
                    <w:t>生产损失水</w:t>
                  </w:r>
                </w:p>
              </w:tc>
              <w:tc>
                <w:tcPr>
                  <w:tcW w:w="440" w:type="pct"/>
                  <w:vAlign w:val="center"/>
                </w:tcPr>
                <w:p w14:paraId="78839A85">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b w:val="0"/>
                      <w:bCs w:val="0"/>
                      <w:color w:val="FF0000"/>
                      <w:sz w:val="21"/>
                      <w:szCs w:val="21"/>
                      <w:vertAlign w:val="baseline"/>
                      <w:lang w:val="en-US" w:eastAsia="zh-CN"/>
                    </w:rPr>
                  </w:pPr>
                  <w:r>
                    <w:rPr>
                      <w:rFonts w:hint="eastAsia"/>
                      <w:b w:val="0"/>
                      <w:bCs w:val="0"/>
                      <w:color w:val="FF0000"/>
                      <w:sz w:val="21"/>
                      <w:szCs w:val="21"/>
                      <w:vertAlign w:val="baseline"/>
                      <w:lang w:val="en-US" w:eastAsia="zh-CN"/>
                    </w:rPr>
                    <w:t>锅炉自用水</w:t>
                  </w:r>
                </w:p>
              </w:tc>
            </w:tr>
            <w:tr w14:paraId="73077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4" w:type="pct"/>
                  <w:vAlign w:val="center"/>
                </w:tcPr>
                <w:p w14:paraId="27060148">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eastAsia" w:eastAsia="宋体"/>
                      <w:b w:val="0"/>
                      <w:bCs w:val="0"/>
                      <w:color w:val="FF0000"/>
                      <w:sz w:val="21"/>
                      <w:szCs w:val="21"/>
                      <w:vertAlign w:val="baseline"/>
                      <w:lang w:val="en-US" w:eastAsia="zh-CN"/>
                    </w:rPr>
                  </w:pPr>
                  <w:r>
                    <w:rPr>
                      <w:rFonts w:hint="eastAsia"/>
                      <w:b w:val="0"/>
                      <w:bCs w:val="0"/>
                      <w:color w:val="FF0000"/>
                      <w:sz w:val="21"/>
                      <w:szCs w:val="21"/>
                      <w:vertAlign w:val="baseline"/>
                      <w:lang w:val="en-US" w:eastAsia="zh-CN"/>
                    </w:rPr>
                    <w:t>1</w:t>
                  </w:r>
                </w:p>
              </w:tc>
              <w:tc>
                <w:tcPr>
                  <w:tcW w:w="639" w:type="pct"/>
                  <w:vAlign w:val="center"/>
                </w:tcPr>
                <w:p w14:paraId="55698F69">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eastAsia="宋体"/>
                      <w:b w:val="0"/>
                      <w:bCs w:val="0"/>
                      <w:color w:val="FF0000"/>
                      <w:sz w:val="21"/>
                      <w:szCs w:val="21"/>
                      <w:vertAlign w:val="baseline"/>
                      <w:lang w:val="en-US" w:eastAsia="zh-CN"/>
                    </w:rPr>
                  </w:pPr>
                  <w:r>
                    <w:rPr>
                      <w:rFonts w:hint="eastAsia"/>
                      <w:b w:val="0"/>
                      <w:bCs w:val="0"/>
                      <w:color w:val="FF0000"/>
                      <w:sz w:val="21"/>
                      <w:szCs w:val="21"/>
                      <w:vertAlign w:val="baseline"/>
                      <w:lang w:val="en-US" w:eastAsia="zh-CN"/>
                    </w:rPr>
                    <w:t>软水制备系统</w:t>
                  </w:r>
                </w:p>
              </w:tc>
              <w:tc>
                <w:tcPr>
                  <w:tcW w:w="619" w:type="pct"/>
                  <w:vAlign w:val="center"/>
                </w:tcPr>
                <w:p w14:paraId="40AECEE1">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eastAsia="宋体"/>
                      <w:b w:val="0"/>
                      <w:bCs w:val="0"/>
                      <w:color w:val="FF0000"/>
                      <w:sz w:val="21"/>
                      <w:szCs w:val="21"/>
                      <w:vertAlign w:val="baseline"/>
                      <w:lang w:val="en-US" w:eastAsia="zh-CN"/>
                    </w:rPr>
                  </w:pPr>
                  <w:r>
                    <w:rPr>
                      <w:rFonts w:hint="eastAsia"/>
                      <w:b w:val="0"/>
                      <w:bCs w:val="0"/>
                      <w:color w:val="FF0000"/>
                      <w:sz w:val="21"/>
                      <w:szCs w:val="21"/>
                      <w:vertAlign w:val="baseline"/>
                      <w:lang w:val="en-US" w:eastAsia="zh-CN"/>
                    </w:rPr>
                    <w:t>85</w:t>
                  </w:r>
                </w:p>
              </w:tc>
              <w:tc>
                <w:tcPr>
                  <w:tcW w:w="567" w:type="pct"/>
                  <w:vAlign w:val="center"/>
                </w:tcPr>
                <w:p w14:paraId="5FDD7F19">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eastAsia="宋体"/>
                      <w:b w:val="0"/>
                      <w:bCs w:val="0"/>
                      <w:color w:val="FF0000"/>
                      <w:sz w:val="21"/>
                      <w:szCs w:val="21"/>
                      <w:vertAlign w:val="baseline"/>
                      <w:lang w:val="en-US" w:eastAsia="zh-CN"/>
                    </w:rPr>
                  </w:pPr>
                  <w:r>
                    <w:rPr>
                      <w:rFonts w:hint="eastAsia"/>
                      <w:b w:val="0"/>
                      <w:bCs w:val="0"/>
                      <w:color w:val="FF0000"/>
                      <w:sz w:val="21"/>
                      <w:szCs w:val="21"/>
                      <w:vertAlign w:val="baseline"/>
                      <w:lang w:val="en-US" w:eastAsia="zh-CN"/>
                    </w:rPr>
                    <w:t>新鲜水</w:t>
                  </w:r>
                </w:p>
              </w:tc>
              <w:tc>
                <w:tcPr>
                  <w:tcW w:w="474" w:type="pct"/>
                  <w:shd w:val="clear" w:color="auto" w:fill="auto"/>
                  <w:vAlign w:val="center"/>
                </w:tcPr>
                <w:p w14:paraId="6C7D2002">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ascii="Times New Roman" w:hAnsi="Times New Roman" w:eastAsia="宋体" w:cs="Times New Roman"/>
                      <w:b w:val="0"/>
                      <w:bCs w:val="0"/>
                      <w:color w:val="FF0000"/>
                      <w:kern w:val="0"/>
                      <w:sz w:val="21"/>
                      <w:szCs w:val="21"/>
                      <w:vertAlign w:val="baseline"/>
                      <w:lang w:val="en-US" w:eastAsia="zh-CN" w:bidi="ar-SA"/>
                    </w:rPr>
                  </w:pPr>
                  <w:r>
                    <w:rPr>
                      <w:rFonts w:hint="eastAsia"/>
                      <w:b w:val="0"/>
                      <w:bCs w:val="0"/>
                      <w:color w:val="FF0000"/>
                      <w:sz w:val="21"/>
                      <w:szCs w:val="21"/>
                      <w:vertAlign w:val="baseline"/>
                      <w:lang w:val="en-US" w:eastAsia="zh-CN"/>
                    </w:rPr>
                    <w:t>85</w:t>
                  </w:r>
                </w:p>
              </w:tc>
              <w:tc>
                <w:tcPr>
                  <w:tcW w:w="485" w:type="pct"/>
                  <w:vAlign w:val="center"/>
                </w:tcPr>
                <w:p w14:paraId="433B48D0">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eastAsia" w:eastAsia="宋体"/>
                      <w:b w:val="0"/>
                      <w:bCs w:val="0"/>
                      <w:color w:val="FF0000"/>
                      <w:sz w:val="21"/>
                      <w:szCs w:val="21"/>
                      <w:vertAlign w:val="baseline"/>
                      <w:lang w:val="en-US" w:eastAsia="zh-CN"/>
                    </w:rPr>
                  </w:pPr>
                  <w:r>
                    <w:rPr>
                      <w:rFonts w:hint="eastAsia"/>
                      <w:b w:val="0"/>
                      <w:bCs w:val="0"/>
                      <w:color w:val="FF0000"/>
                      <w:sz w:val="21"/>
                      <w:szCs w:val="21"/>
                      <w:vertAlign w:val="baseline"/>
                      <w:lang w:val="en-US" w:eastAsia="zh-CN"/>
                    </w:rPr>
                    <w:t>0</w:t>
                  </w:r>
                </w:p>
              </w:tc>
              <w:tc>
                <w:tcPr>
                  <w:tcW w:w="505" w:type="pct"/>
                  <w:vAlign w:val="center"/>
                </w:tcPr>
                <w:p w14:paraId="7688778D">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eastAsia="宋体"/>
                      <w:b/>
                      <w:bCs/>
                      <w:color w:val="FF0000"/>
                      <w:sz w:val="21"/>
                      <w:szCs w:val="21"/>
                      <w:vertAlign w:val="baseline"/>
                      <w:lang w:val="en-US" w:eastAsia="zh-CN"/>
                    </w:rPr>
                  </w:pPr>
                  <w:r>
                    <w:rPr>
                      <w:rFonts w:hint="eastAsia"/>
                      <w:b w:val="0"/>
                      <w:bCs w:val="0"/>
                      <w:color w:val="FF0000"/>
                      <w:sz w:val="21"/>
                      <w:szCs w:val="21"/>
                      <w:vertAlign w:val="baseline"/>
                      <w:lang w:val="en-US" w:eastAsia="zh-CN"/>
                    </w:rPr>
                    <w:t>8.5</w:t>
                  </w:r>
                </w:p>
              </w:tc>
              <w:tc>
                <w:tcPr>
                  <w:tcW w:w="457" w:type="pct"/>
                  <w:vAlign w:val="center"/>
                </w:tcPr>
                <w:p w14:paraId="3AB54C28">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eastAsia="宋体"/>
                      <w:b w:val="0"/>
                      <w:bCs w:val="0"/>
                      <w:color w:val="FF0000"/>
                      <w:sz w:val="21"/>
                      <w:szCs w:val="21"/>
                      <w:vertAlign w:val="baseline"/>
                      <w:lang w:val="en-US" w:eastAsia="zh-CN"/>
                    </w:rPr>
                  </w:pPr>
                  <w:r>
                    <w:rPr>
                      <w:rFonts w:hint="eastAsia"/>
                      <w:b w:val="0"/>
                      <w:bCs w:val="0"/>
                      <w:color w:val="FF0000"/>
                      <w:sz w:val="21"/>
                      <w:szCs w:val="21"/>
                      <w:vertAlign w:val="baseline"/>
                      <w:lang w:val="en-US" w:eastAsia="zh-CN"/>
                    </w:rPr>
                    <w:t>3.825</w:t>
                  </w:r>
                </w:p>
              </w:tc>
              <w:tc>
                <w:tcPr>
                  <w:tcW w:w="751" w:type="dxa"/>
                  <w:shd w:val="clear" w:color="auto" w:fill="auto"/>
                  <w:vAlign w:val="center"/>
                </w:tcPr>
                <w:p w14:paraId="6E9CD96C">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FF0000"/>
                      <w:kern w:val="0"/>
                      <w:sz w:val="21"/>
                      <w:szCs w:val="21"/>
                      <w:vertAlign w:val="baseline"/>
                      <w:lang w:val="en-US" w:eastAsia="zh-CN" w:bidi="ar-SA"/>
                    </w:rPr>
                  </w:pPr>
                  <w:r>
                    <w:rPr>
                      <w:rFonts w:hint="eastAsia" w:cs="Times New Roman"/>
                      <w:b w:val="0"/>
                      <w:bCs w:val="0"/>
                      <w:color w:val="FF0000"/>
                      <w:kern w:val="0"/>
                      <w:sz w:val="21"/>
                      <w:szCs w:val="21"/>
                      <w:vertAlign w:val="baseline"/>
                      <w:lang w:val="en-US" w:eastAsia="zh-CN" w:bidi="ar-SA"/>
                    </w:rPr>
                    <w:t>71.145</w:t>
                  </w:r>
                </w:p>
              </w:tc>
              <w:tc>
                <w:tcPr>
                  <w:tcW w:w="440" w:type="pct"/>
                  <w:shd w:val="clear" w:color="auto" w:fill="auto"/>
                  <w:vAlign w:val="center"/>
                </w:tcPr>
                <w:p w14:paraId="4709B0F4">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cs="Times New Roman"/>
                      <w:b w:val="0"/>
                      <w:bCs w:val="0"/>
                      <w:color w:val="FF0000"/>
                      <w:kern w:val="0"/>
                      <w:sz w:val="21"/>
                      <w:szCs w:val="21"/>
                      <w:vertAlign w:val="baseline"/>
                      <w:lang w:val="en-US" w:eastAsia="zh-CN" w:bidi="ar-SA"/>
                    </w:rPr>
                  </w:pPr>
                  <w:r>
                    <w:rPr>
                      <w:rFonts w:hint="eastAsia" w:cs="Times New Roman"/>
                      <w:b w:val="0"/>
                      <w:bCs w:val="0"/>
                      <w:color w:val="FF0000"/>
                      <w:kern w:val="0"/>
                      <w:sz w:val="21"/>
                      <w:szCs w:val="21"/>
                      <w:vertAlign w:val="baseline"/>
                      <w:lang w:val="en-US" w:eastAsia="zh-CN" w:bidi="ar-SA"/>
                    </w:rPr>
                    <w:t>1.53</w:t>
                  </w:r>
                </w:p>
              </w:tc>
            </w:tr>
            <w:tr w14:paraId="36CFFF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4" w:type="pct"/>
                  <w:vAlign w:val="center"/>
                </w:tcPr>
                <w:p w14:paraId="4423B83D">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eastAsia" w:eastAsia="宋体"/>
                      <w:b w:val="0"/>
                      <w:bCs w:val="0"/>
                      <w:color w:val="FF0000"/>
                      <w:sz w:val="21"/>
                      <w:szCs w:val="21"/>
                      <w:vertAlign w:val="baseline"/>
                      <w:lang w:val="en-US" w:eastAsia="zh-CN"/>
                    </w:rPr>
                  </w:pPr>
                  <w:r>
                    <w:rPr>
                      <w:rFonts w:hint="eastAsia"/>
                      <w:b w:val="0"/>
                      <w:bCs w:val="0"/>
                      <w:color w:val="FF0000"/>
                      <w:sz w:val="21"/>
                      <w:szCs w:val="21"/>
                      <w:vertAlign w:val="baseline"/>
                      <w:lang w:val="en-US" w:eastAsia="zh-CN"/>
                    </w:rPr>
                    <w:t>2</w:t>
                  </w:r>
                </w:p>
              </w:tc>
              <w:tc>
                <w:tcPr>
                  <w:tcW w:w="639" w:type="pct"/>
                  <w:vAlign w:val="center"/>
                </w:tcPr>
                <w:p w14:paraId="783470CE">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eastAsia="宋体"/>
                      <w:b w:val="0"/>
                      <w:bCs w:val="0"/>
                      <w:color w:val="FF0000"/>
                      <w:sz w:val="21"/>
                      <w:szCs w:val="21"/>
                      <w:vertAlign w:val="baseline"/>
                      <w:lang w:val="en-US" w:eastAsia="zh-CN"/>
                    </w:rPr>
                  </w:pPr>
                  <w:r>
                    <w:rPr>
                      <w:rFonts w:hint="eastAsia"/>
                      <w:b w:val="0"/>
                      <w:bCs w:val="0"/>
                      <w:color w:val="FF0000"/>
                      <w:sz w:val="21"/>
                      <w:szCs w:val="21"/>
                      <w:vertAlign w:val="baseline"/>
                      <w:lang w:val="en-US" w:eastAsia="zh-CN"/>
                    </w:rPr>
                    <w:t>生物质锅炉</w:t>
                  </w:r>
                </w:p>
              </w:tc>
              <w:tc>
                <w:tcPr>
                  <w:tcW w:w="619" w:type="pct"/>
                  <w:vAlign w:val="center"/>
                </w:tcPr>
                <w:p w14:paraId="78490FF4">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b w:val="0"/>
                      <w:bCs w:val="0"/>
                      <w:color w:val="FF0000"/>
                      <w:sz w:val="21"/>
                      <w:szCs w:val="21"/>
                      <w:vertAlign w:val="baseline"/>
                      <w:lang w:val="en-US"/>
                    </w:rPr>
                  </w:pPr>
                  <w:r>
                    <w:rPr>
                      <w:rFonts w:hint="eastAsia"/>
                      <w:color w:val="FF0000"/>
                      <w:sz w:val="21"/>
                      <w:szCs w:val="21"/>
                      <w:lang w:val="en-US" w:eastAsia="zh-CN"/>
                    </w:rPr>
                    <w:t>76.5</w:t>
                  </w:r>
                </w:p>
              </w:tc>
              <w:tc>
                <w:tcPr>
                  <w:tcW w:w="567" w:type="pct"/>
                  <w:vAlign w:val="center"/>
                </w:tcPr>
                <w:p w14:paraId="4AB9A5CD">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eastAsia" w:eastAsia="宋体"/>
                      <w:b w:val="0"/>
                      <w:bCs w:val="0"/>
                      <w:color w:val="FF0000"/>
                      <w:sz w:val="21"/>
                      <w:szCs w:val="21"/>
                      <w:vertAlign w:val="baseline"/>
                      <w:lang w:val="en-US" w:eastAsia="zh-CN"/>
                    </w:rPr>
                  </w:pPr>
                  <w:r>
                    <w:rPr>
                      <w:rFonts w:hint="eastAsia"/>
                      <w:b w:val="0"/>
                      <w:bCs w:val="0"/>
                      <w:color w:val="FF0000"/>
                      <w:sz w:val="21"/>
                      <w:szCs w:val="21"/>
                      <w:vertAlign w:val="baseline"/>
                      <w:lang w:val="en-US" w:eastAsia="zh-CN"/>
                    </w:rPr>
                    <w:t>软水</w:t>
                  </w:r>
                </w:p>
              </w:tc>
              <w:tc>
                <w:tcPr>
                  <w:tcW w:w="474" w:type="pct"/>
                  <w:vAlign w:val="center"/>
                </w:tcPr>
                <w:p w14:paraId="65288F0B">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b w:val="0"/>
                      <w:bCs w:val="0"/>
                      <w:color w:val="FF0000"/>
                      <w:sz w:val="21"/>
                      <w:szCs w:val="21"/>
                      <w:vertAlign w:val="baseline"/>
                    </w:rPr>
                  </w:pPr>
                  <w:r>
                    <w:rPr>
                      <w:rFonts w:hint="eastAsia" w:eastAsia="宋体"/>
                      <w:color w:val="FF0000"/>
                      <w:sz w:val="21"/>
                      <w:szCs w:val="21"/>
                      <w:lang w:val="en-US" w:eastAsia="zh-CN"/>
                    </w:rPr>
                    <w:t>0</w:t>
                  </w:r>
                </w:p>
              </w:tc>
              <w:tc>
                <w:tcPr>
                  <w:tcW w:w="485" w:type="pct"/>
                  <w:vAlign w:val="center"/>
                </w:tcPr>
                <w:p w14:paraId="72F7B195">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b w:val="0"/>
                      <w:bCs w:val="0"/>
                      <w:color w:val="FF0000"/>
                      <w:sz w:val="21"/>
                      <w:szCs w:val="21"/>
                      <w:vertAlign w:val="baseline"/>
                    </w:rPr>
                  </w:pPr>
                  <w:r>
                    <w:rPr>
                      <w:rFonts w:hint="eastAsia"/>
                      <w:color w:val="FF0000"/>
                      <w:sz w:val="21"/>
                      <w:szCs w:val="21"/>
                      <w:lang w:val="en-US" w:eastAsia="zh-CN"/>
                    </w:rPr>
                    <w:t>76.5</w:t>
                  </w:r>
                </w:p>
              </w:tc>
              <w:tc>
                <w:tcPr>
                  <w:tcW w:w="505" w:type="pct"/>
                  <w:vAlign w:val="center"/>
                </w:tcPr>
                <w:p w14:paraId="15EF233D">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eastAsia" w:eastAsia="宋体"/>
                      <w:b w:val="0"/>
                      <w:bCs w:val="0"/>
                      <w:color w:val="FF0000"/>
                      <w:sz w:val="21"/>
                      <w:szCs w:val="21"/>
                      <w:vertAlign w:val="baseline"/>
                      <w:lang w:val="en-US" w:eastAsia="zh-CN"/>
                    </w:rPr>
                  </w:pPr>
                  <w:r>
                    <w:rPr>
                      <w:rFonts w:hint="eastAsia"/>
                      <w:b w:val="0"/>
                      <w:bCs w:val="0"/>
                      <w:color w:val="FF0000"/>
                      <w:sz w:val="21"/>
                      <w:szCs w:val="21"/>
                      <w:vertAlign w:val="baseline"/>
                      <w:lang w:val="en-US" w:eastAsia="zh-CN"/>
                    </w:rPr>
                    <w:t>0</w:t>
                  </w:r>
                </w:p>
              </w:tc>
              <w:tc>
                <w:tcPr>
                  <w:tcW w:w="457" w:type="pct"/>
                  <w:vAlign w:val="center"/>
                </w:tcPr>
                <w:p w14:paraId="3E297FD5">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eastAsia" w:eastAsia="宋体"/>
                      <w:b w:val="0"/>
                      <w:bCs w:val="0"/>
                      <w:color w:val="FF0000"/>
                      <w:sz w:val="21"/>
                      <w:szCs w:val="21"/>
                      <w:vertAlign w:val="baseline"/>
                      <w:lang w:val="en-US" w:eastAsia="zh-CN"/>
                    </w:rPr>
                  </w:pPr>
                  <w:r>
                    <w:rPr>
                      <w:rFonts w:hint="eastAsia"/>
                      <w:b w:val="0"/>
                      <w:bCs w:val="0"/>
                      <w:color w:val="FF0000"/>
                      <w:sz w:val="21"/>
                      <w:szCs w:val="21"/>
                      <w:vertAlign w:val="baseline"/>
                      <w:lang w:val="en-US" w:eastAsia="zh-CN"/>
                    </w:rPr>
                    <w:t>3.825</w:t>
                  </w:r>
                </w:p>
              </w:tc>
              <w:tc>
                <w:tcPr>
                  <w:tcW w:w="465" w:type="pct"/>
                  <w:vAlign w:val="center"/>
                </w:tcPr>
                <w:p w14:paraId="61AA5345">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b w:val="0"/>
                      <w:bCs w:val="0"/>
                      <w:color w:val="FF0000"/>
                      <w:sz w:val="21"/>
                      <w:szCs w:val="21"/>
                      <w:vertAlign w:val="baseline"/>
                      <w:lang w:val="en-US" w:eastAsia="zh-CN"/>
                    </w:rPr>
                  </w:pPr>
                  <w:r>
                    <w:rPr>
                      <w:rFonts w:hint="eastAsia" w:cs="Times New Roman"/>
                      <w:b w:val="0"/>
                      <w:bCs w:val="0"/>
                      <w:color w:val="FF0000"/>
                      <w:kern w:val="0"/>
                      <w:sz w:val="21"/>
                      <w:szCs w:val="21"/>
                      <w:vertAlign w:val="baseline"/>
                      <w:lang w:val="en-US" w:eastAsia="zh-CN" w:bidi="ar-SA"/>
                    </w:rPr>
                    <w:t>71.145</w:t>
                  </w:r>
                </w:p>
              </w:tc>
              <w:tc>
                <w:tcPr>
                  <w:tcW w:w="440" w:type="pct"/>
                  <w:shd w:val="clear" w:color="auto" w:fill="auto"/>
                  <w:vAlign w:val="center"/>
                </w:tcPr>
                <w:p w14:paraId="21752766">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eastAsia" w:ascii="Times New Roman" w:hAnsi="Times New Roman" w:eastAsia="宋体" w:cs="Times New Roman"/>
                      <w:b w:val="0"/>
                      <w:bCs w:val="0"/>
                      <w:color w:val="FF0000"/>
                      <w:kern w:val="0"/>
                      <w:sz w:val="21"/>
                      <w:szCs w:val="21"/>
                      <w:vertAlign w:val="baseline"/>
                      <w:lang w:val="en-US" w:eastAsia="zh-CN" w:bidi="ar-SA"/>
                    </w:rPr>
                  </w:pPr>
                  <w:r>
                    <w:rPr>
                      <w:rFonts w:hint="eastAsia" w:cs="Times New Roman"/>
                      <w:b w:val="0"/>
                      <w:bCs w:val="0"/>
                      <w:color w:val="FF0000"/>
                      <w:kern w:val="0"/>
                      <w:sz w:val="21"/>
                      <w:szCs w:val="21"/>
                      <w:vertAlign w:val="baseline"/>
                      <w:lang w:val="en-US" w:eastAsia="zh-CN" w:bidi="ar-SA"/>
                    </w:rPr>
                    <w:t>1.53</w:t>
                  </w:r>
                </w:p>
              </w:tc>
            </w:tr>
            <w:tr w14:paraId="55D26B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4" w:type="pct"/>
                  <w:vAlign w:val="center"/>
                </w:tcPr>
                <w:p w14:paraId="2BF3585E">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eastAsia" w:eastAsia="宋体"/>
                      <w:b w:val="0"/>
                      <w:bCs w:val="0"/>
                      <w:color w:val="FF0000"/>
                      <w:sz w:val="21"/>
                      <w:szCs w:val="21"/>
                      <w:vertAlign w:val="baseline"/>
                      <w:lang w:val="en-US" w:eastAsia="zh-CN"/>
                    </w:rPr>
                  </w:pPr>
                  <w:r>
                    <w:rPr>
                      <w:rFonts w:hint="eastAsia"/>
                      <w:b w:val="0"/>
                      <w:bCs w:val="0"/>
                      <w:color w:val="FF0000"/>
                      <w:sz w:val="21"/>
                      <w:szCs w:val="21"/>
                      <w:vertAlign w:val="baseline"/>
                      <w:lang w:val="en-US" w:eastAsia="zh-CN"/>
                    </w:rPr>
                    <w:t>3</w:t>
                  </w:r>
                </w:p>
              </w:tc>
              <w:tc>
                <w:tcPr>
                  <w:tcW w:w="639" w:type="pct"/>
                  <w:vAlign w:val="center"/>
                </w:tcPr>
                <w:p w14:paraId="5A08DEBB">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eastAsia" w:eastAsia="宋体"/>
                      <w:b w:val="0"/>
                      <w:bCs w:val="0"/>
                      <w:color w:val="FF0000"/>
                      <w:sz w:val="21"/>
                      <w:szCs w:val="21"/>
                      <w:vertAlign w:val="baseline"/>
                      <w:lang w:val="en-US" w:eastAsia="zh-CN"/>
                    </w:rPr>
                  </w:pPr>
                  <w:r>
                    <w:rPr>
                      <w:rFonts w:hint="eastAsia"/>
                      <w:b w:val="0"/>
                      <w:bCs w:val="0"/>
                      <w:color w:val="FF0000"/>
                      <w:sz w:val="21"/>
                      <w:szCs w:val="21"/>
                      <w:vertAlign w:val="baseline"/>
                      <w:lang w:val="en-US" w:eastAsia="zh-CN"/>
                    </w:rPr>
                    <w:t>冷却塔</w:t>
                  </w:r>
                </w:p>
              </w:tc>
              <w:tc>
                <w:tcPr>
                  <w:tcW w:w="619" w:type="pct"/>
                  <w:vAlign w:val="center"/>
                </w:tcPr>
                <w:p w14:paraId="5C4C6B9B">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eastAsia="宋体"/>
                      <w:b w:val="0"/>
                      <w:bCs w:val="0"/>
                      <w:color w:val="FF0000"/>
                      <w:sz w:val="21"/>
                      <w:szCs w:val="21"/>
                      <w:vertAlign w:val="baseline"/>
                      <w:lang w:val="en-US" w:eastAsia="zh-CN"/>
                    </w:rPr>
                  </w:pPr>
                  <w:r>
                    <w:rPr>
                      <w:rFonts w:hint="eastAsia"/>
                      <w:b w:val="0"/>
                      <w:bCs w:val="0"/>
                      <w:color w:val="FF0000"/>
                      <w:sz w:val="21"/>
                      <w:szCs w:val="21"/>
                      <w:vertAlign w:val="baseline"/>
                      <w:lang w:val="en-US" w:eastAsia="zh-CN"/>
                    </w:rPr>
                    <w:t>0.75</w:t>
                  </w:r>
                </w:p>
              </w:tc>
              <w:tc>
                <w:tcPr>
                  <w:tcW w:w="567" w:type="pct"/>
                  <w:vAlign w:val="center"/>
                </w:tcPr>
                <w:p w14:paraId="58EF1905">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eastAsia" w:eastAsia="宋体"/>
                      <w:b w:val="0"/>
                      <w:bCs w:val="0"/>
                      <w:color w:val="FF0000"/>
                      <w:sz w:val="21"/>
                      <w:szCs w:val="21"/>
                      <w:vertAlign w:val="baseline"/>
                      <w:lang w:val="en-US" w:eastAsia="zh-CN"/>
                    </w:rPr>
                  </w:pPr>
                  <w:r>
                    <w:rPr>
                      <w:rFonts w:hint="eastAsia"/>
                      <w:b w:val="0"/>
                      <w:bCs w:val="0"/>
                      <w:color w:val="FF0000"/>
                      <w:sz w:val="21"/>
                      <w:szCs w:val="21"/>
                      <w:vertAlign w:val="baseline"/>
                      <w:lang w:val="en-US" w:eastAsia="zh-CN"/>
                    </w:rPr>
                    <w:t>循环水</w:t>
                  </w:r>
                </w:p>
              </w:tc>
              <w:tc>
                <w:tcPr>
                  <w:tcW w:w="474" w:type="pct"/>
                  <w:shd w:val="clear" w:color="auto" w:fill="auto"/>
                  <w:vAlign w:val="center"/>
                </w:tcPr>
                <w:p w14:paraId="17AAFFA0">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b w:val="0"/>
                      <w:bCs w:val="0"/>
                      <w:color w:val="FF0000"/>
                      <w:kern w:val="0"/>
                      <w:sz w:val="21"/>
                      <w:szCs w:val="21"/>
                      <w:vertAlign w:val="baseline"/>
                      <w:lang w:val="en-US" w:eastAsia="zh-CN" w:bidi="ar-SA"/>
                    </w:rPr>
                  </w:pPr>
                  <w:r>
                    <w:rPr>
                      <w:rFonts w:hint="eastAsia"/>
                      <w:b w:val="0"/>
                      <w:bCs w:val="0"/>
                      <w:color w:val="FF0000"/>
                      <w:sz w:val="21"/>
                      <w:szCs w:val="21"/>
                      <w:vertAlign w:val="baseline"/>
                      <w:lang w:val="en-US" w:eastAsia="zh-CN"/>
                    </w:rPr>
                    <w:t>0.75</w:t>
                  </w:r>
                </w:p>
              </w:tc>
              <w:tc>
                <w:tcPr>
                  <w:tcW w:w="485" w:type="pct"/>
                  <w:vAlign w:val="center"/>
                </w:tcPr>
                <w:p w14:paraId="0DFA96BD">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eastAsia" w:eastAsia="宋体"/>
                      <w:b w:val="0"/>
                      <w:bCs w:val="0"/>
                      <w:color w:val="FF0000"/>
                      <w:sz w:val="21"/>
                      <w:szCs w:val="21"/>
                      <w:vertAlign w:val="baseline"/>
                      <w:lang w:val="en-US" w:eastAsia="zh-CN"/>
                    </w:rPr>
                  </w:pPr>
                  <w:r>
                    <w:rPr>
                      <w:rFonts w:hint="eastAsia"/>
                      <w:b w:val="0"/>
                      <w:bCs w:val="0"/>
                      <w:color w:val="FF0000"/>
                      <w:sz w:val="21"/>
                      <w:szCs w:val="21"/>
                      <w:vertAlign w:val="baseline"/>
                      <w:lang w:val="en-US" w:eastAsia="zh-CN"/>
                    </w:rPr>
                    <w:t>0</w:t>
                  </w:r>
                </w:p>
              </w:tc>
              <w:tc>
                <w:tcPr>
                  <w:tcW w:w="505" w:type="pct"/>
                  <w:vAlign w:val="center"/>
                </w:tcPr>
                <w:p w14:paraId="48D92C7C">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b w:val="0"/>
                      <w:bCs w:val="0"/>
                      <w:color w:val="FF0000"/>
                      <w:sz w:val="21"/>
                      <w:szCs w:val="21"/>
                      <w:vertAlign w:val="baseline"/>
                      <w:lang w:val="en-US"/>
                    </w:rPr>
                  </w:pPr>
                  <w:r>
                    <w:rPr>
                      <w:rFonts w:hint="eastAsia"/>
                      <w:b w:val="0"/>
                      <w:bCs w:val="0"/>
                      <w:color w:val="FF0000"/>
                      <w:sz w:val="21"/>
                      <w:szCs w:val="21"/>
                      <w:vertAlign w:val="baseline"/>
                      <w:lang w:val="en-US" w:eastAsia="zh-CN"/>
                    </w:rPr>
                    <w:t>0</w:t>
                  </w:r>
                </w:p>
              </w:tc>
              <w:tc>
                <w:tcPr>
                  <w:tcW w:w="457" w:type="pct"/>
                  <w:vAlign w:val="center"/>
                </w:tcPr>
                <w:p w14:paraId="15992C71">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b w:val="0"/>
                      <w:bCs w:val="0"/>
                      <w:color w:val="FF0000"/>
                      <w:sz w:val="21"/>
                      <w:szCs w:val="21"/>
                      <w:vertAlign w:val="baseline"/>
                      <w:lang w:val="en-US"/>
                    </w:rPr>
                  </w:pPr>
                  <w:r>
                    <w:rPr>
                      <w:rFonts w:hint="eastAsia"/>
                      <w:b w:val="0"/>
                      <w:bCs w:val="0"/>
                      <w:color w:val="FF0000"/>
                      <w:sz w:val="21"/>
                      <w:szCs w:val="21"/>
                      <w:vertAlign w:val="baseline"/>
                      <w:lang w:val="en-US" w:eastAsia="zh-CN"/>
                    </w:rPr>
                    <w:t>0.75</w:t>
                  </w:r>
                </w:p>
              </w:tc>
              <w:tc>
                <w:tcPr>
                  <w:tcW w:w="465" w:type="pct"/>
                  <w:vAlign w:val="center"/>
                </w:tcPr>
                <w:p w14:paraId="393FD377">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b w:val="0"/>
                      <w:bCs w:val="0"/>
                      <w:color w:val="FF0000"/>
                      <w:sz w:val="21"/>
                      <w:szCs w:val="21"/>
                      <w:vertAlign w:val="baseline"/>
                    </w:rPr>
                  </w:pPr>
                  <w:r>
                    <w:rPr>
                      <w:rFonts w:hint="eastAsia"/>
                      <w:b w:val="0"/>
                      <w:bCs w:val="0"/>
                      <w:color w:val="FF0000"/>
                      <w:sz w:val="21"/>
                      <w:szCs w:val="21"/>
                      <w:vertAlign w:val="baseline"/>
                      <w:lang w:val="en-US" w:eastAsia="zh-CN"/>
                    </w:rPr>
                    <w:t>0</w:t>
                  </w:r>
                </w:p>
              </w:tc>
              <w:tc>
                <w:tcPr>
                  <w:tcW w:w="440" w:type="pct"/>
                  <w:vAlign w:val="center"/>
                </w:tcPr>
                <w:p w14:paraId="3DADAE7F">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b w:val="0"/>
                      <w:bCs w:val="0"/>
                      <w:color w:val="FF0000"/>
                      <w:sz w:val="21"/>
                      <w:szCs w:val="21"/>
                      <w:vertAlign w:val="baseline"/>
                      <w:lang w:val="en-US" w:eastAsia="zh-CN"/>
                    </w:rPr>
                  </w:pPr>
                  <w:r>
                    <w:rPr>
                      <w:rFonts w:hint="eastAsia"/>
                      <w:b w:val="0"/>
                      <w:bCs w:val="0"/>
                      <w:color w:val="FF0000"/>
                      <w:sz w:val="21"/>
                      <w:szCs w:val="21"/>
                      <w:vertAlign w:val="baseline"/>
                      <w:lang w:val="en-US" w:eastAsia="zh-CN"/>
                    </w:rPr>
                    <w:t>0</w:t>
                  </w:r>
                </w:p>
              </w:tc>
            </w:tr>
          </w:tbl>
          <w:p w14:paraId="025F8DAB">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360" w:lineRule="auto"/>
              <w:ind w:left="0" w:leftChars="0" w:right="0" w:firstLine="480" w:firstLineChars="200"/>
              <w:jc w:val="both"/>
              <w:textAlignment w:val="baseline"/>
              <w:rPr>
                <w:rFonts w:hint="default" w:cs="Times New Roman"/>
                <w:b w:val="0"/>
                <w:bCs w:val="0"/>
                <w:color w:val="FF0000"/>
                <w:sz w:val="24"/>
                <w:szCs w:val="24"/>
                <w:highlight w:val="none"/>
                <w:lang w:val="en-US" w:eastAsia="zh-CN"/>
              </w:rPr>
            </w:pPr>
            <w:r>
              <w:rPr>
                <w:rFonts w:hint="eastAsia" w:cs="Times New Roman"/>
                <w:b w:val="0"/>
                <w:bCs w:val="0"/>
                <w:color w:val="FF0000"/>
                <w:sz w:val="24"/>
                <w:szCs w:val="24"/>
                <w:highlight w:val="none"/>
                <w:lang w:val="en-US" w:eastAsia="zh-CN"/>
              </w:rPr>
              <w:t>本项目新增一台</w:t>
            </w:r>
            <w:r>
              <w:rPr>
                <w:rFonts w:hint="eastAsia" w:ascii="Times New Roman" w:hAnsi="Times New Roman" w:eastAsia="宋体" w:cs="Times New Roman"/>
                <w:color w:val="FF0000"/>
                <w:sz w:val="24"/>
                <w:szCs w:val="24"/>
                <w:lang w:val="en-US" w:eastAsia="zh-CN"/>
              </w:rPr>
              <w:t>6t/h生物质锅炉</w:t>
            </w:r>
            <w:r>
              <w:rPr>
                <w:rFonts w:hint="eastAsia" w:cs="Times New Roman"/>
                <w:color w:val="FF0000"/>
                <w:sz w:val="24"/>
                <w:szCs w:val="24"/>
                <w:lang w:val="en-US" w:eastAsia="zh-CN"/>
              </w:rPr>
              <w:t>作为常用锅炉使用，锅炉负荷为85%，根据工程分析，蒸汽制备量为23715t/a，其中，管道蒸发损耗量约0.5%，锅炉自用蒸汽约1%-3%（本项目按2%计），其余蒸汽用于现有项目饲料制粒生产中。详见下表。</w:t>
            </w:r>
          </w:p>
          <w:p w14:paraId="62B88AB5">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firstLine="0" w:firstLineChars="0"/>
              <w:jc w:val="center"/>
              <w:textAlignment w:val="baseline"/>
              <w:rPr>
                <w:rFonts w:hint="eastAsia" w:ascii="Times New Roman" w:hAnsi="Times New Roman" w:cs="Times New Roman"/>
                <w:b/>
                <w:bCs/>
                <w:color w:val="FF0000"/>
                <w:sz w:val="24"/>
                <w:szCs w:val="24"/>
                <w:highlight w:val="none"/>
                <w:lang w:val="en-US" w:eastAsia="zh-CN"/>
              </w:rPr>
            </w:pPr>
            <w:r>
              <w:rPr>
                <w:rFonts w:hint="default" w:ascii="Times New Roman" w:hAnsi="Times New Roman" w:cs="Times New Roman"/>
                <w:b/>
                <w:bCs/>
                <w:color w:val="FF0000"/>
                <w:sz w:val="24"/>
                <w:szCs w:val="24"/>
                <w:highlight w:val="none"/>
                <w:lang w:val="en-US" w:eastAsia="zh-CN"/>
              </w:rPr>
              <w:t>表2-</w:t>
            </w:r>
            <w:r>
              <w:rPr>
                <w:rFonts w:hint="eastAsia" w:cs="Times New Roman"/>
                <w:b/>
                <w:bCs/>
                <w:color w:val="FF0000"/>
                <w:sz w:val="24"/>
                <w:szCs w:val="24"/>
                <w:highlight w:val="none"/>
                <w:lang w:val="en-US" w:eastAsia="zh-CN"/>
              </w:rPr>
              <w:t>7</w:t>
            </w:r>
            <w:r>
              <w:rPr>
                <w:rFonts w:hint="default" w:ascii="Times New Roman" w:hAnsi="Times New Roman" w:cs="Times New Roman"/>
                <w:b/>
                <w:bCs/>
                <w:color w:val="FF0000"/>
                <w:sz w:val="24"/>
                <w:szCs w:val="24"/>
                <w:highlight w:val="none"/>
                <w:lang w:val="en-US" w:eastAsia="zh-CN"/>
              </w:rPr>
              <w:t xml:space="preserve">  </w:t>
            </w:r>
            <w:r>
              <w:rPr>
                <w:rFonts w:hint="eastAsia" w:ascii="Times New Roman" w:hAnsi="Times New Roman" w:cs="Times New Roman"/>
                <w:b/>
                <w:bCs/>
                <w:color w:val="FF0000"/>
                <w:sz w:val="24"/>
                <w:szCs w:val="24"/>
                <w:highlight w:val="none"/>
                <w:lang w:val="en-US" w:eastAsia="zh-CN"/>
              </w:rPr>
              <w:t>蒸汽平衡一览</w:t>
            </w:r>
            <w:r>
              <w:rPr>
                <w:rFonts w:hint="default" w:ascii="Times New Roman" w:hAnsi="Times New Roman" w:cs="Times New Roman"/>
                <w:b/>
                <w:bCs/>
                <w:color w:val="FF0000"/>
                <w:sz w:val="24"/>
                <w:szCs w:val="24"/>
                <w:highlight w:val="none"/>
                <w:lang w:val="en-US" w:eastAsia="zh-CN"/>
              </w:rPr>
              <w:t>表</w:t>
            </w:r>
          </w:p>
          <w:tbl>
            <w:tblPr>
              <w:tblStyle w:val="28"/>
              <w:tblW w:w="4998"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14"/>
              <w:gridCol w:w="1213"/>
              <w:gridCol w:w="1316"/>
              <w:gridCol w:w="2089"/>
              <w:gridCol w:w="1851"/>
            </w:tblGrid>
            <w:tr w14:paraId="453CA35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562" w:type="pct"/>
                  <w:gridSpan w:val="3"/>
                  <w:vAlign w:val="center"/>
                </w:tcPr>
                <w:p w14:paraId="32E92CAC">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firstLine="0" w:firstLineChars="0"/>
                    <w:jc w:val="center"/>
                    <w:textAlignment w:val="baseline"/>
                    <w:rPr>
                      <w:rFonts w:hint="default" w:ascii="Times New Roman" w:hAnsi="Times New Roman" w:cs="Times New Roman"/>
                      <w:b/>
                      <w:bCs/>
                      <w:color w:val="FF0000"/>
                      <w:kern w:val="0"/>
                      <w:sz w:val="21"/>
                      <w:szCs w:val="21"/>
                      <w:highlight w:val="none"/>
                      <w:vertAlign w:val="baseline"/>
                      <w:lang w:val="en-US" w:eastAsia="zh-CN" w:bidi="ar"/>
                    </w:rPr>
                  </w:pPr>
                  <w:r>
                    <w:rPr>
                      <w:rFonts w:hint="eastAsia" w:cs="Times New Roman"/>
                      <w:b/>
                      <w:bCs/>
                      <w:color w:val="FF0000"/>
                      <w:kern w:val="0"/>
                      <w:sz w:val="21"/>
                      <w:szCs w:val="21"/>
                      <w:highlight w:val="none"/>
                      <w:vertAlign w:val="baseline"/>
                      <w:lang w:val="en-US" w:eastAsia="zh-CN" w:bidi="ar"/>
                    </w:rPr>
                    <w:t>产出</w:t>
                  </w:r>
                </w:p>
              </w:tc>
              <w:tc>
                <w:tcPr>
                  <w:tcW w:w="2437" w:type="pct"/>
                  <w:gridSpan w:val="2"/>
                  <w:vAlign w:val="center"/>
                </w:tcPr>
                <w:p w14:paraId="35A348E9">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firstLine="0" w:firstLineChars="0"/>
                    <w:jc w:val="center"/>
                    <w:textAlignment w:val="baseline"/>
                    <w:rPr>
                      <w:rFonts w:hint="default" w:ascii="Times New Roman" w:hAnsi="Times New Roman" w:cs="Times New Roman"/>
                      <w:b/>
                      <w:bCs/>
                      <w:color w:val="FF0000"/>
                      <w:kern w:val="0"/>
                      <w:sz w:val="21"/>
                      <w:szCs w:val="21"/>
                      <w:highlight w:val="none"/>
                      <w:vertAlign w:val="baseline"/>
                      <w:lang w:val="en-US" w:eastAsia="zh-CN" w:bidi="ar"/>
                    </w:rPr>
                  </w:pPr>
                  <w:r>
                    <w:rPr>
                      <w:rFonts w:hint="eastAsia" w:cs="Times New Roman"/>
                      <w:b/>
                      <w:bCs/>
                      <w:color w:val="FF0000"/>
                      <w:kern w:val="0"/>
                      <w:sz w:val="21"/>
                      <w:szCs w:val="21"/>
                      <w:highlight w:val="none"/>
                      <w:vertAlign w:val="baseline"/>
                      <w:lang w:val="en-US" w:eastAsia="zh-CN" w:bidi="ar"/>
                    </w:rPr>
                    <w:t>投入</w:t>
                  </w:r>
                </w:p>
              </w:tc>
            </w:tr>
            <w:tr w14:paraId="649D24A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98" w:type="pct"/>
                  <w:vAlign w:val="center"/>
                </w:tcPr>
                <w:p w14:paraId="2784CFB2">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firstLine="0" w:firstLineChars="0"/>
                    <w:jc w:val="center"/>
                    <w:textAlignment w:val="baseline"/>
                    <w:rPr>
                      <w:rFonts w:hint="eastAsia" w:ascii="Times New Roman" w:hAnsi="Times New Roman" w:eastAsia="宋体" w:cs="Times New Roman"/>
                      <w:b/>
                      <w:bCs/>
                      <w:color w:val="FF0000"/>
                      <w:kern w:val="0"/>
                      <w:sz w:val="21"/>
                      <w:szCs w:val="21"/>
                      <w:highlight w:val="none"/>
                      <w:vertAlign w:val="baseline"/>
                      <w:lang w:val="en-US" w:eastAsia="zh-CN" w:bidi="ar"/>
                    </w:rPr>
                  </w:pPr>
                  <w:r>
                    <w:rPr>
                      <w:rFonts w:hint="eastAsia"/>
                      <w:color w:val="FF0000"/>
                      <w:sz w:val="21"/>
                      <w:szCs w:val="21"/>
                      <w:lang w:val="en-US" w:eastAsia="zh-CN"/>
                    </w:rPr>
                    <w:t>名称</w:t>
                  </w:r>
                </w:p>
              </w:tc>
              <w:tc>
                <w:tcPr>
                  <w:tcW w:w="750" w:type="pct"/>
                  <w:vAlign w:val="center"/>
                </w:tcPr>
                <w:p w14:paraId="5A2FA848">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firstLine="0" w:firstLineChars="0"/>
                    <w:jc w:val="center"/>
                    <w:textAlignment w:val="baseline"/>
                    <w:rPr>
                      <w:rFonts w:hint="eastAsia" w:ascii="Times New Roman" w:hAnsi="Times New Roman" w:eastAsia="宋体" w:cs="Times New Roman"/>
                      <w:b/>
                      <w:bCs/>
                      <w:color w:val="FF0000"/>
                      <w:kern w:val="0"/>
                      <w:sz w:val="21"/>
                      <w:szCs w:val="21"/>
                      <w:highlight w:val="none"/>
                      <w:vertAlign w:val="baseline"/>
                      <w:lang w:val="en-US" w:eastAsia="zh-CN" w:bidi="ar"/>
                    </w:rPr>
                  </w:pPr>
                  <w:r>
                    <w:rPr>
                      <w:rFonts w:hint="eastAsia"/>
                      <w:color w:val="FF0000"/>
                      <w:sz w:val="21"/>
                      <w:szCs w:val="21"/>
                      <w:lang w:val="en-US" w:eastAsia="zh-CN"/>
                    </w:rPr>
                    <w:t>单位</w:t>
                  </w:r>
                </w:p>
              </w:tc>
              <w:tc>
                <w:tcPr>
                  <w:tcW w:w="814" w:type="pct"/>
                  <w:vAlign w:val="center"/>
                </w:tcPr>
                <w:p w14:paraId="1BBCB021">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firstLine="0" w:firstLineChars="0"/>
                    <w:jc w:val="center"/>
                    <w:textAlignment w:val="baseline"/>
                    <w:rPr>
                      <w:rFonts w:hint="default" w:ascii="Times New Roman" w:hAnsi="Times New Roman" w:cs="Times New Roman"/>
                      <w:b/>
                      <w:bCs/>
                      <w:color w:val="FF0000"/>
                      <w:kern w:val="0"/>
                      <w:sz w:val="21"/>
                      <w:szCs w:val="21"/>
                      <w:highlight w:val="none"/>
                      <w:vertAlign w:val="baseline"/>
                      <w:lang w:val="en-US" w:eastAsia="zh-CN" w:bidi="ar"/>
                    </w:rPr>
                  </w:pPr>
                  <w:r>
                    <w:rPr>
                      <w:rFonts w:hint="default"/>
                      <w:color w:val="FF0000"/>
                      <w:sz w:val="21"/>
                      <w:szCs w:val="21"/>
                    </w:rPr>
                    <w:t>数量</w:t>
                  </w:r>
                </w:p>
              </w:tc>
              <w:tc>
                <w:tcPr>
                  <w:tcW w:w="1292" w:type="pct"/>
                  <w:vAlign w:val="center"/>
                </w:tcPr>
                <w:p w14:paraId="62E15D45">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firstLine="0" w:firstLineChars="0"/>
                    <w:jc w:val="center"/>
                    <w:textAlignment w:val="baseline"/>
                    <w:rPr>
                      <w:rFonts w:hint="default" w:ascii="Times New Roman" w:hAnsi="Times New Roman" w:eastAsia="宋体" w:cs="Times New Roman"/>
                      <w:b/>
                      <w:bCs/>
                      <w:color w:val="FF0000"/>
                      <w:kern w:val="0"/>
                      <w:sz w:val="21"/>
                      <w:szCs w:val="21"/>
                      <w:highlight w:val="none"/>
                      <w:vertAlign w:val="baseline"/>
                      <w:lang w:val="en-US" w:eastAsia="zh-CN" w:bidi="ar"/>
                    </w:rPr>
                  </w:pPr>
                  <w:r>
                    <w:rPr>
                      <w:rFonts w:hint="eastAsia"/>
                      <w:color w:val="FF0000"/>
                      <w:sz w:val="21"/>
                      <w:szCs w:val="21"/>
                      <w:lang w:val="en-US" w:eastAsia="zh-CN"/>
                    </w:rPr>
                    <w:t>投入工序</w:t>
                  </w:r>
                </w:p>
              </w:tc>
              <w:tc>
                <w:tcPr>
                  <w:tcW w:w="1144" w:type="pct"/>
                  <w:vAlign w:val="center"/>
                </w:tcPr>
                <w:p w14:paraId="7DA1133C">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firstLine="0" w:firstLineChars="0"/>
                    <w:jc w:val="center"/>
                    <w:textAlignment w:val="baseline"/>
                    <w:rPr>
                      <w:rFonts w:hint="default" w:ascii="Times New Roman" w:hAnsi="Times New Roman" w:cs="Times New Roman"/>
                      <w:b/>
                      <w:bCs/>
                      <w:color w:val="FF0000"/>
                      <w:kern w:val="0"/>
                      <w:sz w:val="21"/>
                      <w:szCs w:val="21"/>
                      <w:highlight w:val="none"/>
                      <w:vertAlign w:val="baseline"/>
                      <w:lang w:val="en-US" w:eastAsia="zh-CN" w:bidi="ar"/>
                    </w:rPr>
                  </w:pPr>
                  <w:r>
                    <w:rPr>
                      <w:rFonts w:hint="default"/>
                      <w:color w:val="FF0000"/>
                      <w:sz w:val="21"/>
                      <w:szCs w:val="21"/>
                    </w:rPr>
                    <w:t>数量</w:t>
                  </w:r>
                </w:p>
              </w:tc>
            </w:tr>
            <w:tr w14:paraId="24972DA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98" w:type="pct"/>
                  <w:vMerge w:val="restart"/>
                  <w:vAlign w:val="center"/>
                </w:tcPr>
                <w:p w14:paraId="5D133A4B">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eastAsia" w:ascii="Times New Roman" w:hAnsi="Times New Roman" w:eastAsia="宋体" w:cs="Times New Roman"/>
                      <w:b/>
                      <w:bCs/>
                      <w:color w:val="FF0000"/>
                      <w:kern w:val="0"/>
                      <w:sz w:val="21"/>
                      <w:szCs w:val="21"/>
                      <w:highlight w:val="none"/>
                      <w:vertAlign w:val="baseline"/>
                      <w:lang w:val="en-US" w:eastAsia="zh-CN" w:bidi="ar"/>
                    </w:rPr>
                  </w:pPr>
                  <w:r>
                    <w:rPr>
                      <w:rFonts w:hint="eastAsia" w:ascii="Times New Roman" w:hAnsi="Times New Roman" w:eastAsia="宋体" w:cs="Times New Roman"/>
                      <w:color w:val="FF0000"/>
                      <w:sz w:val="21"/>
                      <w:szCs w:val="21"/>
                      <w:lang w:val="en-US" w:eastAsia="zh-CN"/>
                    </w:rPr>
                    <w:t>蒸汽</w:t>
                  </w:r>
                </w:p>
              </w:tc>
              <w:tc>
                <w:tcPr>
                  <w:tcW w:w="750" w:type="pct"/>
                  <w:vMerge w:val="restart"/>
                  <w:vAlign w:val="center"/>
                </w:tcPr>
                <w:p w14:paraId="4DF704CF">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firstLine="0" w:firstLineChars="0"/>
                    <w:jc w:val="center"/>
                    <w:textAlignment w:val="baseline"/>
                    <w:rPr>
                      <w:rFonts w:hint="default" w:ascii="Times New Roman" w:hAnsi="Times New Roman" w:cs="Times New Roman"/>
                      <w:b/>
                      <w:bCs/>
                      <w:color w:val="FF0000"/>
                      <w:kern w:val="0"/>
                      <w:sz w:val="21"/>
                      <w:szCs w:val="21"/>
                      <w:highlight w:val="none"/>
                      <w:vertAlign w:val="baseline"/>
                      <w:lang w:val="en-US" w:eastAsia="zh-CN" w:bidi="ar"/>
                    </w:rPr>
                  </w:pPr>
                  <w:r>
                    <w:rPr>
                      <w:rFonts w:hint="eastAsia" w:cs="Times New Roman"/>
                      <w:b w:val="0"/>
                      <w:bCs w:val="0"/>
                      <w:color w:val="FF0000"/>
                      <w:kern w:val="0"/>
                      <w:sz w:val="21"/>
                      <w:szCs w:val="21"/>
                      <w:highlight w:val="none"/>
                      <w:vertAlign w:val="baseline"/>
                      <w:lang w:val="en-US" w:eastAsia="zh-CN" w:bidi="ar"/>
                    </w:rPr>
                    <w:t>t/a</w:t>
                  </w:r>
                </w:p>
              </w:tc>
              <w:tc>
                <w:tcPr>
                  <w:tcW w:w="814" w:type="pct"/>
                  <w:vMerge w:val="restart"/>
                  <w:vAlign w:val="center"/>
                </w:tcPr>
                <w:p w14:paraId="1E233D88">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firstLine="0" w:firstLineChars="0"/>
                    <w:jc w:val="center"/>
                    <w:textAlignment w:val="baseline"/>
                    <w:rPr>
                      <w:rFonts w:hint="default" w:ascii="Times New Roman" w:hAnsi="Times New Roman" w:eastAsia="宋体" w:cs="Times New Roman"/>
                      <w:b/>
                      <w:bCs/>
                      <w:color w:val="FF0000"/>
                      <w:kern w:val="0"/>
                      <w:sz w:val="21"/>
                      <w:szCs w:val="21"/>
                      <w:highlight w:val="none"/>
                      <w:vertAlign w:val="baseline"/>
                      <w:lang w:val="en-US" w:eastAsia="zh-CN" w:bidi="ar"/>
                    </w:rPr>
                  </w:pPr>
                  <w:r>
                    <w:rPr>
                      <w:rFonts w:hint="eastAsia"/>
                      <w:color w:val="FF0000"/>
                      <w:sz w:val="21"/>
                      <w:szCs w:val="21"/>
                      <w:lang w:val="en-US" w:eastAsia="zh-CN"/>
                    </w:rPr>
                    <w:t>23715</w:t>
                  </w:r>
                </w:p>
              </w:tc>
              <w:tc>
                <w:tcPr>
                  <w:tcW w:w="1292" w:type="pct"/>
                  <w:vAlign w:val="center"/>
                </w:tcPr>
                <w:p w14:paraId="06B6B6E0">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firstLine="0" w:firstLineChars="0"/>
                    <w:jc w:val="center"/>
                    <w:textAlignment w:val="baseline"/>
                    <w:rPr>
                      <w:rFonts w:hint="default" w:ascii="Times New Roman" w:hAnsi="Times New Roman" w:eastAsia="宋体" w:cs="Times New Roman"/>
                      <w:b/>
                      <w:bCs/>
                      <w:color w:val="FF0000"/>
                      <w:kern w:val="0"/>
                      <w:sz w:val="21"/>
                      <w:szCs w:val="21"/>
                      <w:highlight w:val="none"/>
                      <w:vertAlign w:val="baseline"/>
                      <w:lang w:val="en-US" w:eastAsia="zh-CN" w:bidi="ar"/>
                    </w:rPr>
                  </w:pPr>
                  <w:r>
                    <w:rPr>
                      <w:rFonts w:hint="eastAsia" w:ascii="Times New Roman" w:hAnsi="Times New Roman" w:eastAsia="宋体" w:cs="Times New Roman"/>
                      <w:b w:val="0"/>
                      <w:bCs w:val="0"/>
                      <w:color w:val="FF0000"/>
                      <w:kern w:val="0"/>
                      <w:sz w:val="21"/>
                      <w:szCs w:val="21"/>
                      <w:highlight w:val="none"/>
                      <w:vertAlign w:val="baseline"/>
                      <w:lang w:val="en-US" w:eastAsia="zh-CN" w:bidi="ar"/>
                    </w:rPr>
                    <w:t>饲料制粒</w:t>
                  </w:r>
                </w:p>
              </w:tc>
              <w:tc>
                <w:tcPr>
                  <w:tcW w:w="1144" w:type="pct"/>
                  <w:vAlign w:val="center"/>
                </w:tcPr>
                <w:p w14:paraId="0C83A3EF">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firstLine="0" w:firstLineChars="0"/>
                    <w:jc w:val="center"/>
                    <w:textAlignment w:val="baseline"/>
                    <w:rPr>
                      <w:rFonts w:hint="default" w:ascii="Times New Roman" w:hAnsi="Times New Roman" w:eastAsia="宋体" w:cs="Times New Roman"/>
                      <w:b/>
                      <w:bCs/>
                      <w:color w:val="FF0000"/>
                      <w:kern w:val="0"/>
                      <w:sz w:val="21"/>
                      <w:szCs w:val="21"/>
                      <w:highlight w:val="none"/>
                      <w:vertAlign w:val="baseline"/>
                      <w:lang w:val="en-US" w:eastAsia="zh-CN" w:bidi="ar"/>
                    </w:rPr>
                  </w:pPr>
                  <w:r>
                    <w:rPr>
                      <w:rFonts w:hint="eastAsia"/>
                      <w:color w:val="FF0000"/>
                      <w:sz w:val="21"/>
                      <w:szCs w:val="21"/>
                      <w:lang w:val="en-US" w:eastAsia="zh-CN"/>
                    </w:rPr>
                    <w:t>22054.95</w:t>
                  </w:r>
                </w:p>
              </w:tc>
            </w:tr>
            <w:tr w14:paraId="053FFD4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98" w:type="pct"/>
                  <w:vMerge w:val="continue"/>
                  <w:vAlign w:val="center"/>
                </w:tcPr>
                <w:p w14:paraId="13AA974D">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eastAsia" w:ascii="Times New Roman" w:hAnsi="Times New Roman" w:eastAsia="宋体" w:cs="Times New Roman"/>
                      <w:color w:val="FF0000"/>
                      <w:sz w:val="21"/>
                      <w:szCs w:val="21"/>
                      <w:lang w:val="en-US" w:eastAsia="zh-CN"/>
                    </w:rPr>
                  </w:pPr>
                </w:p>
              </w:tc>
              <w:tc>
                <w:tcPr>
                  <w:tcW w:w="750" w:type="pct"/>
                  <w:vMerge w:val="continue"/>
                  <w:vAlign w:val="center"/>
                </w:tcPr>
                <w:p w14:paraId="1285A8A4">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firstLine="0" w:firstLineChars="0"/>
                    <w:jc w:val="center"/>
                    <w:textAlignment w:val="baseline"/>
                    <w:rPr>
                      <w:rFonts w:hint="eastAsia" w:cs="Times New Roman"/>
                      <w:b w:val="0"/>
                      <w:bCs w:val="0"/>
                      <w:color w:val="FF0000"/>
                      <w:kern w:val="0"/>
                      <w:sz w:val="21"/>
                      <w:szCs w:val="21"/>
                      <w:highlight w:val="none"/>
                      <w:vertAlign w:val="baseline"/>
                      <w:lang w:val="en-US" w:eastAsia="zh-CN" w:bidi="ar"/>
                    </w:rPr>
                  </w:pPr>
                </w:p>
              </w:tc>
              <w:tc>
                <w:tcPr>
                  <w:tcW w:w="814" w:type="pct"/>
                  <w:vMerge w:val="continue"/>
                  <w:vAlign w:val="center"/>
                </w:tcPr>
                <w:p w14:paraId="10A9CEAA">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firstLine="0" w:firstLineChars="0"/>
                    <w:jc w:val="center"/>
                    <w:textAlignment w:val="baseline"/>
                    <w:rPr>
                      <w:rFonts w:hint="eastAsia"/>
                      <w:color w:val="FF0000"/>
                      <w:sz w:val="21"/>
                      <w:szCs w:val="21"/>
                      <w:lang w:val="en-US" w:eastAsia="zh-CN"/>
                    </w:rPr>
                  </w:pPr>
                </w:p>
              </w:tc>
              <w:tc>
                <w:tcPr>
                  <w:tcW w:w="1292" w:type="pct"/>
                  <w:vAlign w:val="center"/>
                </w:tcPr>
                <w:p w14:paraId="42A2F37B">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firstLine="0" w:firstLineChars="0"/>
                    <w:jc w:val="center"/>
                    <w:textAlignment w:val="baseline"/>
                    <w:rPr>
                      <w:rFonts w:hint="default" w:ascii="Times New Roman" w:hAnsi="Times New Roman" w:eastAsia="宋体" w:cs="Times New Roman"/>
                      <w:b w:val="0"/>
                      <w:bCs w:val="0"/>
                      <w:color w:val="FF0000"/>
                      <w:kern w:val="0"/>
                      <w:sz w:val="21"/>
                      <w:szCs w:val="21"/>
                      <w:highlight w:val="none"/>
                      <w:vertAlign w:val="baseline"/>
                      <w:lang w:val="en-US" w:eastAsia="zh-CN" w:bidi="ar"/>
                    </w:rPr>
                  </w:pPr>
                  <w:r>
                    <w:rPr>
                      <w:rFonts w:hint="eastAsia" w:cs="Times New Roman"/>
                      <w:b w:val="0"/>
                      <w:bCs w:val="0"/>
                      <w:color w:val="FF0000"/>
                      <w:kern w:val="0"/>
                      <w:sz w:val="21"/>
                      <w:szCs w:val="21"/>
                      <w:highlight w:val="none"/>
                      <w:vertAlign w:val="baseline"/>
                      <w:lang w:val="en-US" w:eastAsia="zh-CN" w:bidi="ar"/>
                    </w:rPr>
                    <w:t>管道损耗</w:t>
                  </w:r>
                </w:p>
              </w:tc>
              <w:tc>
                <w:tcPr>
                  <w:tcW w:w="1144" w:type="pct"/>
                  <w:vAlign w:val="center"/>
                </w:tcPr>
                <w:p w14:paraId="10549954">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firstLine="0" w:firstLineChars="0"/>
                    <w:jc w:val="center"/>
                    <w:textAlignment w:val="baseline"/>
                    <w:rPr>
                      <w:rFonts w:hint="default"/>
                      <w:color w:val="FF0000"/>
                      <w:sz w:val="21"/>
                      <w:szCs w:val="21"/>
                      <w:lang w:val="en-US" w:eastAsia="zh-CN"/>
                    </w:rPr>
                  </w:pPr>
                  <w:r>
                    <w:rPr>
                      <w:rFonts w:hint="eastAsia"/>
                      <w:color w:val="FF0000"/>
                      <w:sz w:val="21"/>
                      <w:szCs w:val="21"/>
                      <w:lang w:val="en-US" w:eastAsia="zh-CN"/>
                    </w:rPr>
                    <w:t>1185.75</w:t>
                  </w:r>
                </w:p>
              </w:tc>
            </w:tr>
            <w:tr w14:paraId="27FB96C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8" w:type="pct"/>
                  <w:vMerge w:val="continue"/>
                  <w:vAlign w:val="center"/>
                </w:tcPr>
                <w:p w14:paraId="5B9603FF">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eastAsia" w:ascii="Times New Roman" w:hAnsi="Times New Roman" w:eastAsia="宋体" w:cs="Times New Roman"/>
                      <w:color w:val="FF0000"/>
                      <w:sz w:val="21"/>
                      <w:szCs w:val="21"/>
                      <w:lang w:val="en-US" w:eastAsia="zh-CN"/>
                    </w:rPr>
                  </w:pPr>
                </w:p>
              </w:tc>
              <w:tc>
                <w:tcPr>
                  <w:tcW w:w="750" w:type="pct"/>
                  <w:vMerge w:val="continue"/>
                  <w:vAlign w:val="center"/>
                </w:tcPr>
                <w:p w14:paraId="55FC3524">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firstLine="0" w:firstLineChars="0"/>
                    <w:jc w:val="center"/>
                    <w:textAlignment w:val="baseline"/>
                    <w:rPr>
                      <w:rFonts w:hint="eastAsia" w:cs="Times New Roman"/>
                      <w:b w:val="0"/>
                      <w:bCs w:val="0"/>
                      <w:color w:val="FF0000"/>
                      <w:kern w:val="0"/>
                      <w:sz w:val="21"/>
                      <w:szCs w:val="21"/>
                      <w:highlight w:val="none"/>
                      <w:vertAlign w:val="baseline"/>
                      <w:lang w:val="en-US" w:eastAsia="zh-CN" w:bidi="ar"/>
                    </w:rPr>
                  </w:pPr>
                </w:p>
              </w:tc>
              <w:tc>
                <w:tcPr>
                  <w:tcW w:w="814" w:type="pct"/>
                  <w:vMerge w:val="continue"/>
                  <w:vAlign w:val="center"/>
                </w:tcPr>
                <w:p w14:paraId="2E6B43D1">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firstLine="0" w:firstLineChars="0"/>
                    <w:jc w:val="center"/>
                    <w:textAlignment w:val="baseline"/>
                    <w:rPr>
                      <w:rFonts w:hint="eastAsia"/>
                      <w:color w:val="FF0000"/>
                      <w:sz w:val="21"/>
                      <w:szCs w:val="21"/>
                      <w:lang w:val="en-US" w:eastAsia="zh-CN"/>
                    </w:rPr>
                  </w:pPr>
                </w:p>
              </w:tc>
              <w:tc>
                <w:tcPr>
                  <w:tcW w:w="1292" w:type="pct"/>
                  <w:vAlign w:val="center"/>
                </w:tcPr>
                <w:p w14:paraId="668FF8D5">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firstLine="0" w:firstLineChars="0"/>
                    <w:jc w:val="center"/>
                    <w:textAlignment w:val="baseline"/>
                    <w:rPr>
                      <w:rFonts w:hint="default" w:cs="Times New Roman"/>
                      <w:b w:val="0"/>
                      <w:bCs w:val="0"/>
                      <w:color w:val="FF0000"/>
                      <w:kern w:val="0"/>
                      <w:sz w:val="21"/>
                      <w:szCs w:val="21"/>
                      <w:highlight w:val="none"/>
                      <w:vertAlign w:val="baseline"/>
                      <w:lang w:val="en-US" w:eastAsia="zh-CN" w:bidi="ar"/>
                    </w:rPr>
                  </w:pPr>
                  <w:r>
                    <w:rPr>
                      <w:rFonts w:hint="eastAsia" w:cs="Times New Roman"/>
                      <w:b w:val="0"/>
                      <w:bCs w:val="0"/>
                      <w:color w:val="FF0000"/>
                      <w:kern w:val="0"/>
                      <w:sz w:val="21"/>
                      <w:szCs w:val="21"/>
                      <w:highlight w:val="none"/>
                      <w:vertAlign w:val="baseline"/>
                      <w:lang w:val="en-US" w:eastAsia="zh-CN" w:bidi="ar"/>
                    </w:rPr>
                    <w:t>锅炉自用</w:t>
                  </w:r>
                </w:p>
              </w:tc>
              <w:tc>
                <w:tcPr>
                  <w:tcW w:w="1144" w:type="pct"/>
                  <w:vAlign w:val="center"/>
                </w:tcPr>
                <w:p w14:paraId="46E989AD">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firstLine="0" w:firstLineChars="0"/>
                    <w:jc w:val="center"/>
                    <w:textAlignment w:val="baseline"/>
                    <w:rPr>
                      <w:rFonts w:hint="default"/>
                      <w:color w:val="FF0000"/>
                      <w:sz w:val="21"/>
                      <w:szCs w:val="21"/>
                      <w:lang w:val="en-US" w:eastAsia="zh-CN"/>
                    </w:rPr>
                  </w:pPr>
                  <w:r>
                    <w:rPr>
                      <w:rFonts w:hint="eastAsia"/>
                      <w:color w:val="FF0000"/>
                      <w:sz w:val="21"/>
                      <w:szCs w:val="21"/>
                      <w:lang w:val="en-US" w:eastAsia="zh-CN"/>
                    </w:rPr>
                    <w:t>474.3</w:t>
                  </w:r>
                </w:p>
              </w:tc>
            </w:tr>
            <w:tr w14:paraId="2F4E390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98" w:type="pct"/>
                  <w:vAlign w:val="center"/>
                </w:tcPr>
                <w:p w14:paraId="59AD69F2">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color w:val="FF0000"/>
                      <w:sz w:val="21"/>
                      <w:szCs w:val="21"/>
                      <w:lang w:val="en-US" w:eastAsia="zh-CN"/>
                    </w:rPr>
                  </w:pPr>
                  <w:r>
                    <w:rPr>
                      <w:rFonts w:hint="eastAsia" w:cs="Times New Roman"/>
                      <w:color w:val="FF0000"/>
                      <w:sz w:val="21"/>
                      <w:szCs w:val="21"/>
                      <w:lang w:val="en-US" w:eastAsia="zh-CN"/>
                    </w:rPr>
                    <w:t>总计</w:t>
                  </w:r>
                </w:p>
              </w:tc>
              <w:tc>
                <w:tcPr>
                  <w:tcW w:w="750" w:type="pct"/>
                  <w:vMerge w:val="continue"/>
                  <w:vAlign w:val="center"/>
                </w:tcPr>
                <w:p w14:paraId="0BA6FB3D">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firstLine="0" w:firstLineChars="0"/>
                    <w:jc w:val="center"/>
                    <w:textAlignment w:val="baseline"/>
                    <w:rPr>
                      <w:rFonts w:hint="default"/>
                      <w:color w:val="FF0000"/>
                      <w:sz w:val="21"/>
                      <w:szCs w:val="21"/>
                    </w:rPr>
                  </w:pPr>
                </w:p>
              </w:tc>
              <w:tc>
                <w:tcPr>
                  <w:tcW w:w="814" w:type="pct"/>
                  <w:vAlign w:val="center"/>
                </w:tcPr>
                <w:p w14:paraId="2B21FA1B">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color w:val="FF0000"/>
                      <w:sz w:val="21"/>
                      <w:szCs w:val="21"/>
                      <w:lang w:val="en-US" w:eastAsia="zh-CN"/>
                    </w:rPr>
                  </w:pPr>
                  <w:r>
                    <w:rPr>
                      <w:rFonts w:hint="eastAsia" w:cs="Times New Roman"/>
                      <w:color w:val="FF0000"/>
                      <w:sz w:val="21"/>
                      <w:szCs w:val="21"/>
                      <w:lang w:val="en-US" w:eastAsia="zh-CN"/>
                    </w:rPr>
                    <w:t>23715</w:t>
                  </w:r>
                </w:p>
              </w:tc>
              <w:tc>
                <w:tcPr>
                  <w:tcW w:w="1292" w:type="pct"/>
                  <w:vAlign w:val="center"/>
                </w:tcPr>
                <w:p w14:paraId="5F051A53">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firstLine="0" w:firstLineChars="0"/>
                    <w:jc w:val="center"/>
                    <w:textAlignment w:val="baseline"/>
                    <w:rPr>
                      <w:rFonts w:hint="default"/>
                      <w:color w:val="FF0000"/>
                      <w:sz w:val="21"/>
                      <w:szCs w:val="21"/>
                    </w:rPr>
                  </w:pPr>
                  <w:r>
                    <w:rPr>
                      <w:rFonts w:hint="eastAsia" w:cs="Times New Roman"/>
                      <w:color w:val="FF0000"/>
                      <w:sz w:val="21"/>
                      <w:szCs w:val="21"/>
                      <w:lang w:val="en-US" w:eastAsia="zh-CN"/>
                    </w:rPr>
                    <w:t>总计</w:t>
                  </w:r>
                </w:p>
              </w:tc>
              <w:tc>
                <w:tcPr>
                  <w:tcW w:w="1144" w:type="pct"/>
                  <w:vAlign w:val="center"/>
                </w:tcPr>
                <w:p w14:paraId="6CBA2C81">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firstLine="0" w:firstLineChars="0"/>
                    <w:jc w:val="center"/>
                    <w:textAlignment w:val="baseline"/>
                    <w:rPr>
                      <w:rFonts w:hint="default"/>
                      <w:color w:val="FF0000"/>
                      <w:sz w:val="21"/>
                      <w:szCs w:val="21"/>
                    </w:rPr>
                  </w:pPr>
                  <w:r>
                    <w:rPr>
                      <w:rFonts w:hint="eastAsia" w:cs="Times New Roman"/>
                      <w:color w:val="FF0000"/>
                      <w:sz w:val="21"/>
                      <w:szCs w:val="21"/>
                      <w:lang w:val="en-US" w:eastAsia="zh-CN"/>
                    </w:rPr>
                    <w:t>23715</w:t>
                  </w:r>
                </w:p>
              </w:tc>
            </w:tr>
          </w:tbl>
          <w:p w14:paraId="33FF75D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lang w:val="en-US" w:eastAsia="zh-CN"/>
              </w:rPr>
              <w:t>1、</w:t>
            </w:r>
            <w:r>
              <w:rPr>
                <w:rFonts w:hint="default" w:ascii="Times New Roman" w:hAnsi="Times New Roman" w:cs="Times New Roman"/>
                <w:b/>
                <w:bCs/>
                <w:color w:val="auto"/>
                <w:sz w:val="24"/>
                <w:szCs w:val="24"/>
              </w:rPr>
              <w:t>施工期</w:t>
            </w:r>
          </w:p>
          <w:p w14:paraId="44F05848">
            <w:pPr>
              <w:numPr>
                <w:ilvl w:val="0"/>
                <w:numId w:val="0"/>
              </w:numPr>
              <w:adjustRightInd w:val="0"/>
              <w:snapToGrid w:val="0"/>
              <w:spacing w:line="360" w:lineRule="auto"/>
              <w:ind w:firstLine="480" w:firstLineChars="200"/>
              <w:rPr>
                <w:b/>
                <w:bCs/>
                <w:color w:val="FF0000"/>
                <w:sz w:val="24"/>
              </w:rPr>
            </w:pPr>
            <w:r>
              <w:rPr>
                <w:rFonts w:hint="eastAsia" w:ascii="Times New Roman" w:hAnsi="Times New Roman" w:cs="Times New Roman"/>
                <w:color w:val="FF0000"/>
                <w:kern w:val="10"/>
                <w:sz w:val="24"/>
                <w:lang w:val="en-US" w:eastAsia="zh-CN"/>
              </w:rPr>
              <w:t>本项目为锅炉技改项目，无土建工程，施工主要为设备安装，影响时间短、范围小，因此，本次环评不对施工期展开分析。</w:t>
            </w:r>
          </w:p>
          <w:p w14:paraId="5C3B8741">
            <w:pPr>
              <w:numPr>
                <w:ilvl w:val="0"/>
                <w:numId w:val="6"/>
              </w:numPr>
              <w:adjustRightInd w:val="0"/>
              <w:snapToGrid w:val="0"/>
              <w:spacing w:line="360" w:lineRule="auto"/>
              <w:ind w:firstLine="482" w:firstLineChars="200"/>
              <w:rPr>
                <w:b/>
                <w:bCs/>
                <w:sz w:val="24"/>
              </w:rPr>
            </w:pPr>
            <w:r>
              <w:rPr>
                <w:b/>
                <w:bCs/>
                <w:sz w:val="24"/>
              </w:rPr>
              <w:t>运营期工艺流程及产污环节</w:t>
            </w:r>
          </w:p>
          <w:p w14:paraId="5228C10F">
            <w:pPr>
              <w:pStyle w:val="18"/>
              <w:numPr>
                <w:ilvl w:val="0"/>
                <w:numId w:val="0"/>
              </w:numPr>
              <w:ind w:firstLine="480" w:firstLineChars="200"/>
              <w:rPr>
                <w:rFonts w:hint="default" w:ascii="Times New Roman" w:hAnsi="Times New Roman" w:cs="Times New Roman"/>
                <w:color w:val="auto"/>
                <w:kern w:val="10"/>
                <w:sz w:val="24"/>
              </w:rPr>
            </w:pPr>
            <w:r>
              <w:rPr>
                <w:rFonts w:hint="eastAsia"/>
                <w:lang w:val="en-US" w:eastAsia="zh-CN"/>
              </w:rPr>
              <w:t>本项目为锅炉技改项目，运营期仅针对锅炉运行部分进行分析。</w:t>
            </w:r>
          </w:p>
        </w:tc>
      </w:tr>
      <w:tr w14:paraId="6C8927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74" w:hRule="atLeast"/>
          <w:jc w:val="center"/>
        </w:trPr>
        <w:tc>
          <w:tcPr>
            <w:tcW w:w="682" w:type="dxa"/>
            <w:vAlign w:val="center"/>
          </w:tcPr>
          <w:p w14:paraId="5890AD34">
            <w:pPr>
              <w:pStyle w:val="23"/>
              <w:adjustRightInd w:val="0"/>
              <w:snapToGrid w:val="0"/>
              <w:spacing w:before="0" w:beforeAutospacing="0" w:after="0" w:afterAutospacing="0"/>
              <w:jc w:val="center"/>
              <w:rPr>
                <w:rFonts w:cs="宋体"/>
                <w:sz w:val="21"/>
                <w:szCs w:val="21"/>
              </w:rPr>
            </w:pPr>
            <w:r>
              <w:rPr>
                <w:rFonts w:hint="eastAsia" w:cs="宋体"/>
                <w:sz w:val="21"/>
                <w:szCs w:val="21"/>
              </w:rPr>
              <w:t>工艺流程和产排污环节</w:t>
            </w:r>
          </w:p>
        </w:tc>
        <w:tc>
          <w:tcPr>
            <w:tcW w:w="8302" w:type="dxa"/>
          </w:tcPr>
          <w:p w14:paraId="69840280">
            <w:pPr>
              <w:adjustRightInd w:val="0"/>
              <w:snapToGrid w:val="0"/>
              <w:spacing w:line="360" w:lineRule="auto"/>
              <w:jc w:val="center"/>
              <w:rPr>
                <w:b/>
                <w:bCs/>
                <w:sz w:val="24"/>
                <w:szCs w:val="24"/>
              </w:rPr>
            </w:pPr>
            <w:r>
              <w:rPr>
                <w:rFonts w:hint="eastAsia"/>
                <w:b/>
                <w:bCs/>
                <w:sz w:val="24"/>
                <w:szCs w:val="24"/>
              </w:rPr>
              <w:drawing>
                <wp:inline distT="0" distB="0" distL="114300" distR="114300">
                  <wp:extent cx="5336540" cy="4314825"/>
                  <wp:effectExtent l="0" t="0" r="16510" b="9525"/>
                  <wp:docPr id="4" name="图片 4" descr="29883d6ce87ed9c5ce08d4bf84c4f07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29883d6ce87ed9c5ce08d4bf84c4f07f"/>
                          <pic:cNvPicPr>
                            <a:picLocks noChangeAspect="1"/>
                          </pic:cNvPicPr>
                        </pic:nvPicPr>
                        <pic:blipFill>
                          <a:blip r:embed="rId14"/>
                          <a:stretch>
                            <a:fillRect/>
                          </a:stretch>
                        </pic:blipFill>
                        <pic:spPr>
                          <a:xfrm>
                            <a:off x="0" y="0"/>
                            <a:ext cx="5336540" cy="4314825"/>
                          </a:xfrm>
                          <a:prstGeom prst="rect">
                            <a:avLst/>
                          </a:prstGeom>
                        </pic:spPr>
                      </pic:pic>
                    </a:graphicData>
                  </a:graphic>
                </wp:inline>
              </w:drawing>
            </w:r>
            <w:r>
              <w:rPr>
                <w:rFonts w:hint="eastAsia"/>
                <w:b/>
                <w:bCs/>
                <w:sz w:val="24"/>
                <w:szCs w:val="24"/>
              </w:rPr>
              <w:t>图2-</w:t>
            </w:r>
            <w:bookmarkStart w:id="6" w:name="OLE_LINK41"/>
            <w:r>
              <w:rPr>
                <w:rFonts w:hint="eastAsia"/>
                <w:b/>
                <w:bCs/>
                <w:sz w:val="24"/>
                <w:szCs w:val="24"/>
                <w:lang w:val="en-US" w:eastAsia="zh-CN"/>
              </w:rPr>
              <w:t>2</w:t>
            </w:r>
            <w:r>
              <w:rPr>
                <w:rFonts w:hint="eastAsia"/>
                <w:b/>
                <w:bCs/>
                <w:sz w:val="24"/>
                <w:szCs w:val="24"/>
              </w:rPr>
              <w:t xml:space="preserve">  </w:t>
            </w:r>
            <w:bookmarkEnd w:id="6"/>
            <w:r>
              <w:rPr>
                <w:rFonts w:hint="eastAsia"/>
                <w:b/>
                <w:bCs/>
                <w:sz w:val="24"/>
                <w:szCs w:val="24"/>
                <w:lang w:val="en-US" w:eastAsia="zh-CN"/>
              </w:rPr>
              <w:t>技改项目锅炉生产</w:t>
            </w:r>
            <w:r>
              <w:rPr>
                <w:rFonts w:hint="default" w:ascii="Times New Roman" w:hAnsi="Times New Roman" w:cs="Times New Roman"/>
                <w:b/>
                <w:bCs/>
                <w:color w:val="auto"/>
                <w:sz w:val="24"/>
                <w:szCs w:val="24"/>
                <w:lang w:val="en-US" w:eastAsia="zh-CN"/>
              </w:rPr>
              <w:t>工艺流程及排污情况</w:t>
            </w:r>
          </w:p>
          <w:p w14:paraId="28B2DB5C">
            <w:pPr>
              <w:pStyle w:val="48"/>
              <w:keepNext w:val="0"/>
              <w:keepLines w:val="0"/>
              <w:suppressLineNumbers w:val="0"/>
              <w:spacing w:before="0" w:beforeAutospacing="0" w:after="0" w:afterAutospacing="0"/>
              <w:ind w:left="0" w:right="0" w:firstLine="482"/>
              <w:rPr>
                <w:rFonts w:hint="default"/>
                <w:b/>
                <w:bCs/>
                <w:color w:val="auto"/>
              </w:rPr>
            </w:pPr>
            <w:r>
              <w:rPr>
                <w:rFonts w:hint="default"/>
                <w:b/>
                <w:bCs/>
                <w:color w:val="auto"/>
              </w:rPr>
              <w:t>工艺流程简述：</w:t>
            </w:r>
          </w:p>
          <w:p w14:paraId="217B47A2">
            <w:pPr>
              <w:pStyle w:val="48"/>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eastAsia"/>
                <w:b w:val="0"/>
                <w:bCs w:val="0"/>
                <w:color w:val="FF0000"/>
              </w:rPr>
            </w:pPr>
            <w:r>
              <w:rPr>
                <w:rFonts w:hint="eastAsia"/>
                <w:b w:val="0"/>
                <w:bCs w:val="0"/>
                <w:color w:val="FF0000"/>
                <w:lang w:val="en-US" w:eastAsia="zh-CN"/>
              </w:rPr>
              <w:t>技改项目锅炉运营期工艺流程说明如下：</w:t>
            </w:r>
          </w:p>
          <w:p w14:paraId="1D0B0974">
            <w:pPr>
              <w:pStyle w:val="48"/>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eastAsia"/>
                <w:b w:val="0"/>
                <w:bCs w:val="0"/>
                <w:color w:val="FF0000"/>
              </w:rPr>
            </w:pPr>
            <w:r>
              <w:rPr>
                <w:rFonts w:hint="eastAsia"/>
                <w:b w:val="0"/>
                <w:bCs w:val="0"/>
                <w:color w:val="FF0000"/>
                <w:lang w:val="en-US" w:eastAsia="zh-CN"/>
              </w:rPr>
              <w:t>本项目锅炉用水依托现有项目一套软水制备系统制备，所依托软水制备系统采用离子交换树脂法，利用树脂中的可交换阳离子（如H</w:t>
            </w:r>
            <w:r>
              <w:rPr>
                <w:rFonts w:hint="eastAsia"/>
                <w:b w:val="0"/>
                <w:bCs w:val="0"/>
                <w:color w:val="FF0000"/>
                <w:vertAlign w:val="superscript"/>
                <w:lang w:val="en-US" w:eastAsia="zh-CN"/>
              </w:rPr>
              <w:t>+</w:t>
            </w:r>
            <w:r>
              <w:rPr>
                <w:rFonts w:hint="eastAsia"/>
                <w:b w:val="0"/>
                <w:bCs w:val="0"/>
                <w:color w:val="FF0000"/>
                <w:lang w:val="en-US" w:eastAsia="zh-CN"/>
              </w:rPr>
              <w:t>、Na</w:t>
            </w:r>
            <w:r>
              <w:rPr>
                <w:rFonts w:hint="eastAsia"/>
                <w:b w:val="0"/>
                <w:bCs w:val="0"/>
                <w:color w:val="FF0000"/>
                <w:vertAlign w:val="superscript"/>
                <w:lang w:val="en-US" w:eastAsia="zh-CN"/>
              </w:rPr>
              <w:t>+</w:t>
            </w:r>
            <w:r>
              <w:rPr>
                <w:rFonts w:hint="eastAsia"/>
                <w:b w:val="0"/>
                <w:bCs w:val="0"/>
                <w:color w:val="FF0000"/>
                <w:lang w:val="en-US" w:eastAsia="zh-CN"/>
              </w:rPr>
              <w:t>等）与水中的阳离子进行交换，将水中的硬度离子Ca</w:t>
            </w:r>
            <w:r>
              <w:rPr>
                <w:rFonts w:hint="eastAsia"/>
                <w:b w:val="0"/>
                <w:bCs w:val="0"/>
                <w:color w:val="FF0000"/>
                <w:vertAlign w:val="superscript"/>
                <w:lang w:val="en-US" w:eastAsia="zh-CN"/>
              </w:rPr>
              <w:t>2+</w:t>
            </w:r>
            <w:r>
              <w:rPr>
                <w:rFonts w:hint="eastAsia"/>
                <w:b w:val="0"/>
                <w:bCs w:val="0"/>
                <w:color w:val="FF0000"/>
                <w:lang w:val="en-US" w:eastAsia="zh-CN"/>
              </w:rPr>
              <w:t>、Mg</w:t>
            </w:r>
            <w:r>
              <w:rPr>
                <w:rFonts w:hint="eastAsia"/>
                <w:b w:val="0"/>
                <w:bCs w:val="0"/>
                <w:color w:val="FF0000"/>
                <w:vertAlign w:val="superscript"/>
                <w:lang w:val="en-US" w:eastAsia="zh-CN"/>
              </w:rPr>
              <w:t>2+</w:t>
            </w:r>
            <w:r>
              <w:rPr>
                <w:rFonts w:hint="eastAsia"/>
                <w:b w:val="0"/>
                <w:bCs w:val="0"/>
                <w:color w:val="FF0000"/>
                <w:lang w:val="en-US" w:eastAsia="zh-CN"/>
              </w:rPr>
              <w:t>置换出来，从而达到软化水的目的。这一过程中，树脂中的阳离子与水中的硬度离子发生交换反应，树脂吸附了硬度离子，制备好的软水用于锅炉用水。制备过程会产生</w:t>
            </w:r>
            <w:r>
              <w:rPr>
                <w:rFonts w:hint="eastAsia"/>
                <w:color w:val="FF0000"/>
                <w:lang w:val="en-US" w:eastAsia="zh-CN"/>
              </w:rPr>
              <w:t>树脂再生</w:t>
            </w:r>
            <w:r>
              <w:rPr>
                <w:rFonts w:hint="eastAsia" w:eastAsia="宋体"/>
                <w:color w:val="FF0000"/>
                <w:lang w:val="en-US" w:eastAsia="zh-CN"/>
              </w:rPr>
              <w:t>废水</w:t>
            </w:r>
            <w:r>
              <w:rPr>
                <w:rFonts w:hint="eastAsia"/>
                <w:color w:val="FF0000"/>
                <w:lang w:val="en-US" w:eastAsia="zh-CN"/>
              </w:rPr>
              <w:t>以及废离子交换树脂</w:t>
            </w:r>
            <w:r>
              <w:rPr>
                <w:rFonts w:hint="eastAsia"/>
                <w:b w:val="0"/>
                <w:bCs w:val="0"/>
                <w:color w:val="FF0000"/>
                <w:lang w:val="en-US" w:eastAsia="zh-CN"/>
              </w:rPr>
              <w:t>。</w:t>
            </w:r>
          </w:p>
          <w:p w14:paraId="2ADF6BAC">
            <w:pPr>
              <w:pStyle w:val="48"/>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default" w:ascii="Times New Roman" w:hAnsi="Times New Roman" w:cs="Times New Roman"/>
                <w:b w:val="0"/>
                <w:bCs w:val="0"/>
                <w:color w:val="FF0000"/>
                <w:lang w:val="en-US" w:eastAsia="zh-CN"/>
              </w:rPr>
            </w:pPr>
            <w:r>
              <w:rPr>
                <w:rFonts w:hint="default" w:ascii="Times New Roman" w:hAnsi="Times New Roman" w:cs="Times New Roman"/>
                <w:b w:val="0"/>
                <w:bCs w:val="0"/>
                <w:color w:val="FF0000"/>
                <w:lang w:val="en-US" w:eastAsia="zh-CN"/>
              </w:rPr>
              <w:t>生物质成型燃料通过</w:t>
            </w:r>
            <w:r>
              <w:rPr>
                <w:rFonts w:hint="eastAsia" w:cs="Times New Roman"/>
                <w:b w:val="0"/>
                <w:bCs w:val="0"/>
                <w:color w:val="FF0000"/>
                <w:lang w:val="en-US" w:eastAsia="zh-CN"/>
              </w:rPr>
              <w:t>传送带输入料斗后输送进锅炉内部作为燃料燃烧</w:t>
            </w:r>
            <w:r>
              <w:rPr>
                <w:rFonts w:hint="default" w:ascii="Times New Roman" w:hAnsi="Times New Roman" w:cs="Times New Roman"/>
                <w:b w:val="0"/>
                <w:bCs w:val="0"/>
                <w:color w:val="FF0000"/>
                <w:lang w:val="en-US" w:eastAsia="zh-CN"/>
              </w:rPr>
              <w:t>，</w:t>
            </w:r>
            <w:r>
              <w:rPr>
                <w:rFonts w:hint="eastAsia" w:cs="Times New Roman"/>
                <w:b w:val="0"/>
                <w:bCs w:val="0"/>
                <w:color w:val="FF0000"/>
                <w:lang w:val="en-US" w:eastAsia="zh-CN"/>
              </w:rPr>
              <w:t>同时需要由人工使用工具定时手动清理锅炉内产出的炉渣。待软水加热至沸点，需对锅炉给水进行除氧处理，该过程需消耗蒸汽（消耗量约为锅炉蒸汽产量的1%-3%），再通过继续</w:t>
            </w:r>
            <w:r>
              <w:rPr>
                <w:rFonts w:hint="default" w:ascii="Times New Roman" w:hAnsi="Times New Roman" w:cs="Times New Roman"/>
                <w:b w:val="0"/>
                <w:bCs w:val="0"/>
                <w:color w:val="FF0000"/>
                <w:lang w:val="en-US" w:eastAsia="zh-CN"/>
              </w:rPr>
              <w:t>加热软水使其变为蒸汽，</w:t>
            </w:r>
            <w:r>
              <w:rPr>
                <w:rFonts w:hint="eastAsia" w:cs="Times New Roman"/>
                <w:b w:val="0"/>
                <w:bCs w:val="0"/>
                <w:color w:val="FF0000"/>
                <w:lang w:val="en-US" w:eastAsia="zh-CN"/>
              </w:rPr>
              <w:t>制备好的蒸汽压力约为1.25MPa左右，温度约为</w:t>
            </w:r>
            <w:r>
              <w:rPr>
                <w:rFonts w:hint="default" w:ascii="Times New Roman" w:hAnsi="Times New Roman" w:cs="Times New Roman"/>
                <w:b w:val="0"/>
                <w:bCs w:val="0"/>
                <w:color w:val="FF0000"/>
                <w:lang w:val="en-US" w:eastAsia="zh-CN"/>
              </w:rPr>
              <w:t>280℃</w:t>
            </w:r>
            <w:r>
              <w:rPr>
                <w:rFonts w:hint="eastAsia" w:cs="Times New Roman"/>
                <w:b w:val="0"/>
                <w:bCs w:val="0"/>
                <w:color w:val="FF0000"/>
                <w:lang w:val="en-US" w:eastAsia="zh-CN"/>
              </w:rPr>
              <w:t>，</w:t>
            </w:r>
            <w:r>
              <w:rPr>
                <w:rFonts w:hint="default" w:ascii="Times New Roman" w:hAnsi="Times New Roman" w:cs="Times New Roman"/>
                <w:b w:val="0"/>
                <w:bCs w:val="0"/>
                <w:color w:val="FF0000"/>
                <w:lang w:val="en-US" w:eastAsia="zh-CN"/>
              </w:rPr>
              <w:t>蒸汽通过</w:t>
            </w:r>
            <w:r>
              <w:rPr>
                <w:rFonts w:hint="eastAsia" w:cs="Times New Roman"/>
                <w:b w:val="0"/>
                <w:bCs w:val="0"/>
                <w:color w:val="FF0000"/>
                <w:lang w:val="en-US" w:eastAsia="zh-CN"/>
              </w:rPr>
              <w:t>密闭式</w:t>
            </w:r>
            <w:r>
              <w:rPr>
                <w:rFonts w:hint="default" w:ascii="Times New Roman" w:hAnsi="Times New Roman" w:cs="Times New Roman"/>
                <w:b w:val="0"/>
                <w:bCs w:val="0"/>
                <w:color w:val="FF0000"/>
                <w:lang w:val="en-US" w:eastAsia="zh-CN"/>
              </w:rPr>
              <w:t>蒸汽管道</w:t>
            </w:r>
            <w:r>
              <w:rPr>
                <w:rFonts w:hint="eastAsia" w:cs="Times New Roman"/>
                <w:b w:val="0"/>
                <w:bCs w:val="0"/>
                <w:color w:val="FF0000"/>
                <w:lang w:val="en-US" w:eastAsia="zh-CN"/>
              </w:rPr>
              <w:t>输送，为现有项目供热，蒸汽通过直接注入物料中，与物料混合搅拌</w:t>
            </w:r>
            <w:r>
              <w:rPr>
                <w:rFonts w:hint="default" w:ascii="Times New Roman" w:hAnsi="Times New Roman" w:cs="Times New Roman"/>
                <w:b w:val="0"/>
                <w:bCs w:val="0"/>
                <w:color w:val="FF0000"/>
                <w:lang w:val="en-US" w:eastAsia="zh-CN"/>
              </w:rPr>
              <w:t>。该过程会产生锅炉烟气、锅炉炉渣。锅炉烟气</w:t>
            </w:r>
            <w:r>
              <w:rPr>
                <w:rFonts w:hint="eastAsia" w:cs="Times New Roman"/>
                <w:b w:val="0"/>
                <w:bCs w:val="0"/>
                <w:color w:val="FF0000"/>
                <w:lang w:val="en-US" w:eastAsia="zh-CN"/>
              </w:rPr>
              <w:t>经一套“冷却塔+布袋除尘”设施</w:t>
            </w:r>
            <w:r>
              <w:rPr>
                <w:rFonts w:hint="default" w:ascii="Times New Roman" w:hAnsi="Times New Roman" w:cs="Times New Roman"/>
                <w:b w:val="0"/>
                <w:bCs w:val="0"/>
                <w:color w:val="FF0000"/>
                <w:lang w:val="en-US" w:eastAsia="zh-CN"/>
              </w:rPr>
              <w:t>处理</w:t>
            </w:r>
            <w:r>
              <w:rPr>
                <w:rFonts w:hint="eastAsia" w:cs="Times New Roman"/>
                <w:b w:val="0"/>
                <w:bCs w:val="0"/>
                <w:color w:val="FF0000"/>
                <w:lang w:val="en-US" w:eastAsia="zh-CN"/>
              </w:rPr>
              <w:t>达标</w:t>
            </w:r>
            <w:r>
              <w:rPr>
                <w:rFonts w:hint="default" w:ascii="Times New Roman" w:hAnsi="Times New Roman" w:cs="Times New Roman"/>
                <w:b w:val="0"/>
                <w:bCs w:val="0"/>
                <w:color w:val="FF0000"/>
                <w:lang w:val="en-US" w:eastAsia="zh-CN"/>
              </w:rPr>
              <w:t>后，</w:t>
            </w:r>
            <w:r>
              <w:rPr>
                <w:rFonts w:hint="eastAsia" w:cs="Times New Roman"/>
                <w:b w:val="0"/>
                <w:bCs w:val="0"/>
                <w:color w:val="FF0000"/>
                <w:lang w:val="en-US" w:eastAsia="zh-CN"/>
              </w:rPr>
              <w:t>再通过35</w:t>
            </w:r>
            <w:r>
              <w:rPr>
                <w:rFonts w:hint="default" w:ascii="Times New Roman" w:hAnsi="Times New Roman" w:cs="Times New Roman"/>
                <w:b w:val="0"/>
                <w:bCs w:val="0"/>
                <w:color w:val="FF0000"/>
                <w:lang w:val="en-US" w:eastAsia="zh-CN"/>
              </w:rPr>
              <w:t>m高排气筒</w:t>
            </w:r>
            <w:r>
              <w:rPr>
                <w:rFonts w:hint="eastAsia" w:cs="Times New Roman"/>
                <w:b w:val="0"/>
                <w:bCs w:val="0"/>
                <w:color w:val="FF0000"/>
                <w:lang w:val="en-US" w:eastAsia="zh-CN"/>
              </w:rPr>
              <w:t>（DA001）</w:t>
            </w:r>
            <w:r>
              <w:rPr>
                <w:rFonts w:hint="default" w:ascii="Times New Roman" w:hAnsi="Times New Roman" w:cs="Times New Roman"/>
                <w:b w:val="0"/>
                <w:bCs w:val="0"/>
                <w:color w:val="FF0000"/>
                <w:lang w:val="en-US" w:eastAsia="zh-CN"/>
              </w:rPr>
              <w:t>排放</w:t>
            </w:r>
            <w:r>
              <w:rPr>
                <w:rFonts w:hint="eastAsia" w:cs="Times New Roman"/>
                <w:b w:val="0"/>
                <w:bCs w:val="0"/>
                <w:color w:val="FF0000"/>
                <w:lang w:val="en-US" w:eastAsia="zh-CN"/>
              </w:rPr>
              <w:t>。烟气处理过程会产生</w:t>
            </w:r>
            <w:r>
              <w:rPr>
                <w:rFonts w:hint="eastAsia" w:ascii="Times New Roman" w:hAnsi="Times New Roman" w:cs="Times New Roman"/>
                <w:b w:val="0"/>
                <w:bCs w:val="0"/>
                <w:color w:val="FF0000"/>
                <w:lang w:val="en-US" w:eastAsia="zh-CN"/>
              </w:rPr>
              <w:t>布袋灰尘、废布袋等</w:t>
            </w:r>
            <w:r>
              <w:rPr>
                <w:rFonts w:hint="eastAsia" w:cs="Times New Roman"/>
                <w:b w:val="0"/>
                <w:bCs w:val="0"/>
                <w:color w:val="FF0000"/>
                <w:lang w:val="en-US" w:eastAsia="zh-CN"/>
              </w:rPr>
              <w:t>固体废物</w:t>
            </w:r>
            <w:r>
              <w:rPr>
                <w:rFonts w:hint="eastAsia" w:ascii="Times New Roman" w:hAnsi="Times New Roman" w:cs="Times New Roman"/>
                <w:b w:val="0"/>
                <w:bCs w:val="0"/>
                <w:color w:val="FF0000"/>
                <w:lang w:val="en-US" w:eastAsia="zh-CN"/>
              </w:rPr>
              <w:t>。</w:t>
            </w:r>
          </w:p>
          <w:p w14:paraId="2C945ADC">
            <w:pPr>
              <w:spacing w:line="360" w:lineRule="auto"/>
              <w:ind w:firstLine="482" w:firstLineChars="200"/>
              <w:rPr>
                <w:rFonts w:ascii="宋体" w:hAnsi="宋体" w:cs="宋体"/>
                <w:sz w:val="24"/>
              </w:rPr>
            </w:pPr>
            <w:r>
              <w:rPr>
                <w:rFonts w:hint="default" w:ascii="Times New Roman" w:hAnsi="Times New Roman" w:cs="Times New Roman"/>
                <w:b/>
                <w:bCs/>
                <w:sz w:val="24"/>
                <w:lang w:val="en-US" w:eastAsia="zh-CN"/>
              </w:rPr>
              <w:t>3</w:t>
            </w:r>
            <w:r>
              <w:rPr>
                <w:rFonts w:hint="default" w:ascii="Times New Roman" w:hAnsi="Times New Roman" w:cs="Times New Roman"/>
                <w:b/>
                <w:bCs/>
                <w:sz w:val="24"/>
              </w:rPr>
              <w:t>、</w:t>
            </w:r>
            <w:r>
              <w:rPr>
                <w:rFonts w:hint="eastAsia" w:ascii="宋体" w:hAnsi="宋体" w:cs="宋体"/>
                <w:b/>
                <w:bCs/>
                <w:sz w:val="24"/>
              </w:rPr>
              <w:t>产污环节分析</w:t>
            </w:r>
          </w:p>
          <w:p w14:paraId="2563365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8" w:lineRule="auto"/>
              <w:ind w:left="0" w:leftChars="0" w:right="0" w:rightChars="0" w:firstLine="480" w:firstLineChars="200"/>
              <w:jc w:val="both"/>
              <w:textAlignment w:val="auto"/>
              <w:outlineLvl w:val="9"/>
              <w:rPr>
                <w:rFonts w:hint="default" w:ascii="Times New Roman" w:hAnsi="Times New Roman" w:cs="Times New Roman"/>
                <w:color w:val="auto"/>
                <w:sz w:val="24"/>
                <w:szCs w:val="24"/>
                <w:highlight w:val="none"/>
                <w:shd w:val="clear" w:color="auto" w:fill="auto"/>
                <w:lang w:val="en-US" w:eastAsia="zh-CN"/>
              </w:rPr>
            </w:pPr>
            <w:r>
              <w:rPr>
                <w:rFonts w:hint="default" w:ascii="Times New Roman" w:hAnsi="Times New Roman" w:cs="Times New Roman"/>
                <w:color w:val="auto"/>
                <w:sz w:val="24"/>
                <w:szCs w:val="24"/>
                <w:highlight w:val="none"/>
                <w:shd w:val="clear" w:color="auto" w:fill="auto"/>
                <w:lang w:val="en-US" w:eastAsia="zh-CN"/>
              </w:rPr>
              <w:t>根据项目生产工艺流程分析，生产过程中产生的主要污染有：</w:t>
            </w:r>
            <w:r>
              <w:rPr>
                <w:rFonts w:hint="eastAsia" w:cs="Times New Roman"/>
                <w:color w:val="auto"/>
                <w:sz w:val="24"/>
                <w:szCs w:val="24"/>
                <w:highlight w:val="none"/>
                <w:shd w:val="clear" w:color="auto" w:fill="auto"/>
                <w:lang w:val="en-US" w:eastAsia="zh-CN"/>
              </w:rPr>
              <w:t>废气、废水、固废、噪声。</w:t>
            </w:r>
          </w:p>
          <w:p w14:paraId="73F9558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8" w:lineRule="auto"/>
              <w:ind w:left="0" w:leftChars="0" w:right="0" w:rightChars="0" w:firstLine="480" w:firstLineChars="200"/>
              <w:jc w:val="both"/>
              <w:textAlignment w:val="auto"/>
              <w:outlineLvl w:val="9"/>
              <w:rPr>
                <w:rFonts w:hint="default" w:ascii="Times New Roman" w:hAnsi="Times New Roman" w:cs="Times New Roman"/>
                <w:color w:val="auto"/>
                <w:sz w:val="24"/>
                <w:szCs w:val="24"/>
                <w:highlight w:val="none"/>
                <w:shd w:val="clear" w:color="auto" w:fill="auto"/>
                <w:lang w:val="en-US" w:eastAsia="zh-CN"/>
              </w:rPr>
            </w:pPr>
            <w:r>
              <w:rPr>
                <w:rFonts w:hint="default" w:ascii="Times New Roman" w:hAnsi="Times New Roman" w:cs="Times New Roman"/>
                <w:color w:val="auto"/>
                <w:sz w:val="24"/>
                <w:szCs w:val="24"/>
                <w:highlight w:val="none"/>
                <w:shd w:val="clear" w:color="auto" w:fill="auto"/>
                <w:lang w:val="en-US" w:eastAsia="zh-CN"/>
              </w:rPr>
              <w:t>废气：项目</w:t>
            </w:r>
            <w:r>
              <w:rPr>
                <w:rFonts w:hint="eastAsia" w:cs="Times New Roman"/>
                <w:color w:val="auto"/>
                <w:sz w:val="24"/>
                <w:szCs w:val="24"/>
                <w:highlight w:val="none"/>
                <w:shd w:val="clear" w:color="auto" w:fill="auto"/>
                <w:lang w:val="en-US" w:eastAsia="zh-CN"/>
              </w:rPr>
              <w:t>生产过程中产生的</w:t>
            </w:r>
            <w:r>
              <w:rPr>
                <w:rFonts w:hint="default" w:ascii="Times New Roman" w:hAnsi="Times New Roman" w:cs="Times New Roman"/>
                <w:color w:val="auto"/>
                <w:sz w:val="24"/>
                <w:szCs w:val="24"/>
                <w:highlight w:val="none"/>
                <w:shd w:val="clear" w:color="auto" w:fill="auto"/>
                <w:lang w:val="en-US" w:eastAsia="zh-CN"/>
              </w:rPr>
              <w:t>废气主要为</w:t>
            </w:r>
            <w:r>
              <w:rPr>
                <w:rFonts w:hint="eastAsia" w:cs="Times New Roman"/>
                <w:color w:val="auto"/>
                <w:sz w:val="24"/>
                <w:szCs w:val="24"/>
                <w:highlight w:val="none"/>
                <w:shd w:val="clear" w:color="auto" w:fill="auto"/>
                <w:lang w:val="en-US" w:eastAsia="zh-CN"/>
              </w:rPr>
              <w:t>锅炉运行过程中产生的锅炉烟气</w:t>
            </w:r>
            <w:r>
              <w:rPr>
                <w:rFonts w:hint="eastAsia" w:ascii="Times New Roman" w:hAnsi="Times New Roman" w:cs="Times New Roman"/>
                <w:color w:val="auto"/>
                <w:sz w:val="24"/>
                <w:szCs w:val="24"/>
                <w:highlight w:val="none"/>
                <w:shd w:val="clear" w:color="auto" w:fill="auto"/>
                <w:lang w:val="en-US" w:eastAsia="zh-CN"/>
              </w:rPr>
              <w:t>（</w:t>
            </w:r>
            <w:r>
              <w:rPr>
                <w:rFonts w:hint="eastAsia" w:cs="Times New Roman"/>
                <w:color w:val="FF0000"/>
                <w:sz w:val="24"/>
                <w:szCs w:val="24"/>
                <w:highlight w:val="none"/>
                <w:shd w:val="clear" w:color="auto" w:fill="auto"/>
                <w:lang w:val="en-US" w:eastAsia="zh-CN"/>
              </w:rPr>
              <w:t>污染物</w:t>
            </w:r>
            <w:r>
              <w:rPr>
                <w:rFonts w:hint="eastAsia" w:cs="Times New Roman"/>
                <w:color w:val="auto"/>
                <w:sz w:val="24"/>
                <w:szCs w:val="24"/>
                <w:highlight w:val="none"/>
                <w:shd w:val="clear" w:color="auto" w:fill="auto"/>
                <w:lang w:val="en-US" w:eastAsia="zh-CN"/>
              </w:rPr>
              <w:t>为颗粒物、SO</w:t>
            </w:r>
            <w:r>
              <w:rPr>
                <w:rFonts w:hint="eastAsia" w:cs="Times New Roman"/>
                <w:color w:val="auto"/>
                <w:sz w:val="24"/>
                <w:szCs w:val="24"/>
                <w:highlight w:val="none"/>
                <w:shd w:val="clear" w:color="auto" w:fill="auto"/>
                <w:vertAlign w:val="subscript"/>
                <w:lang w:val="en-US" w:eastAsia="zh-CN"/>
              </w:rPr>
              <w:t>2</w:t>
            </w:r>
            <w:r>
              <w:rPr>
                <w:rFonts w:hint="eastAsia" w:cs="Times New Roman"/>
                <w:color w:val="auto"/>
                <w:sz w:val="24"/>
                <w:szCs w:val="24"/>
                <w:highlight w:val="none"/>
                <w:shd w:val="clear" w:color="auto" w:fill="auto"/>
                <w:lang w:val="en-US" w:eastAsia="zh-CN"/>
              </w:rPr>
              <w:t>、NO</w:t>
            </w:r>
            <w:r>
              <w:rPr>
                <w:rFonts w:hint="eastAsia" w:cs="Times New Roman"/>
                <w:color w:val="auto"/>
                <w:sz w:val="24"/>
                <w:szCs w:val="24"/>
                <w:highlight w:val="none"/>
                <w:shd w:val="clear" w:color="auto" w:fill="auto"/>
                <w:vertAlign w:val="subscript"/>
                <w:lang w:val="en-US" w:eastAsia="zh-CN"/>
              </w:rPr>
              <w:t>X</w:t>
            </w:r>
            <w:r>
              <w:rPr>
                <w:rFonts w:hint="eastAsia" w:ascii="Times New Roman" w:hAnsi="Times New Roman" w:cs="Times New Roman"/>
                <w:color w:val="auto"/>
                <w:sz w:val="24"/>
                <w:szCs w:val="24"/>
                <w:highlight w:val="none"/>
                <w:shd w:val="clear" w:color="auto" w:fill="auto"/>
                <w:lang w:val="en-US" w:eastAsia="zh-CN"/>
              </w:rPr>
              <w:t>）。</w:t>
            </w:r>
          </w:p>
          <w:p w14:paraId="58120DB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8" w:lineRule="auto"/>
              <w:ind w:left="0" w:leftChars="0" w:right="0" w:rightChars="0" w:firstLine="480" w:firstLineChars="200"/>
              <w:jc w:val="both"/>
              <w:textAlignment w:val="auto"/>
              <w:outlineLvl w:val="9"/>
              <w:rPr>
                <w:rFonts w:hint="default" w:ascii="Times New Roman" w:hAnsi="Times New Roman" w:cs="Times New Roman"/>
                <w:color w:val="auto"/>
                <w:sz w:val="24"/>
                <w:szCs w:val="24"/>
                <w:highlight w:val="none"/>
                <w:shd w:val="clear" w:color="auto" w:fill="auto"/>
                <w:lang w:val="en-US" w:eastAsia="zh-CN"/>
              </w:rPr>
            </w:pPr>
            <w:r>
              <w:rPr>
                <w:rFonts w:hint="eastAsia" w:cs="Times New Roman"/>
                <w:color w:val="auto"/>
                <w:sz w:val="24"/>
                <w:szCs w:val="24"/>
                <w:highlight w:val="none"/>
                <w:shd w:val="clear" w:color="auto" w:fill="auto"/>
                <w:lang w:val="en-US" w:eastAsia="zh-CN"/>
              </w:rPr>
              <w:t>废水：</w:t>
            </w:r>
            <w:r>
              <w:rPr>
                <w:rFonts w:hint="eastAsia" w:ascii="宋体" w:hAnsi="宋体" w:cs="宋体"/>
                <w:color w:val="auto"/>
                <w:sz w:val="24"/>
              </w:rPr>
              <w:t>项目废水主要为</w:t>
            </w:r>
            <w:r>
              <w:rPr>
                <w:rFonts w:hint="eastAsia" w:ascii="宋体" w:hAnsi="宋体" w:cs="宋体"/>
                <w:color w:val="auto"/>
                <w:sz w:val="24"/>
                <w:lang w:val="en-US" w:eastAsia="zh-CN"/>
              </w:rPr>
              <w:t>软水制备过程中产生的</w:t>
            </w:r>
            <w:r>
              <w:rPr>
                <w:rFonts w:hint="eastAsia" w:ascii="宋体" w:hAnsi="宋体" w:cs="宋体"/>
                <w:color w:val="FF0000"/>
                <w:sz w:val="24"/>
                <w:lang w:val="en-US" w:eastAsia="zh-CN"/>
              </w:rPr>
              <w:t>树脂再生</w:t>
            </w:r>
            <w:r>
              <w:rPr>
                <w:rFonts w:hint="eastAsia" w:ascii="宋体" w:hAnsi="宋体" w:cs="宋体"/>
                <w:color w:val="auto"/>
                <w:sz w:val="24"/>
                <w:lang w:val="en-US" w:eastAsia="zh-CN"/>
              </w:rPr>
              <w:t>废水。</w:t>
            </w:r>
          </w:p>
          <w:p w14:paraId="058C3E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8" w:lineRule="auto"/>
              <w:ind w:left="0" w:leftChars="0" w:right="0" w:rightChars="0" w:firstLine="480" w:firstLineChars="200"/>
              <w:jc w:val="both"/>
              <w:textAlignment w:val="auto"/>
              <w:outlineLvl w:val="9"/>
              <w:rPr>
                <w:rFonts w:hint="default" w:ascii="Times New Roman" w:hAnsi="Times New Roman" w:cs="Times New Roman"/>
                <w:color w:val="auto"/>
                <w:sz w:val="24"/>
                <w:szCs w:val="24"/>
                <w:highlight w:val="none"/>
                <w:shd w:val="clear" w:color="auto" w:fill="auto"/>
                <w:lang w:val="en-US" w:eastAsia="zh-CN"/>
              </w:rPr>
            </w:pPr>
            <w:r>
              <w:rPr>
                <w:rFonts w:hint="default" w:ascii="Times New Roman" w:hAnsi="Times New Roman" w:cs="Times New Roman"/>
                <w:color w:val="auto"/>
                <w:sz w:val="24"/>
                <w:szCs w:val="24"/>
                <w:highlight w:val="none"/>
                <w:shd w:val="clear" w:color="auto" w:fill="auto"/>
                <w:lang w:val="en-US" w:eastAsia="zh-CN"/>
              </w:rPr>
              <w:t>固废：项目</w:t>
            </w:r>
            <w:r>
              <w:rPr>
                <w:rFonts w:hint="default" w:ascii="Times New Roman" w:hAnsi="Times New Roman" w:eastAsia="宋体" w:cs="Times New Roman"/>
                <w:color w:val="auto"/>
                <w:sz w:val="24"/>
                <w:szCs w:val="24"/>
                <w:highlight w:val="none"/>
                <w:shd w:val="clear" w:color="auto" w:fill="auto"/>
                <w:lang w:val="en-US" w:eastAsia="zh-CN"/>
              </w:rPr>
              <w:t>固</w:t>
            </w:r>
            <w:r>
              <w:rPr>
                <w:rFonts w:hint="eastAsia" w:ascii="Times New Roman" w:hAnsi="Times New Roman" w:eastAsia="宋体" w:cs="Times New Roman"/>
                <w:color w:val="auto"/>
                <w:sz w:val="24"/>
                <w:szCs w:val="24"/>
                <w:highlight w:val="none"/>
                <w:shd w:val="clear" w:color="auto" w:fill="auto"/>
                <w:lang w:val="en-US" w:eastAsia="zh-CN"/>
              </w:rPr>
              <w:t>体</w:t>
            </w:r>
            <w:r>
              <w:rPr>
                <w:rFonts w:hint="default" w:ascii="Times New Roman" w:hAnsi="Times New Roman" w:eastAsia="宋体" w:cs="Times New Roman"/>
                <w:color w:val="auto"/>
                <w:sz w:val="24"/>
                <w:szCs w:val="24"/>
                <w:highlight w:val="none"/>
                <w:shd w:val="clear" w:color="auto" w:fill="auto"/>
                <w:lang w:val="en-US" w:eastAsia="zh-CN"/>
              </w:rPr>
              <w:t>废</w:t>
            </w:r>
            <w:r>
              <w:rPr>
                <w:rFonts w:hint="eastAsia" w:ascii="Times New Roman" w:hAnsi="Times New Roman" w:eastAsia="宋体" w:cs="Times New Roman"/>
                <w:color w:val="auto"/>
                <w:sz w:val="24"/>
                <w:szCs w:val="24"/>
                <w:highlight w:val="none"/>
                <w:shd w:val="clear" w:color="auto" w:fill="auto"/>
                <w:lang w:val="en-US" w:eastAsia="zh-CN"/>
              </w:rPr>
              <w:t>物为</w:t>
            </w:r>
            <w:r>
              <w:rPr>
                <w:rFonts w:hint="default" w:ascii="Times New Roman" w:hAnsi="Times New Roman" w:eastAsia="宋体" w:cs="Times New Roman"/>
                <w:color w:val="auto"/>
                <w:sz w:val="24"/>
                <w:szCs w:val="24"/>
                <w:highlight w:val="none"/>
                <w:shd w:val="clear" w:color="auto" w:fill="auto"/>
                <w:lang w:val="en-US" w:eastAsia="zh-CN"/>
              </w:rPr>
              <w:t>一般</w:t>
            </w:r>
            <w:r>
              <w:rPr>
                <w:rFonts w:hint="eastAsia" w:cs="Times New Roman"/>
                <w:color w:val="FF0000"/>
                <w:sz w:val="24"/>
                <w:szCs w:val="24"/>
                <w:highlight w:val="none"/>
                <w:shd w:val="clear" w:color="auto" w:fill="auto"/>
                <w:lang w:val="en-US" w:eastAsia="zh-CN"/>
              </w:rPr>
              <w:t>工业</w:t>
            </w:r>
            <w:r>
              <w:rPr>
                <w:rFonts w:hint="eastAsia" w:ascii="Times New Roman" w:hAnsi="Times New Roman" w:eastAsia="宋体" w:cs="Times New Roman"/>
                <w:color w:val="auto"/>
                <w:sz w:val="24"/>
                <w:szCs w:val="24"/>
                <w:highlight w:val="none"/>
                <w:shd w:val="clear" w:color="auto" w:fill="auto"/>
                <w:lang w:val="en-US" w:eastAsia="zh-CN"/>
              </w:rPr>
              <w:t>固体废物</w:t>
            </w:r>
            <w:r>
              <w:rPr>
                <w:rFonts w:hint="default" w:ascii="Times New Roman" w:hAnsi="Times New Roman" w:eastAsia="宋体" w:cs="Times New Roman"/>
                <w:color w:val="auto"/>
                <w:sz w:val="24"/>
                <w:szCs w:val="24"/>
                <w:highlight w:val="none"/>
                <w:shd w:val="clear" w:color="auto" w:fill="auto"/>
                <w:lang w:val="en-US" w:eastAsia="zh-CN"/>
              </w:rPr>
              <w:t>。一般</w:t>
            </w:r>
            <w:r>
              <w:rPr>
                <w:rFonts w:hint="eastAsia" w:cs="Times New Roman"/>
                <w:color w:val="FF0000"/>
                <w:sz w:val="24"/>
                <w:szCs w:val="24"/>
                <w:highlight w:val="none"/>
                <w:shd w:val="clear" w:color="auto" w:fill="auto"/>
                <w:lang w:val="en-US" w:eastAsia="zh-CN"/>
              </w:rPr>
              <w:t>工业</w:t>
            </w:r>
            <w:r>
              <w:rPr>
                <w:rFonts w:hint="eastAsia" w:ascii="Times New Roman" w:hAnsi="Times New Roman" w:eastAsia="宋体" w:cs="Times New Roman"/>
                <w:color w:val="auto"/>
                <w:sz w:val="24"/>
                <w:szCs w:val="24"/>
                <w:highlight w:val="none"/>
                <w:shd w:val="clear" w:color="auto" w:fill="auto"/>
                <w:lang w:val="en-US" w:eastAsia="zh-CN"/>
              </w:rPr>
              <w:t>固体废物</w:t>
            </w:r>
            <w:r>
              <w:rPr>
                <w:rFonts w:hint="eastAsia" w:cs="Times New Roman"/>
                <w:color w:val="auto"/>
                <w:sz w:val="24"/>
                <w:szCs w:val="24"/>
                <w:highlight w:val="none"/>
                <w:shd w:val="clear" w:color="auto" w:fill="auto"/>
                <w:lang w:val="en-US" w:eastAsia="zh-CN"/>
              </w:rPr>
              <w:t>分别</w:t>
            </w:r>
            <w:r>
              <w:rPr>
                <w:rFonts w:hint="eastAsia" w:ascii="Times New Roman" w:hAnsi="Times New Roman" w:eastAsia="宋体" w:cs="Times New Roman"/>
                <w:color w:val="auto"/>
                <w:sz w:val="24"/>
                <w:szCs w:val="24"/>
                <w:highlight w:val="none"/>
                <w:shd w:val="clear" w:color="auto" w:fill="auto"/>
                <w:lang w:val="en-US" w:eastAsia="zh-CN"/>
              </w:rPr>
              <w:t>为炉渣、</w:t>
            </w:r>
            <w:r>
              <w:rPr>
                <w:rFonts w:hint="default" w:ascii="Times New Roman" w:hAnsi="Times New Roman" w:eastAsia="宋体" w:cs="Times New Roman"/>
                <w:color w:val="auto"/>
                <w:sz w:val="24"/>
                <w:szCs w:val="24"/>
                <w:highlight w:val="none"/>
                <w:shd w:val="clear" w:color="auto" w:fill="auto"/>
                <w:lang w:val="en-US" w:eastAsia="zh-CN"/>
              </w:rPr>
              <w:t>废离子交换树脂</w:t>
            </w:r>
            <w:r>
              <w:rPr>
                <w:rFonts w:hint="eastAsia" w:ascii="Times New Roman" w:hAnsi="Times New Roman" w:eastAsia="宋体" w:cs="Times New Roman"/>
                <w:color w:val="auto"/>
                <w:sz w:val="24"/>
                <w:szCs w:val="24"/>
                <w:highlight w:val="none"/>
                <w:shd w:val="clear" w:color="auto" w:fill="auto"/>
                <w:lang w:val="en-US" w:eastAsia="zh-CN"/>
              </w:rPr>
              <w:t>、布袋灰尘、废布袋。</w:t>
            </w:r>
          </w:p>
          <w:p w14:paraId="1849748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48" w:lineRule="auto"/>
              <w:ind w:left="0" w:right="0" w:firstLine="480" w:firstLineChars="200"/>
              <w:textAlignment w:val="auto"/>
              <w:rPr>
                <w:rFonts w:hint="default" w:ascii="Times New Roman" w:hAnsi="Times New Roman" w:cs="Times New Roman"/>
                <w:color w:val="auto"/>
                <w:sz w:val="24"/>
                <w:szCs w:val="24"/>
                <w:highlight w:val="none"/>
                <w:shd w:val="clear" w:color="auto" w:fill="auto"/>
                <w:lang w:val="en-US" w:eastAsia="zh-CN"/>
              </w:rPr>
            </w:pPr>
            <w:r>
              <w:rPr>
                <w:rFonts w:hint="default" w:ascii="Times New Roman" w:hAnsi="Times New Roman" w:cs="Times New Roman"/>
                <w:color w:val="auto"/>
                <w:sz w:val="24"/>
                <w:szCs w:val="24"/>
                <w:highlight w:val="none"/>
                <w:shd w:val="clear" w:color="auto" w:fill="auto"/>
                <w:lang w:val="en-US" w:eastAsia="zh-CN"/>
              </w:rPr>
              <w:t>噪声：设备运转过程产生的机械噪声。</w:t>
            </w:r>
          </w:p>
          <w:p w14:paraId="55C2E490">
            <w:pPr>
              <w:pStyle w:val="9"/>
              <w:autoSpaceDE/>
              <w:autoSpaceDN/>
              <w:adjustRightInd/>
              <w:spacing w:line="240" w:lineRule="auto"/>
              <w:ind w:left="0" w:firstLine="0"/>
              <w:jc w:val="center"/>
              <w:textAlignment w:val="auto"/>
              <w:rPr>
                <w:b/>
                <w:bCs/>
                <w:color w:val="auto"/>
                <w:kern w:val="2"/>
                <w:szCs w:val="24"/>
              </w:rPr>
            </w:pPr>
            <w:r>
              <w:rPr>
                <w:b/>
                <w:bCs/>
                <w:color w:val="auto"/>
                <w:kern w:val="2"/>
                <w:szCs w:val="24"/>
              </w:rPr>
              <w:t>表2-</w:t>
            </w:r>
            <w:r>
              <w:rPr>
                <w:rFonts w:hint="eastAsia"/>
                <w:b/>
                <w:bCs/>
                <w:color w:val="auto"/>
                <w:kern w:val="2"/>
                <w:szCs w:val="24"/>
                <w:lang w:val="en-US" w:eastAsia="zh-CN"/>
              </w:rPr>
              <w:t>8</w:t>
            </w:r>
            <w:r>
              <w:rPr>
                <w:b/>
                <w:bCs/>
                <w:color w:val="auto"/>
                <w:kern w:val="2"/>
                <w:szCs w:val="24"/>
              </w:rPr>
              <w:t xml:space="preserve">  产污情况表</w:t>
            </w:r>
          </w:p>
          <w:tbl>
            <w:tblPr>
              <w:tblStyle w:val="27"/>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2"/>
              <w:gridCol w:w="855"/>
              <w:gridCol w:w="1183"/>
              <w:gridCol w:w="1311"/>
              <w:gridCol w:w="1686"/>
              <w:gridCol w:w="2499"/>
            </w:tblGrid>
            <w:tr w14:paraId="4372A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865" w:type="pct"/>
                  <w:gridSpan w:val="2"/>
                  <w:noWrap w:val="0"/>
                  <w:vAlign w:val="center"/>
                </w:tcPr>
                <w:p w14:paraId="40A0FDB4">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主要污染源</w:t>
                  </w:r>
                </w:p>
              </w:tc>
              <w:tc>
                <w:tcPr>
                  <w:tcW w:w="1543" w:type="pct"/>
                  <w:gridSpan w:val="2"/>
                  <w:noWrap w:val="0"/>
                  <w:vAlign w:val="center"/>
                </w:tcPr>
                <w:p w14:paraId="7A6B7D86">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来源</w:t>
                  </w:r>
                </w:p>
              </w:tc>
              <w:tc>
                <w:tcPr>
                  <w:tcW w:w="1043" w:type="pct"/>
                  <w:noWrap w:val="0"/>
                  <w:vAlign w:val="center"/>
                </w:tcPr>
                <w:p w14:paraId="2BD10E00">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污染物名称</w:t>
                  </w:r>
                </w:p>
              </w:tc>
              <w:tc>
                <w:tcPr>
                  <w:tcW w:w="1546" w:type="pct"/>
                  <w:noWrap w:val="0"/>
                  <w:vAlign w:val="center"/>
                </w:tcPr>
                <w:p w14:paraId="5A0A2C4B">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排放方式</w:t>
                  </w:r>
                </w:p>
              </w:tc>
            </w:tr>
            <w:tr w14:paraId="5846A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trPr>
              <w:tc>
                <w:tcPr>
                  <w:tcW w:w="336" w:type="pct"/>
                  <w:vMerge w:val="restart"/>
                  <w:noWrap w:val="0"/>
                  <w:vAlign w:val="center"/>
                </w:tcPr>
                <w:p w14:paraId="1B2CFEAA">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营运期</w:t>
                  </w:r>
                </w:p>
              </w:tc>
              <w:tc>
                <w:tcPr>
                  <w:tcW w:w="529" w:type="pct"/>
                  <w:noWrap w:val="0"/>
                  <w:vAlign w:val="center"/>
                </w:tcPr>
                <w:p w14:paraId="5CD5D3DC">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废气</w:t>
                  </w:r>
                </w:p>
              </w:tc>
              <w:tc>
                <w:tcPr>
                  <w:tcW w:w="732" w:type="pct"/>
                  <w:noWrap w:val="0"/>
                  <w:vAlign w:val="center"/>
                </w:tcPr>
                <w:p w14:paraId="7972A6F4">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锅炉房</w:t>
                  </w:r>
                </w:p>
              </w:tc>
              <w:tc>
                <w:tcPr>
                  <w:tcW w:w="811" w:type="pct"/>
                  <w:noWrap w:val="0"/>
                  <w:vAlign w:val="center"/>
                </w:tcPr>
                <w:p w14:paraId="0D7114EC">
                  <w:pPr>
                    <w:adjustRightInd w:val="0"/>
                    <w:snapToGrid w:val="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锅炉烟气</w:t>
                  </w:r>
                </w:p>
              </w:tc>
              <w:tc>
                <w:tcPr>
                  <w:tcW w:w="1043" w:type="pct"/>
                  <w:noWrap w:val="0"/>
                  <w:vAlign w:val="center"/>
                </w:tcPr>
                <w:p w14:paraId="431C7AF1">
                  <w:pPr>
                    <w:adjustRightInd w:val="0"/>
                    <w:snapToGrid w:val="0"/>
                    <w:jc w:val="center"/>
                    <w:rPr>
                      <w:rFonts w:hint="default" w:eastAsia="宋体"/>
                      <w:bCs/>
                      <w:color w:val="000000" w:themeColor="text1"/>
                      <w:szCs w:val="21"/>
                      <w:lang w:val="en-US" w:eastAsia="zh-CN"/>
                      <w14:textFill>
                        <w14:solidFill>
                          <w14:schemeClr w14:val="tx1"/>
                        </w14:solidFill>
                      </w14:textFill>
                    </w:rPr>
                  </w:pPr>
                  <w:r>
                    <w:rPr>
                      <w:rFonts w:hint="eastAsia"/>
                      <w:color w:val="000000" w:themeColor="text1"/>
                      <w14:textFill>
                        <w14:solidFill>
                          <w14:schemeClr w14:val="tx1"/>
                        </w14:solidFill>
                      </w14:textFill>
                    </w:rPr>
                    <w:t>颗粒物、氮氧化物、二氧化硫</w:t>
                  </w:r>
                </w:p>
              </w:tc>
              <w:tc>
                <w:tcPr>
                  <w:tcW w:w="1546" w:type="pct"/>
                  <w:noWrap w:val="0"/>
                  <w:vAlign w:val="center"/>
                </w:tcPr>
                <w:p w14:paraId="7AB46F46">
                  <w:pPr>
                    <w:adjustRightInd w:val="0"/>
                    <w:snapToGrid w:val="0"/>
                    <w:jc w:val="both"/>
                    <w:rPr>
                      <w:rFonts w:hint="eastAsia" w:eastAsia="宋体"/>
                      <w:color w:val="000000" w:themeColor="text1"/>
                      <w:lang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锅炉烟气经冷却塔冷却后再经一套</w:t>
                  </w:r>
                  <w:r>
                    <w:rPr>
                      <w:rFonts w:hint="eastAsia"/>
                      <w:bCs/>
                      <w:color w:val="000000" w:themeColor="text1"/>
                      <w:szCs w:val="21"/>
                      <w14:textFill>
                        <w14:solidFill>
                          <w14:schemeClr w14:val="tx1"/>
                        </w14:solidFill>
                      </w14:textFill>
                    </w:rPr>
                    <w:t>布袋除尘</w:t>
                  </w:r>
                  <w:r>
                    <w:rPr>
                      <w:rFonts w:hint="eastAsia"/>
                      <w:bCs/>
                      <w:color w:val="000000" w:themeColor="text1"/>
                      <w:szCs w:val="21"/>
                      <w:lang w:val="en-US" w:eastAsia="zh-CN"/>
                      <w14:textFill>
                        <w14:solidFill>
                          <w14:schemeClr w14:val="tx1"/>
                        </w14:solidFill>
                      </w14:textFill>
                    </w:rPr>
                    <w:t>器</w:t>
                  </w:r>
                  <w:r>
                    <w:rPr>
                      <w:rFonts w:hint="eastAsia"/>
                      <w:bCs/>
                      <w:color w:val="000000" w:themeColor="text1"/>
                      <w:szCs w:val="21"/>
                      <w14:textFill>
                        <w14:solidFill>
                          <w14:schemeClr w14:val="tx1"/>
                        </w14:solidFill>
                      </w14:textFill>
                    </w:rPr>
                    <w:t>处理</w:t>
                  </w:r>
                  <w:r>
                    <w:rPr>
                      <w:rFonts w:hint="eastAsia"/>
                      <w:bCs/>
                      <w:color w:val="000000" w:themeColor="text1"/>
                      <w:szCs w:val="21"/>
                      <w:lang w:eastAsia="zh-CN"/>
                      <w14:textFill>
                        <w14:solidFill>
                          <w14:schemeClr w14:val="tx1"/>
                        </w14:solidFill>
                      </w14:textFill>
                    </w:rPr>
                    <w:t>，</w:t>
                  </w:r>
                  <w:r>
                    <w:rPr>
                      <w:rFonts w:hint="eastAsia"/>
                      <w:bCs/>
                      <w:color w:val="000000" w:themeColor="text1"/>
                      <w:szCs w:val="21"/>
                      <w:lang w:val="en-US" w:eastAsia="zh-CN"/>
                      <w14:textFill>
                        <w14:solidFill>
                          <w14:schemeClr w14:val="tx1"/>
                        </w14:solidFill>
                      </w14:textFill>
                    </w:rPr>
                    <w:t>最终通过现有35</w:t>
                  </w:r>
                  <w:r>
                    <w:rPr>
                      <w:color w:val="000000" w:themeColor="text1"/>
                      <w:szCs w:val="21"/>
                      <w14:textFill>
                        <w14:solidFill>
                          <w14:schemeClr w14:val="tx1"/>
                        </w14:solidFill>
                      </w14:textFill>
                    </w:rPr>
                    <w:t xml:space="preserve">m </w:t>
                  </w:r>
                  <w:r>
                    <w:rPr>
                      <w:rFonts w:hint="eastAsia"/>
                      <w:color w:val="000000" w:themeColor="text1"/>
                      <w:szCs w:val="21"/>
                      <w14:textFill>
                        <w14:solidFill>
                          <w14:schemeClr w14:val="tx1"/>
                        </w14:solidFill>
                      </w14:textFill>
                    </w:rPr>
                    <w:t>高排气筒（</w:t>
                  </w:r>
                  <w:r>
                    <w:rPr>
                      <w:color w:val="000000" w:themeColor="text1"/>
                      <w:szCs w:val="21"/>
                      <w14:textFill>
                        <w14:solidFill>
                          <w14:schemeClr w14:val="tx1"/>
                        </w14:solidFill>
                      </w14:textFill>
                    </w:rPr>
                    <w:t>DA00</w:t>
                  </w:r>
                  <w:r>
                    <w:rPr>
                      <w:rFonts w:hint="eastAsia"/>
                      <w:color w:val="000000" w:themeColor="text1"/>
                      <w:szCs w:val="21"/>
                      <w:lang w:val="en-US" w:eastAsia="zh-CN"/>
                      <w14:textFill>
                        <w14:solidFill>
                          <w14:schemeClr w14:val="tx1"/>
                        </w14:solidFill>
                      </w14:textFill>
                    </w:rPr>
                    <w:t>1</w:t>
                  </w:r>
                  <w:r>
                    <w:rPr>
                      <w:rFonts w:hint="eastAsia"/>
                      <w:color w:val="000000" w:themeColor="text1"/>
                      <w:szCs w:val="21"/>
                      <w14:textFill>
                        <w14:solidFill>
                          <w14:schemeClr w14:val="tx1"/>
                        </w14:solidFill>
                      </w14:textFill>
                    </w:rPr>
                    <w:t>）排放</w:t>
                  </w:r>
                  <w:r>
                    <w:rPr>
                      <w:rFonts w:hint="eastAsia"/>
                      <w:color w:val="000000" w:themeColor="text1"/>
                      <w:szCs w:val="21"/>
                      <w:lang w:eastAsia="zh-CN"/>
                      <w14:textFill>
                        <w14:solidFill>
                          <w14:schemeClr w14:val="tx1"/>
                        </w14:solidFill>
                      </w14:textFill>
                    </w:rPr>
                    <w:t>。</w:t>
                  </w:r>
                </w:p>
              </w:tc>
            </w:tr>
            <w:tr w14:paraId="37030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336" w:type="pct"/>
                  <w:vMerge w:val="continue"/>
                  <w:noWrap w:val="0"/>
                  <w:vAlign w:val="center"/>
                </w:tcPr>
                <w:p w14:paraId="1232BAB6">
                  <w:pPr>
                    <w:adjustRightInd w:val="0"/>
                    <w:snapToGrid w:val="0"/>
                    <w:jc w:val="center"/>
                    <w:rPr>
                      <w:color w:val="000000" w:themeColor="text1"/>
                      <w:szCs w:val="21"/>
                      <w14:textFill>
                        <w14:solidFill>
                          <w14:schemeClr w14:val="tx1"/>
                        </w14:solidFill>
                      </w14:textFill>
                    </w:rPr>
                  </w:pPr>
                </w:p>
              </w:tc>
              <w:tc>
                <w:tcPr>
                  <w:tcW w:w="529" w:type="pct"/>
                  <w:noWrap w:val="0"/>
                  <w:vAlign w:val="center"/>
                </w:tcPr>
                <w:p w14:paraId="077071A1">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废水</w:t>
                  </w:r>
                </w:p>
              </w:tc>
              <w:tc>
                <w:tcPr>
                  <w:tcW w:w="732" w:type="pct"/>
                  <w:noWrap w:val="0"/>
                  <w:vAlign w:val="center"/>
                </w:tcPr>
                <w:p w14:paraId="629D72AA">
                  <w:pPr>
                    <w:adjustRightInd w:val="0"/>
                    <w:snapToGrid w:val="0"/>
                    <w:jc w:val="center"/>
                    <w:rPr>
                      <w:rFonts w:hint="default" w:eastAsia="宋体"/>
                      <w:bCs/>
                      <w:color w:val="FF0000"/>
                      <w:szCs w:val="21"/>
                      <w:lang w:val="en-US" w:eastAsia="zh-CN"/>
                    </w:rPr>
                  </w:pPr>
                  <w:r>
                    <w:rPr>
                      <w:rFonts w:hint="eastAsia"/>
                      <w:bCs/>
                      <w:color w:val="FF0000"/>
                      <w:szCs w:val="21"/>
                      <w:lang w:val="en-US" w:eastAsia="zh-CN"/>
                    </w:rPr>
                    <w:t>软水制备</w:t>
                  </w:r>
                </w:p>
              </w:tc>
              <w:tc>
                <w:tcPr>
                  <w:tcW w:w="811" w:type="pct"/>
                  <w:noWrap w:val="0"/>
                  <w:vAlign w:val="center"/>
                </w:tcPr>
                <w:p w14:paraId="3FE928E9">
                  <w:pPr>
                    <w:adjustRightInd w:val="0"/>
                    <w:snapToGrid w:val="0"/>
                    <w:jc w:val="center"/>
                    <w:rPr>
                      <w:rFonts w:hint="eastAsia"/>
                      <w:bCs/>
                      <w:color w:val="FF0000"/>
                      <w:szCs w:val="21"/>
                      <w:lang w:val="en-US" w:eastAsia="zh-CN"/>
                    </w:rPr>
                  </w:pPr>
                  <w:r>
                    <w:rPr>
                      <w:rFonts w:hint="eastAsia"/>
                      <w:bCs/>
                      <w:color w:val="FF0000"/>
                      <w:szCs w:val="21"/>
                      <w:lang w:val="en-US" w:eastAsia="zh-CN"/>
                    </w:rPr>
                    <w:t>树脂再生废水</w:t>
                  </w:r>
                </w:p>
              </w:tc>
              <w:tc>
                <w:tcPr>
                  <w:tcW w:w="1043" w:type="pct"/>
                  <w:noWrap w:val="0"/>
                  <w:vAlign w:val="center"/>
                </w:tcPr>
                <w:p w14:paraId="1A68032B">
                  <w:pPr>
                    <w:adjustRightInd w:val="0"/>
                    <w:snapToGrid w:val="0"/>
                    <w:jc w:val="center"/>
                    <w:rPr>
                      <w:rFonts w:hint="default" w:eastAsia="宋体"/>
                      <w:bCs/>
                      <w:color w:val="000000" w:themeColor="text1"/>
                      <w:szCs w:val="21"/>
                      <w:lang w:val="en-US" w:eastAsia="zh-CN"/>
                      <w14:textFill>
                        <w14:solidFill>
                          <w14:schemeClr w14:val="tx1"/>
                        </w14:solidFill>
                      </w14:textFill>
                    </w:rPr>
                  </w:pPr>
                  <w:r>
                    <w:rPr>
                      <w:bCs/>
                      <w:color w:val="000000" w:themeColor="text1"/>
                      <w:szCs w:val="21"/>
                      <w14:textFill>
                        <w14:solidFill>
                          <w14:schemeClr w14:val="tx1"/>
                        </w14:solidFill>
                      </w14:textFill>
                    </w:rPr>
                    <w:t>COD</w:t>
                  </w:r>
                  <w:r>
                    <w:rPr>
                      <w:rFonts w:hint="eastAsia"/>
                      <w:bCs/>
                      <w:color w:val="000000" w:themeColor="text1"/>
                      <w:szCs w:val="21"/>
                      <w:lang w:val="en-US" w:eastAsia="zh-CN"/>
                      <w14:textFill>
                        <w14:solidFill>
                          <w14:schemeClr w14:val="tx1"/>
                        </w14:solidFill>
                      </w14:textFill>
                    </w:rPr>
                    <w:t>cr</w:t>
                  </w:r>
                  <w:r>
                    <w:rPr>
                      <w:bCs/>
                      <w:color w:val="000000" w:themeColor="text1"/>
                      <w:szCs w:val="21"/>
                      <w14:textFill>
                        <w14:solidFill>
                          <w14:schemeClr w14:val="tx1"/>
                        </w14:solidFill>
                      </w14:textFill>
                    </w:rPr>
                    <w:t>、SS</w:t>
                  </w:r>
                  <w:r>
                    <w:rPr>
                      <w:rFonts w:hint="eastAsia"/>
                      <w:bCs/>
                      <w:color w:val="000000" w:themeColor="text1"/>
                      <w:szCs w:val="21"/>
                      <w:lang w:eastAsia="zh-CN"/>
                      <w14:textFill>
                        <w14:solidFill>
                          <w14:schemeClr w14:val="tx1"/>
                        </w14:solidFill>
                      </w14:textFill>
                    </w:rPr>
                    <w:t>、</w:t>
                  </w:r>
                  <w:r>
                    <w:rPr>
                      <w:rFonts w:hint="eastAsia"/>
                      <w:bCs/>
                      <w:color w:val="000000" w:themeColor="text1"/>
                      <w:szCs w:val="21"/>
                      <w:lang w:val="en-US" w:eastAsia="zh-CN"/>
                      <w14:textFill>
                        <w14:solidFill>
                          <w14:schemeClr w14:val="tx1"/>
                        </w14:solidFill>
                      </w14:textFill>
                    </w:rPr>
                    <w:t>氯化物、硫酸盐</w:t>
                  </w:r>
                </w:p>
              </w:tc>
              <w:tc>
                <w:tcPr>
                  <w:tcW w:w="1546" w:type="pct"/>
                  <w:noWrap w:val="0"/>
                  <w:vAlign w:val="center"/>
                </w:tcPr>
                <w:p w14:paraId="251B3AFD">
                  <w:pPr>
                    <w:adjustRightInd w:val="0"/>
                    <w:snapToGrid w:val="0"/>
                    <w:jc w:val="both"/>
                    <w:rPr>
                      <w:rFonts w:hint="eastAsia" w:eastAsia="宋体"/>
                      <w:bCs/>
                      <w:color w:val="000000" w:themeColor="text1"/>
                      <w:szCs w:val="21"/>
                      <w:lang w:val="en-US" w:eastAsia="zh-CN"/>
                      <w14:textFill>
                        <w14:solidFill>
                          <w14:schemeClr w14:val="tx1"/>
                        </w14:solidFill>
                      </w14:textFill>
                    </w:rPr>
                  </w:pPr>
                  <w:r>
                    <w:rPr>
                      <w:rFonts w:hint="eastAsia"/>
                      <w:color w:val="000000" w:themeColor="text1"/>
                      <w:szCs w:val="21"/>
                      <w:highlight w:val="none"/>
                      <w:lang w:bidi="ar"/>
                      <w14:textFill>
                        <w14:solidFill>
                          <w14:schemeClr w14:val="tx1"/>
                        </w14:solidFill>
                      </w14:textFill>
                    </w:rPr>
                    <w:t>本项目</w:t>
                  </w:r>
                  <w:r>
                    <w:rPr>
                      <w:rFonts w:hint="eastAsia"/>
                      <w:color w:val="000000" w:themeColor="text1"/>
                      <w:szCs w:val="21"/>
                      <w:highlight w:val="none"/>
                      <w:lang w:val="en-US" w:eastAsia="zh-CN" w:bidi="ar"/>
                      <w14:textFill>
                        <w14:solidFill>
                          <w14:schemeClr w14:val="tx1"/>
                        </w14:solidFill>
                      </w14:textFill>
                    </w:rPr>
                    <w:t>无</w:t>
                  </w:r>
                  <w:r>
                    <w:rPr>
                      <w:rFonts w:hint="eastAsia"/>
                      <w:color w:val="000000" w:themeColor="text1"/>
                      <w:szCs w:val="21"/>
                      <w:highlight w:val="none"/>
                      <w:lang w:bidi="ar"/>
                      <w14:textFill>
                        <w14:solidFill>
                          <w14:schemeClr w14:val="tx1"/>
                        </w14:solidFill>
                      </w14:textFill>
                    </w:rPr>
                    <w:t>新增废水产生</w:t>
                  </w:r>
                  <w:r>
                    <w:rPr>
                      <w:rFonts w:hint="eastAsia"/>
                      <w:color w:val="000000" w:themeColor="text1"/>
                      <w:szCs w:val="21"/>
                      <w:highlight w:val="none"/>
                      <w:lang w:eastAsia="zh-CN" w:bidi="ar"/>
                      <w14:textFill>
                        <w14:solidFill>
                          <w14:schemeClr w14:val="tx1"/>
                        </w14:solidFill>
                      </w14:textFill>
                    </w:rPr>
                    <w:t>，</w:t>
                  </w:r>
                  <w:r>
                    <w:rPr>
                      <w:rFonts w:hint="eastAsia"/>
                      <w:bCs/>
                      <w:color w:val="FF0000"/>
                      <w:szCs w:val="21"/>
                      <w:lang w:val="en-US" w:eastAsia="zh-CN"/>
                    </w:rPr>
                    <w:t>树脂再生</w:t>
                  </w:r>
                  <w:r>
                    <w:rPr>
                      <w:rFonts w:hint="eastAsia"/>
                      <w:bCs/>
                      <w:color w:val="000000" w:themeColor="text1"/>
                      <w:szCs w:val="21"/>
                      <w:lang w:val="en-US" w:eastAsia="zh-CN"/>
                      <w14:textFill>
                        <w14:solidFill>
                          <w14:schemeClr w14:val="tx1"/>
                        </w14:solidFill>
                      </w14:textFill>
                    </w:rPr>
                    <w:t>废水</w:t>
                  </w:r>
                  <w:r>
                    <w:rPr>
                      <w:rFonts w:hint="eastAsia"/>
                      <w:bCs/>
                      <w:color w:val="000000" w:themeColor="text1"/>
                      <w:szCs w:val="21"/>
                      <w:highlight w:val="none"/>
                      <w14:textFill>
                        <w14:solidFill>
                          <w14:schemeClr w14:val="tx1"/>
                        </w14:solidFill>
                      </w14:textFill>
                    </w:rPr>
                    <w:t>经</w:t>
                  </w:r>
                  <w:r>
                    <w:rPr>
                      <w:rFonts w:hint="eastAsia"/>
                      <w:color w:val="000000" w:themeColor="text1"/>
                      <w:szCs w:val="21"/>
                      <w:highlight w:val="none"/>
                      <w:lang w:bidi="ar"/>
                      <w14:textFill>
                        <w14:solidFill>
                          <w14:schemeClr w14:val="tx1"/>
                        </w14:solidFill>
                      </w14:textFill>
                    </w:rPr>
                    <w:t>中和</w:t>
                  </w:r>
                  <w:r>
                    <w:rPr>
                      <w:rFonts w:hint="eastAsia"/>
                      <w:color w:val="000000" w:themeColor="text1"/>
                      <w:szCs w:val="21"/>
                      <w:highlight w:val="none"/>
                      <w:lang w:val="en-US" w:eastAsia="zh-CN" w:bidi="ar"/>
                      <w14:textFill>
                        <w14:solidFill>
                          <w14:schemeClr w14:val="tx1"/>
                        </w14:solidFill>
                      </w14:textFill>
                    </w:rPr>
                    <w:t>沉淀</w:t>
                  </w:r>
                  <w:r>
                    <w:rPr>
                      <w:rFonts w:hint="eastAsia"/>
                      <w:color w:val="000000" w:themeColor="text1"/>
                      <w:szCs w:val="21"/>
                      <w:highlight w:val="none"/>
                      <w:lang w:bidi="ar"/>
                      <w14:textFill>
                        <w14:solidFill>
                          <w14:schemeClr w14:val="tx1"/>
                        </w14:solidFill>
                      </w14:textFill>
                    </w:rPr>
                    <w:t>后回用于厂区绿化、洒水冷却灰渣等</w:t>
                  </w:r>
                  <w:r>
                    <w:rPr>
                      <w:rFonts w:hint="eastAsia"/>
                      <w:color w:val="000000" w:themeColor="text1"/>
                      <w:szCs w:val="21"/>
                      <w:highlight w:val="none"/>
                      <w:lang w:eastAsia="zh-CN" w:bidi="ar"/>
                      <w14:textFill>
                        <w14:solidFill>
                          <w14:schemeClr w14:val="tx1"/>
                        </w14:solidFill>
                      </w14:textFill>
                    </w:rPr>
                    <w:t>。</w:t>
                  </w:r>
                </w:p>
              </w:tc>
            </w:tr>
            <w:tr w14:paraId="7BDA5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336" w:type="pct"/>
                  <w:vMerge w:val="continue"/>
                  <w:noWrap w:val="0"/>
                  <w:vAlign w:val="center"/>
                </w:tcPr>
                <w:p w14:paraId="066957D6">
                  <w:pPr>
                    <w:adjustRightInd w:val="0"/>
                    <w:snapToGrid w:val="0"/>
                    <w:jc w:val="center"/>
                    <w:rPr>
                      <w:color w:val="000000" w:themeColor="text1"/>
                      <w:szCs w:val="21"/>
                      <w14:textFill>
                        <w14:solidFill>
                          <w14:schemeClr w14:val="tx1"/>
                        </w14:solidFill>
                      </w14:textFill>
                    </w:rPr>
                  </w:pPr>
                </w:p>
              </w:tc>
              <w:tc>
                <w:tcPr>
                  <w:tcW w:w="529" w:type="pct"/>
                  <w:vMerge w:val="restart"/>
                  <w:noWrap w:val="0"/>
                  <w:vAlign w:val="center"/>
                </w:tcPr>
                <w:p w14:paraId="3930B0D5">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固体废物</w:t>
                  </w:r>
                </w:p>
              </w:tc>
              <w:tc>
                <w:tcPr>
                  <w:tcW w:w="1543" w:type="pct"/>
                  <w:gridSpan w:val="2"/>
                  <w:noWrap w:val="0"/>
                  <w:vAlign w:val="center"/>
                </w:tcPr>
                <w:p w14:paraId="7F095AC8">
                  <w:pPr>
                    <w:adjustRightInd w:val="0"/>
                    <w:snapToGrid w:val="0"/>
                    <w:jc w:val="center"/>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烟气处理</w:t>
                  </w:r>
                </w:p>
              </w:tc>
              <w:tc>
                <w:tcPr>
                  <w:tcW w:w="1043" w:type="pct"/>
                  <w:noWrap w:val="0"/>
                  <w:vAlign w:val="center"/>
                </w:tcPr>
                <w:p w14:paraId="70FD4831">
                  <w:pPr>
                    <w:adjustRightInd w:val="0"/>
                    <w:snapToGrid w:val="0"/>
                    <w:jc w:val="center"/>
                    <w:rPr>
                      <w:rFonts w:hint="default"/>
                      <w:bCs/>
                      <w:color w:val="000000" w:themeColor="text1"/>
                      <w:szCs w:val="21"/>
                      <w:lang w:val="en-US"/>
                      <w14:textFill>
                        <w14:solidFill>
                          <w14:schemeClr w14:val="tx1"/>
                        </w14:solidFill>
                      </w14:textFill>
                    </w:rPr>
                  </w:pPr>
                  <w:r>
                    <w:rPr>
                      <w:rFonts w:hint="eastAsia"/>
                      <w:bCs/>
                      <w:color w:val="000000" w:themeColor="text1"/>
                      <w:szCs w:val="21"/>
                      <w:lang w:val="en-US" w:eastAsia="zh-CN"/>
                      <w14:textFill>
                        <w14:solidFill>
                          <w14:schemeClr w14:val="tx1"/>
                        </w14:solidFill>
                      </w14:textFill>
                    </w:rPr>
                    <w:t>除尘灰</w:t>
                  </w:r>
                </w:p>
              </w:tc>
              <w:tc>
                <w:tcPr>
                  <w:tcW w:w="1546" w:type="pct"/>
                  <w:noWrap w:val="0"/>
                  <w:vAlign w:val="center"/>
                </w:tcPr>
                <w:p w14:paraId="2131623E">
                  <w:pPr>
                    <w:keepNext w:val="0"/>
                    <w:keepLines w:val="0"/>
                    <w:pageBreakBefore w:val="0"/>
                    <w:widowControl/>
                    <w:kinsoku/>
                    <w:wordWrap/>
                    <w:overflowPunct/>
                    <w:topLinePunct w:val="0"/>
                    <w:bidi w:val="0"/>
                    <w:snapToGrid/>
                    <w:spacing w:line="240" w:lineRule="auto"/>
                    <w:jc w:val="center"/>
                    <w:textAlignment w:val="center"/>
                    <w:rPr>
                      <w:rFonts w:hint="default"/>
                      <w:bCs/>
                      <w:color w:val="000000" w:themeColor="text1"/>
                      <w:szCs w:val="21"/>
                      <w:lang w:val="en-US"/>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用作农家肥</w:t>
                  </w:r>
                </w:p>
              </w:tc>
            </w:tr>
            <w:tr w14:paraId="600266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336" w:type="pct"/>
                  <w:vMerge w:val="continue"/>
                  <w:noWrap w:val="0"/>
                  <w:vAlign w:val="center"/>
                </w:tcPr>
                <w:p w14:paraId="5C522F2A">
                  <w:pPr>
                    <w:adjustRightInd w:val="0"/>
                    <w:snapToGrid w:val="0"/>
                    <w:jc w:val="center"/>
                    <w:rPr>
                      <w:color w:val="000000" w:themeColor="text1"/>
                      <w:szCs w:val="21"/>
                      <w14:textFill>
                        <w14:solidFill>
                          <w14:schemeClr w14:val="tx1"/>
                        </w14:solidFill>
                      </w14:textFill>
                    </w:rPr>
                  </w:pPr>
                </w:p>
              </w:tc>
              <w:tc>
                <w:tcPr>
                  <w:tcW w:w="529" w:type="pct"/>
                  <w:vMerge w:val="continue"/>
                  <w:noWrap w:val="0"/>
                  <w:vAlign w:val="center"/>
                </w:tcPr>
                <w:p w14:paraId="478DAA18">
                  <w:pPr>
                    <w:adjustRightInd w:val="0"/>
                    <w:snapToGrid w:val="0"/>
                    <w:jc w:val="center"/>
                    <w:rPr>
                      <w:bCs/>
                      <w:color w:val="000000" w:themeColor="text1"/>
                      <w:szCs w:val="21"/>
                      <w14:textFill>
                        <w14:solidFill>
                          <w14:schemeClr w14:val="tx1"/>
                        </w14:solidFill>
                      </w14:textFill>
                    </w:rPr>
                  </w:pPr>
                </w:p>
              </w:tc>
              <w:tc>
                <w:tcPr>
                  <w:tcW w:w="1543" w:type="pct"/>
                  <w:gridSpan w:val="2"/>
                  <w:noWrap w:val="0"/>
                  <w:vAlign w:val="center"/>
                </w:tcPr>
                <w:p w14:paraId="6B696404">
                  <w:pPr>
                    <w:adjustRightInd w:val="0"/>
                    <w:snapToGrid w:val="0"/>
                    <w:jc w:val="center"/>
                    <w:rPr>
                      <w:rFonts w:hint="default"/>
                      <w:bCs/>
                      <w:color w:val="FF0000"/>
                      <w:szCs w:val="21"/>
                      <w:lang w:val="en-US" w:eastAsia="zh-CN"/>
                    </w:rPr>
                  </w:pPr>
                  <w:r>
                    <w:rPr>
                      <w:rFonts w:hint="eastAsia"/>
                      <w:bCs/>
                      <w:color w:val="FF0000"/>
                      <w:szCs w:val="21"/>
                      <w:lang w:val="en-US" w:eastAsia="zh-CN"/>
                    </w:rPr>
                    <w:t>软水制备</w:t>
                  </w:r>
                </w:p>
              </w:tc>
              <w:tc>
                <w:tcPr>
                  <w:tcW w:w="1043" w:type="pct"/>
                  <w:noWrap w:val="0"/>
                  <w:vAlign w:val="center"/>
                </w:tcPr>
                <w:p w14:paraId="48CE53E9">
                  <w:pPr>
                    <w:adjustRightInd w:val="0"/>
                    <w:snapToGrid w:val="0"/>
                    <w:jc w:val="center"/>
                    <w:rPr>
                      <w:rFonts w:hint="default"/>
                      <w:bCs/>
                      <w:color w:val="FF0000"/>
                      <w:szCs w:val="21"/>
                      <w:lang w:val="en-US" w:eastAsia="zh-CN"/>
                    </w:rPr>
                  </w:pPr>
                  <w:r>
                    <w:rPr>
                      <w:rFonts w:hint="eastAsia"/>
                      <w:bCs/>
                      <w:color w:val="FF0000"/>
                      <w:szCs w:val="21"/>
                      <w:lang w:val="en-US" w:eastAsia="zh-CN"/>
                    </w:rPr>
                    <w:t>废离子交换树脂</w:t>
                  </w:r>
                </w:p>
              </w:tc>
              <w:tc>
                <w:tcPr>
                  <w:tcW w:w="1546" w:type="pct"/>
                  <w:noWrap w:val="0"/>
                  <w:vAlign w:val="center"/>
                </w:tcPr>
                <w:p w14:paraId="12C2C358">
                  <w:pPr>
                    <w:keepNext w:val="0"/>
                    <w:keepLines w:val="0"/>
                    <w:pageBreakBefore w:val="0"/>
                    <w:widowControl/>
                    <w:kinsoku/>
                    <w:wordWrap/>
                    <w:overflowPunct/>
                    <w:topLinePunct w:val="0"/>
                    <w:bidi w:val="0"/>
                    <w:snapToGrid/>
                    <w:spacing w:line="240" w:lineRule="auto"/>
                    <w:jc w:val="center"/>
                    <w:textAlignment w:val="center"/>
                    <w:rPr>
                      <w:rFonts w:hint="eastAsia" w:ascii="Times New Roman" w:hAnsi="Times New Roman" w:cs="Times New Roman"/>
                      <w:color w:val="FF0000"/>
                      <w:sz w:val="21"/>
                      <w:szCs w:val="21"/>
                      <w:lang w:val="en-US" w:eastAsia="zh-CN"/>
                    </w:rPr>
                  </w:pPr>
                  <w:r>
                    <w:rPr>
                      <w:rFonts w:hint="eastAsia"/>
                      <w:color w:val="FF0000"/>
                      <w:sz w:val="21"/>
                      <w:szCs w:val="21"/>
                      <w:lang w:val="en-US" w:eastAsia="zh-CN"/>
                    </w:rPr>
                    <w:t>相关单位回收</w:t>
                  </w:r>
                </w:p>
              </w:tc>
            </w:tr>
            <w:tr w14:paraId="1B1C8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336" w:type="pct"/>
                  <w:vMerge w:val="continue"/>
                  <w:noWrap w:val="0"/>
                  <w:vAlign w:val="center"/>
                </w:tcPr>
                <w:p w14:paraId="259BBFB6">
                  <w:pPr>
                    <w:adjustRightInd w:val="0"/>
                    <w:snapToGrid w:val="0"/>
                    <w:jc w:val="center"/>
                    <w:rPr>
                      <w:color w:val="000000" w:themeColor="text1"/>
                      <w:szCs w:val="21"/>
                      <w14:textFill>
                        <w14:solidFill>
                          <w14:schemeClr w14:val="tx1"/>
                        </w14:solidFill>
                      </w14:textFill>
                    </w:rPr>
                  </w:pPr>
                </w:p>
              </w:tc>
              <w:tc>
                <w:tcPr>
                  <w:tcW w:w="529" w:type="pct"/>
                  <w:vMerge w:val="continue"/>
                  <w:noWrap w:val="0"/>
                  <w:vAlign w:val="center"/>
                </w:tcPr>
                <w:p w14:paraId="0CF45C2C">
                  <w:pPr>
                    <w:adjustRightInd w:val="0"/>
                    <w:snapToGrid w:val="0"/>
                    <w:jc w:val="center"/>
                    <w:rPr>
                      <w:bCs/>
                      <w:color w:val="000000" w:themeColor="text1"/>
                      <w:szCs w:val="21"/>
                      <w14:textFill>
                        <w14:solidFill>
                          <w14:schemeClr w14:val="tx1"/>
                        </w14:solidFill>
                      </w14:textFill>
                    </w:rPr>
                  </w:pPr>
                </w:p>
              </w:tc>
              <w:tc>
                <w:tcPr>
                  <w:tcW w:w="1543" w:type="pct"/>
                  <w:gridSpan w:val="2"/>
                  <w:noWrap w:val="0"/>
                  <w:vAlign w:val="center"/>
                </w:tcPr>
                <w:p w14:paraId="481BFA81">
                  <w:pPr>
                    <w:adjustRightInd w:val="0"/>
                    <w:snapToGrid w:val="0"/>
                    <w:jc w:val="center"/>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烟气处理</w:t>
                  </w:r>
                </w:p>
              </w:tc>
              <w:tc>
                <w:tcPr>
                  <w:tcW w:w="1043" w:type="pct"/>
                  <w:noWrap w:val="0"/>
                  <w:vAlign w:val="center"/>
                </w:tcPr>
                <w:p w14:paraId="1355836B">
                  <w:pPr>
                    <w:adjustRightInd w:val="0"/>
                    <w:snapToGrid w:val="0"/>
                    <w:jc w:val="center"/>
                    <w:rPr>
                      <w:rFonts w:hint="default"/>
                      <w:color w:val="000000" w:themeColor="text1"/>
                      <w:lang w:val="en-US"/>
                      <w14:textFill>
                        <w14:solidFill>
                          <w14:schemeClr w14:val="tx1"/>
                        </w14:solidFill>
                      </w14:textFill>
                    </w:rPr>
                  </w:pPr>
                  <w:r>
                    <w:rPr>
                      <w:rFonts w:hint="eastAsia"/>
                      <w:bCs/>
                      <w:color w:val="000000" w:themeColor="text1"/>
                      <w:szCs w:val="21"/>
                      <w:lang w:val="en-US" w:eastAsia="zh-CN"/>
                      <w14:textFill>
                        <w14:solidFill>
                          <w14:schemeClr w14:val="tx1"/>
                        </w14:solidFill>
                      </w14:textFill>
                    </w:rPr>
                    <w:t>废布袋</w:t>
                  </w:r>
                </w:p>
              </w:tc>
              <w:tc>
                <w:tcPr>
                  <w:tcW w:w="1546" w:type="pct"/>
                  <w:noWrap w:val="0"/>
                  <w:vAlign w:val="center"/>
                </w:tcPr>
                <w:p w14:paraId="63F310FB">
                  <w:pPr>
                    <w:keepNext w:val="0"/>
                    <w:keepLines w:val="0"/>
                    <w:pageBreakBefore w:val="0"/>
                    <w:widowControl/>
                    <w:kinsoku/>
                    <w:wordWrap/>
                    <w:overflowPunct/>
                    <w:topLinePunct w:val="0"/>
                    <w:bidi w:val="0"/>
                    <w:snapToGrid/>
                    <w:spacing w:line="240" w:lineRule="auto"/>
                    <w:jc w:val="center"/>
                    <w:textAlignment w:val="center"/>
                    <w:rPr>
                      <w:rFonts w:hint="default"/>
                      <w:bCs/>
                      <w:color w:val="000000" w:themeColor="text1"/>
                      <w:szCs w:val="21"/>
                      <w:lang w:val="en-US"/>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相关单位回收</w:t>
                  </w:r>
                </w:p>
              </w:tc>
            </w:tr>
            <w:tr w14:paraId="2C5A6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336" w:type="pct"/>
                  <w:vMerge w:val="continue"/>
                  <w:noWrap w:val="0"/>
                  <w:vAlign w:val="center"/>
                </w:tcPr>
                <w:p w14:paraId="495BF2D9">
                  <w:pPr>
                    <w:adjustRightInd w:val="0"/>
                    <w:snapToGrid w:val="0"/>
                    <w:jc w:val="center"/>
                    <w:rPr>
                      <w:color w:val="000000" w:themeColor="text1"/>
                      <w:szCs w:val="21"/>
                      <w14:textFill>
                        <w14:solidFill>
                          <w14:schemeClr w14:val="tx1"/>
                        </w14:solidFill>
                      </w14:textFill>
                    </w:rPr>
                  </w:pPr>
                </w:p>
              </w:tc>
              <w:tc>
                <w:tcPr>
                  <w:tcW w:w="529" w:type="pct"/>
                  <w:noWrap w:val="0"/>
                  <w:vAlign w:val="center"/>
                </w:tcPr>
                <w:p w14:paraId="7D142CB3">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噪声</w:t>
                  </w:r>
                </w:p>
              </w:tc>
              <w:tc>
                <w:tcPr>
                  <w:tcW w:w="1543" w:type="pct"/>
                  <w:gridSpan w:val="2"/>
                  <w:noWrap w:val="0"/>
                  <w:vAlign w:val="center"/>
                </w:tcPr>
                <w:p w14:paraId="5ACAA162">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设备运行</w:t>
                  </w:r>
                </w:p>
              </w:tc>
              <w:tc>
                <w:tcPr>
                  <w:tcW w:w="1043" w:type="pct"/>
                  <w:noWrap w:val="0"/>
                  <w:vAlign w:val="center"/>
                </w:tcPr>
                <w:p w14:paraId="2803B8CE">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机械噪声</w:t>
                  </w:r>
                </w:p>
              </w:tc>
              <w:tc>
                <w:tcPr>
                  <w:tcW w:w="1546" w:type="pct"/>
                  <w:noWrap w:val="0"/>
                  <w:vAlign w:val="center"/>
                </w:tcPr>
                <w:p w14:paraId="70B7D596">
                  <w:pPr>
                    <w:adjustRightInd w:val="0"/>
                    <w:snapToGrid w:val="0"/>
                    <w:jc w:val="center"/>
                    <w:rPr>
                      <w:bCs/>
                      <w:color w:val="000000" w:themeColor="text1"/>
                      <w:szCs w:val="21"/>
                      <w14:textFill>
                        <w14:solidFill>
                          <w14:schemeClr w14:val="tx1"/>
                        </w14:solidFill>
                      </w14:textFill>
                    </w:rPr>
                  </w:pPr>
                  <w:r>
                    <w:rPr>
                      <w:color w:val="000000" w:themeColor="text1"/>
                      <w:sz w:val="21"/>
                      <w:szCs w:val="21"/>
                      <w14:textFill>
                        <w14:solidFill>
                          <w14:schemeClr w14:val="tx1"/>
                        </w14:solidFill>
                      </w14:textFill>
                    </w:rPr>
                    <w:t>减振、隔声、距离衰减</w:t>
                  </w:r>
                </w:p>
              </w:tc>
            </w:tr>
          </w:tbl>
          <w:p w14:paraId="5D636CBE">
            <w:pPr>
              <w:pStyle w:val="9"/>
              <w:autoSpaceDE/>
              <w:autoSpaceDN/>
              <w:adjustRightInd/>
              <w:spacing w:line="240" w:lineRule="auto"/>
              <w:ind w:left="0" w:firstLine="0"/>
              <w:jc w:val="center"/>
              <w:textAlignment w:val="auto"/>
              <w:rPr>
                <w:b/>
                <w:bCs/>
                <w:color w:val="auto"/>
                <w:kern w:val="2"/>
                <w:szCs w:val="24"/>
              </w:rPr>
            </w:pPr>
          </w:p>
          <w:p w14:paraId="63864ACD">
            <w:pPr>
              <w:pStyle w:val="2"/>
            </w:pPr>
          </w:p>
        </w:tc>
      </w:tr>
      <w:tr w14:paraId="511227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376" w:hRule="atLeast"/>
          <w:jc w:val="center"/>
        </w:trPr>
        <w:tc>
          <w:tcPr>
            <w:tcW w:w="682" w:type="dxa"/>
            <w:vAlign w:val="center"/>
          </w:tcPr>
          <w:p w14:paraId="54A6E238">
            <w:pPr>
              <w:pStyle w:val="23"/>
              <w:adjustRightInd w:val="0"/>
              <w:snapToGrid w:val="0"/>
              <w:spacing w:before="0" w:beforeAutospacing="0" w:after="0" w:afterAutospacing="0"/>
              <w:jc w:val="center"/>
              <w:rPr>
                <w:rFonts w:cs="宋体"/>
                <w:sz w:val="21"/>
                <w:szCs w:val="21"/>
              </w:rPr>
            </w:pPr>
            <w:r>
              <w:rPr>
                <w:rFonts w:hint="eastAsia" w:cs="宋体"/>
                <w:bCs/>
                <w:kern w:val="2"/>
                <w:sz w:val="21"/>
                <w:szCs w:val="21"/>
              </w:rPr>
              <w:t>与项目有关的原有环境污染问题</w:t>
            </w:r>
          </w:p>
        </w:tc>
        <w:tc>
          <w:tcPr>
            <w:tcW w:w="8302" w:type="dxa"/>
          </w:tcPr>
          <w:p w14:paraId="4C83BA48">
            <w:pPr>
              <w:pStyle w:val="48"/>
              <w:keepNext w:val="0"/>
              <w:keepLines w:val="0"/>
              <w:pageBreakBefore w:val="0"/>
              <w:widowControl w:val="0"/>
              <w:numPr>
                <w:ilvl w:val="0"/>
                <w:numId w:val="0"/>
              </w:numPr>
              <w:suppressLineNumbers w:val="0"/>
              <w:kinsoku/>
              <w:wordWrap/>
              <w:overflowPunct/>
              <w:topLinePunct w:val="0"/>
              <w:autoSpaceDE/>
              <w:autoSpaceDN/>
              <w:bidi w:val="0"/>
              <w:spacing w:before="0" w:beforeAutospacing="0" w:after="0" w:afterAutospacing="0" w:line="360" w:lineRule="auto"/>
              <w:ind w:left="0" w:right="0" w:firstLine="482" w:firstLineChars="200"/>
              <w:jc w:val="left"/>
              <w:textAlignment w:val="auto"/>
              <w:rPr>
                <w:rFonts w:hint="eastAsia"/>
                <w:b/>
                <w:bCs/>
                <w:color w:val="000000" w:themeColor="text1"/>
                <w:lang w:val="en-US" w:eastAsia="zh-CN"/>
                <w14:textFill>
                  <w14:solidFill>
                    <w14:schemeClr w14:val="tx1"/>
                  </w14:solidFill>
                </w14:textFill>
              </w:rPr>
            </w:pPr>
            <w:r>
              <w:rPr>
                <w:rFonts w:hint="eastAsia" w:cs="Times New Roman"/>
                <w:b/>
                <w:bCs/>
                <w:color w:val="000000" w:themeColor="text1"/>
                <w:kern w:val="0"/>
                <w:sz w:val="24"/>
                <w:szCs w:val="24"/>
                <w:lang w:val="en-US" w:eastAsia="zh-CN" w:bidi="ar-SA"/>
                <w14:textFill>
                  <w14:solidFill>
                    <w14:schemeClr w14:val="tx1"/>
                  </w14:solidFill>
                </w14:textFill>
              </w:rPr>
              <w:t>一</w:t>
            </w:r>
            <w:r>
              <w:rPr>
                <w:rFonts w:hint="eastAsia" w:ascii="Times New Roman" w:hAnsi="Times New Roman" w:eastAsia="宋体" w:cs="Times New Roman"/>
                <w:b/>
                <w:bCs/>
                <w:color w:val="000000" w:themeColor="text1"/>
                <w:kern w:val="0"/>
                <w:sz w:val="24"/>
                <w:szCs w:val="24"/>
                <w:lang w:val="en-US" w:eastAsia="zh-CN" w:bidi="ar-SA"/>
                <w14:textFill>
                  <w14:solidFill>
                    <w14:schemeClr w14:val="tx1"/>
                  </w14:solidFill>
                </w14:textFill>
              </w:rPr>
              <w:t>、</w:t>
            </w:r>
            <w:r>
              <w:rPr>
                <w:rFonts w:hint="eastAsia"/>
                <w:b/>
                <w:bCs/>
                <w:color w:val="000000" w:themeColor="text1"/>
                <w:lang w:val="en-US" w:eastAsia="zh-CN"/>
                <w14:textFill>
                  <w14:solidFill>
                    <w14:schemeClr w14:val="tx1"/>
                  </w14:solidFill>
                </w14:textFill>
              </w:rPr>
              <w:t>现有工程环保手续</w:t>
            </w:r>
          </w:p>
          <w:p w14:paraId="1539574B">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firstLineChars="200"/>
              <w:jc w:val="left"/>
              <w:textAlignment w:val="auto"/>
              <w:rPr>
                <w:rFonts w:hint="eastAsia" w:ascii="Times New Roman" w:hAnsi="Times New Roman" w:eastAsia="宋体" w:cs="Times New Roman"/>
                <w:color w:val="000000" w:themeColor="text1"/>
                <w:kern w:val="0"/>
                <w:sz w:val="24"/>
                <w:lang w:val="en-US" w:eastAsia="zh-CN"/>
                <w14:textFill>
                  <w14:solidFill>
                    <w14:schemeClr w14:val="tx1"/>
                  </w14:solidFill>
                </w14:textFill>
              </w:rPr>
            </w:pPr>
            <w:r>
              <w:rPr>
                <w:rFonts w:hint="eastAsia" w:ascii="Times New Roman" w:hAnsi="Times New Roman" w:eastAsia="宋体" w:cs="Times New Roman"/>
                <w:color w:val="000000" w:themeColor="text1"/>
                <w:kern w:val="0"/>
                <w:sz w:val="24"/>
                <w:lang w:val="en-US" w:eastAsia="zh-CN"/>
                <w14:textFill>
                  <w14:solidFill>
                    <w14:schemeClr w14:val="tx1"/>
                  </w14:solidFill>
                </w14:textFill>
              </w:rPr>
              <w:t>江</w:t>
            </w:r>
            <w:r>
              <w:rPr>
                <w:rFonts w:hint="eastAsia" w:ascii="Times New Roman" w:hAnsi="Times New Roman" w:eastAsia="宋体" w:cs="Times New Roman"/>
                <w:color w:val="auto"/>
                <w:kern w:val="0"/>
                <w:sz w:val="24"/>
                <w:lang w:val="en-US" w:eastAsia="zh-CN"/>
              </w:rPr>
              <w:t>西高安大北农饲料有限公司位于</w:t>
            </w:r>
            <w:r>
              <w:rPr>
                <w:rFonts w:hint="default" w:ascii="Times New Roman" w:hAnsi="Times New Roman" w:eastAsia="宋体" w:cs="Times New Roman"/>
                <w:color w:val="auto"/>
                <w:kern w:val="24"/>
                <w:sz w:val="24"/>
                <w:szCs w:val="24"/>
                <w:lang w:bidi="ar"/>
              </w:rPr>
              <w:t>江西省宜春市高安市八景镇</w:t>
            </w:r>
            <w:r>
              <w:rPr>
                <w:rFonts w:hint="default" w:ascii="Times New Roman" w:hAnsi="Times New Roman" w:eastAsia="宋体" w:cs="Times New Roman"/>
                <w:color w:val="auto"/>
                <w:sz w:val="24"/>
                <w:szCs w:val="24"/>
              </w:rPr>
              <w:t>高新技术产业园区</w:t>
            </w:r>
            <w:r>
              <w:rPr>
                <w:rFonts w:ascii="Arial" w:hAnsi="Arial" w:eastAsia="Arial" w:cs="Arial"/>
                <w:i w:val="0"/>
                <w:iCs w:val="0"/>
                <w:caps w:val="0"/>
                <w:color w:val="auto"/>
                <w:spacing w:val="0"/>
                <w:sz w:val="24"/>
                <w:szCs w:val="24"/>
                <w:shd w:val="clear" w:fill="FFFFFF"/>
              </w:rPr>
              <w:t>江西省建筑陶瓷产业基地</w:t>
            </w:r>
            <w:r>
              <w:rPr>
                <w:rFonts w:hint="eastAsia" w:cs="Times New Roman"/>
                <w:color w:val="auto"/>
                <w:kern w:val="24"/>
                <w:sz w:val="24"/>
                <w:szCs w:val="24"/>
                <w:lang w:val="en-US" w:eastAsia="zh-CN" w:bidi="ar"/>
              </w:rPr>
              <w:t>内</w:t>
            </w:r>
            <w:r>
              <w:rPr>
                <w:rFonts w:hint="eastAsia" w:ascii="Times New Roman" w:hAnsi="Times New Roman" w:eastAsia="宋体" w:cs="Times New Roman"/>
                <w:color w:val="auto"/>
                <w:kern w:val="0"/>
                <w:sz w:val="24"/>
                <w:lang w:val="en-US" w:eastAsia="zh-CN"/>
              </w:rPr>
              <w:t>。</w:t>
            </w:r>
          </w:p>
          <w:p w14:paraId="6AFD2ECB">
            <w:pPr>
              <w:pStyle w:val="18"/>
              <w:keepNext w:val="0"/>
              <w:keepLines w:val="0"/>
              <w:pageBreakBefore w:val="0"/>
              <w:widowControl w:val="0"/>
              <w:kinsoku/>
              <w:wordWrap/>
              <w:overflowPunct/>
              <w:topLinePunct w:val="0"/>
              <w:autoSpaceDE/>
              <w:autoSpaceDN/>
              <w:bidi w:val="0"/>
              <w:spacing w:line="360" w:lineRule="auto"/>
              <w:textAlignment w:val="auto"/>
              <w:rPr>
                <w:rFonts w:hint="eastAsia" w:ascii="Times New Roman" w:hAnsi="Times New Roman" w:eastAsia="宋体" w:cs="Times New Roman"/>
                <w:color w:val="000000" w:themeColor="text1"/>
                <w:sz w:val="24"/>
                <w:szCs w:val="24"/>
                <w:highlight w:val="none"/>
                <w:lang w:val="en-US" w:eastAsia="zh-CN" w:bidi="ar"/>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2013年1月，</w:t>
            </w:r>
            <w:r>
              <w:rPr>
                <w:rFonts w:hint="default" w:ascii="Times New Roman" w:hAnsi="Times New Roman" w:eastAsia="宋体" w:cs="Times New Roman"/>
                <w:color w:val="000000" w:themeColor="text1"/>
                <w:sz w:val="24"/>
                <w:szCs w:val="24"/>
                <w:highlight w:val="none"/>
                <w:lang w:eastAsia="zh-CN" w:bidi="ar"/>
                <w14:textFill>
                  <w14:solidFill>
                    <w14:schemeClr w14:val="tx1"/>
                  </w14:solidFill>
                </w14:textFill>
              </w:rPr>
              <w:t>江西高安大北农饲料有限公司</w:t>
            </w:r>
            <w:r>
              <w:rPr>
                <w:rFonts w:hint="eastAsia" w:ascii="Times New Roman" w:hAnsi="Times New Roman" w:eastAsia="宋体" w:cs="Times New Roman"/>
                <w:color w:val="000000" w:themeColor="text1"/>
                <w:sz w:val="24"/>
                <w:szCs w:val="24"/>
                <w:highlight w:val="none"/>
                <w:lang w:val="en-US" w:eastAsia="zh-CN" w:bidi="ar"/>
                <w14:textFill>
                  <w14:solidFill>
                    <w14:schemeClr w14:val="tx1"/>
                  </w14:solidFill>
                </w14:textFill>
              </w:rPr>
              <w:t>投资10000万元建设江西高安大北农饲料有限公司年产24万吨饲料加工项目，并委托宜春市环境保护科学研究所编制了《江西高安大北农饲料有限公司年产24万吨饲料加工项目环境影响报告表》，于2013年3月11日取得了原宜春市环境保护局印发的《关于江西高安大北农饲料有限公司年产24万吨饲料加工项目环境影响报告表的批复》（宜环评字</w:t>
            </w:r>
            <w:r>
              <w:rPr>
                <w:rFonts w:hint="eastAsia" w:ascii="微软雅黑" w:hAnsi="微软雅黑" w:eastAsia="微软雅黑" w:cs="微软雅黑"/>
                <w:color w:val="000000" w:themeColor="text1"/>
                <w:sz w:val="24"/>
                <w:szCs w:val="24"/>
                <w:highlight w:val="none"/>
                <w:lang w:val="en-US" w:eastAsia="zh-CN" w:bidi="ar"/>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bidi="ar"/>
                <w14:textFill>
                  <w14:solidFill>
                    <w14:schemeClr w14:val="tx1"/>
                  </w14:solidFill>
                </w14:textFill>
              </w:rPr>
              <w:t>2013</w:t>
            </w:r>
            <w:r>
              <w:rPr>
                <w:rFonts w:hint="eastAsia" w:ascii="微软雅黑" w:hAnsi="微软雅黑" w:eastAsia="微软雅黑" w:cs="微软雅黑"/>
                <w:color w:val="000000" w:themeColor="text1"/>
                <w:sz w:val="24"/>
                <w:szCs w:val="24"/>
                <w:highlight w:val="none"/>
                <w:lang w:val="en-US" w:eastAsia="zh-CN" w:bidi="ar"/>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bidi="ar"/>
                <w14:textFill>
                  <w14:solidFill>
                    <w14:schemeClr w14:val="tx1"/>
                  </w14:solidFill>
                </w14:textFill>
              </w:rPr>
              <w:t>71号）；2014年7月，</w:t>
            </w:r>
            <w:r>
              <w:rPr>
                <w:rFonts w:hint="default" w:ascii="Times New Roman" w:hAnsi="Times New Roman" w:eastAsia="宋体" w:cs="Times New Roman"/>
                <w:color w:val="000000" w:themeColor="text1"/>
                <w:sz w:val="24"/>
                <w:szCs w:val="24"/>
                <w:highlight w:val="none"/>
                <w:lang w:eastAsia="zh-CN" w:bidi="ar"/>
                <w14:textFill>
                  <w14:solidFill>
                    <w14:schemeClr w14:val="tx1"/>
                  </w14:solidFill>
                </w14:textFill>
              </w:rPr>
              <w:t>江西高安大北农饲料有限公司</w:t>
            </w:r>
            <w:r>
              <w:rPr>
                <w:rFonts w:hint="eastAsia" w:ascii="Times New Roman" w:hAnsi="Times New Roman" w:eastAsia="宋体" w:cs="Times New Roman"/>
                <w:color w:val="000000" w:themeColor="text1"/>
                <w:sz w:val="24"/>
                <w:szCs w:val="24"/>
                <w:highlight w:val="none"/>
                <w:lang w:val="en-US" w:eastAsia="zh-CN" w:bidi="ar"/>
                <w14:textFill>
                  <w14:solidFill>
                    <w14:schemeClr w14:val="tx1"/>
                  </w14:solidFill>
                </w14:textFill>
              </w:rPr>
              <w:t>委托宜春市环境监测站编制了《建设项目竣工环境保护验收监测报告表》，并于2015年2月11日取得了原宜春市环境保护局印发的《关于江西高安大北农饲料有限公司年产24万吨饲料加工项目竣工环境保护验收意见的函》（宜环评验字</w:t>
            </w:r>
            <w:r>
              <w:rPr>
                <w:rFonts w:hint="eastAsia" w:ascii="微软雅黑" w:hAnsi="微软雅黑" w:eastAsia="微软雅黑" w:cs="微软雅黑"/>
                <w:color w:val="000000" w:themeColor="text1"/>
                <w:sz w:val="24"/>
                <w:szCs w:val="24"/>
                <w:highlight w:val="none"/>
                <w:lang w:val="en-US" w:eastAsia="zh-CN" w:bidi="ar"/>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bidi="ar"/>
                <w14:textFill>
                  <w14:solidFill>
                    <w14:schemeClr w14:val="tx1"/>
                  </w14:solidFill>
                </w14:textFill>
              </w:rPr>
              <w:t>2015</w:t>
            </w:r>
            <w:r>
              <w:rPr>
                <w:rFonts w:hint="eastAsia" w:ascii="微软雅黑" w:hAnsi="微软雅黑" w:eastAsia="微软雅黑" w:cs="微软雅黑"/>
                <w:color w:val="000000" w:themeColor="text1"/>
                <w:sz w:val="24"/>
                <w:szCs w:val="24"/>
                <w:highlight w:val="none"/>
                <w:lang w:val="en-US" w:eastAsia="zh-CN" w:bidi="ar"/>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bidi="ar"/>
                <w14:textFill>
                  <w14:solidFill>
                    <w14:schemeClr w14:val="tx1"/>
                  </w14:solidFill>
                </w14:textFill>
              </w:rPr>
              <w:t>31号）。</w:t>
            </w:r>
          </w:p>
          <w:p w14:paraId="521ABC46">
            <w:pPr>
              <w:pStyle w:val="105"/>
              <w:keepNext w:val="0"/>
              <w:keepLines w:val="0"/>
              <w:pageBreakBefore w:val="0"/>
              <w:widowControl w:val="0"/>
              <w:kinsoku/>
              <w:wordWrap/>
              <w:topLinePunct w:val="0"/>
              <w:bidi w:val="0"/>
              <w:spacing w:before="0" w:beforeLines="0" w:line="240" w:lineRule="auto"/>
              <w:ind w:firstLine="482" w:firstLineChars="200"/>
              <w:textAlignment w:val="auto"/>
              <w:rPr>
                <w:rFonts w:hint="default" w:ascii="Times New Roman" w:hAnsi="Times New Roman"/>
                <w:b/>
                <w:color w:val="000000" w:themeColor="text1"/>
                <w:szCs w:val="21"/>
                <w14:textFill>
                  <w14:solidFill>
                    <w14:schemeClr w14:val="tx1"/>
                  </w14:solidFill>
                </w14:textFill>
              </w:rPr>
            </w:pPr>
            <w:r>
              <w:rPr>
                <w:rFonts w:hint="default" w:ascii="Times New Roman" w:hAnsi="Times New Roman"/>
                <w:b/>
                <w:bCs/>
                <w:color w:val="000000" w:themeColor="text1"/>
                <w:sz w:val="24"/>
                <w:szCs w:val="24"/>
                <w14:textFill>
                  <w14:solidFill>
                    <w14:schemeClr w14:val="tx1"/>
                  </w14:solidFill>
                </w14:textFill>
              </w:rPr>
              <w:t>表2-</w:t>
            </w:r>
            <w:r>
              <w:rPr>
                <w:rFonts w:hint="eastAsia"/>
                <w:b/>
                <w:bCs/>
                <w:color w:val="000000" w:themeColor="text1"/>
                <w:sz w:val="24"/>
                <w:szCs w:val="24"/>
                <w:lang w:val="en-US" w:eastAsia="zh-CN"/>
                <w14:textFill>
                  <w14:solidFill>
                    <w14:schemeClr w14:val="tx1"/>
                  </w14:solidFill>
                </w14:textFill>
              </w:rPr>
              <w:t>9</w:t>
            </w:r>
            <w:r>
              <w:rPr>
                <w:rFonts w:hint="default" w:ascii="Times New Roman" w:hAnsi="Times New Roman"/>
                <w:b/>
                <w:bCs/>
                <w:color w:val="000000" w:themeColor="text1"/>
                <w:sz w:val="24"/>
                <w:szCs w:val="24"/>
                <w14:textFill>
                  <w14:solidFill>
                    <w14:schemeClr w14:val="tx1"/>
                  </w14:solidFill>
                </w14:textFill>
              </w:rPr>
              <w:t xml:space="preserve"> </w:t>
            </w:r>
            <w:r>
              <w:rPr>
                <w:rFonts w:hint="default" w:ascii="Times New Roman" w:hAnsi="Times New Roman"/>
                <w:b/>
                <w:color w:val="000000" w:themeColor="text1"/>
                <w:sz w:val="24"/>
                <w:szCs w:val="24"/>
                <w14:textFill>
                  <w14:solidFill>
                    <w14:schemeClr w14:val="tx1"/>
                  </w14:solidFill>
                </w14:textFill>
              </w:rPr>
              <w:t xml:space="preserve"> </w:t>
            </w:r>
            <w:r>
              <w:rPr>
                <w:rFonts w:hint="eastAsia"/>
                <w:b/>
                <w:color w:val="000000" w:themeColor="text1"/>
                <w:sz w:val="24"/>
                <w:szCs w:val="24"/>
                <w:lang w:val="en-US" w:eastAsia="zh-CN"/>
                <w14:textFill>
                  <w14:solidFill>
                    <w14:schemeClr w14:val="tx1"/>
                  </w14:solidFill>
                </w14:textFill>
              </w:rPr>
              <w:t>现有项目</w:t>
            </w:r>
            <w:r>
              <w:rPr>
                <w:rFonts w:hint="default" w:ascii="Times New Roman" w:hAnsi="Times New Roman" w:eastAsia="宋体" w:cs="Times New Roman"/>
                <w:color w:val="FF0000"/>
                <w:spacing w:val="0"/>
                <w:w w:val="100"/>
                <w:position w:val="0"/>
                <w:sz w:val="24"/>
                <w:szCs w:val="24"/>
              </w:rPr>
              <w:t>环保</w:t>
            </w:r>
            <w:r>
              <w:rPr>
                <w:rFonts w:hint="default" w:ascii="Times New Roman" w:hAnsi="Times New Roman" w:eastAsia="宋体" w:cs="Times New Roman"/>
                <w:color w:val="000000" w:themeColor="text1"/>
                <w:spacing w:val="0"/>
                <w:w w:val="100"/>
                <w:position w:val="0"/>
                <w:sz w:val="24"/>
                <w:szCs w:val="24"/>
                <w14:textFill>
                  <w14:solidFill>
                    <w14:schemeClr w14:val="tx1"/>
                  </w14:solidFill>
                </w14:textFill>
              </w:rPr>
              <w:t>手续履行情况</w:t>
            </w:r>
          </w:p>
          <w:tbl>
            <w:tblPr>
              <w:tblStyle w:val="27"/>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635"/>
              <w:gridCol w:w="1124"/>
              <w:gridCol w:w="1307"/>
              <w:gridCol w:w="1509"/>
              <w:gridCol w:w="1509"/>
            </w:tblGrid>
            <w:tr w14:paraId="16A31B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630" w:type="pct"/>
                  <w:tcBorders>
                    <w:tl2br w:val="nil"/>
                    <w:tr2bl w:val="nil"/>
                  </w:tcBorders>
                  <w:noWrap w:val="0"/>
                  <w:vAlign w:val="center"/>
                </w:tcPr>
                <w:p w14:paraId="5F642494">
                  <w:pPr>
                    <w:keepNext/>
                    <w:keepLines/>
                    <w:suppressLineNumbers w:val="0"/>
                    <w:adjustRightInd w:val="0"/>
                    <w:snapToGrid w:val="0"/>
                    <w:spacing w:before="0" w:beforeAutospacing="0" w:after="0" w:afterAutospacing="0"/>
                    <w:ind w:left="0" w:right="0"/>
                    <w:jc w:val="center"/>
                    <w:rPr>
                      <w:rFonts w:hint="default" w:ascii="Times New Roman" w:hAnsi="Times New Roman"/>
                      <w:b/>
                      <w:color w:val="000000" w:themeColor="text1"/>
                      <w:sz w:val="20"/>
                      <w:szCs w:val="20"/>
                      <w14:textFill>
                        <w14:solidFill>
                          <w14:schemeClr w14:val="tx1"/>
                        </w14:solidFill>
                      </w14:textFill>
                    </w:rPr>
                  </w:pPr>
                  <w:r>
                    <w:rPr>
                      <w:rFonts w:hint="default" w:ascii="Times New Roman" w:hAnsi="Times New Roman"/>
                      <w:b/>
                      <w:color w:val="000000" w:themeColor="text1"/>
                      <w:sz w:val="20"/>
                      <w:szCs w:val="20"/>
                      <w14:textFill>
                        <w14:solidFill>
                          <w14:schemeClr w14:val="tx1"/>
                        </w14:solidFill>
                      </w14:textFill>
                    </w:rPr>
                    <w:t>现有项目名称</w:t>
                  </w:r>
                </w:p>
              </w:tc>
              <w:tc>
                <w:tcPr>
                  <w:tcW w:w="695" w:type="pct"/>
                  <w:tcBorders>
                    <w:tl2br w:val="nil"/>
                    <w:tr2bl w:val="nil"/>
                  </w:tcBorders>
                  <w:noWrap w:val="0"/>
                  <w:tcMar>
                    <w:top w:w="0" w:type="dxa"/>
                    <w:left w:w="0" w:type="dxa"/>
                    <w:bottom w:w="0" w:type="dxa"/>
                    <w:right w:w="0" w:type="dxa"/>
                  </w:tcMar>
                  <w:vAlign w:val="center"/>
                </w:tcPr>
                <w:p w14:paraId="59F5CDDD">
                  <w:pPr>
                    <w:keepNext/>
                    <w:keepLines/>
                    <w:suppressLineNumbers w:val="0"/>
                    <w:adjustRightInd w:val="0"/>
                    <w:snapToGrid w:val="0"/>
                    <w:spacing w:before="0" w:beforeAutospacing="0" w:after="0" w:afterAutospacing="0"/>
                    <w:ind w:left="0" w:right="0"/>
                    <w:jc w:val="center"/>
                    <w:rPr>
                      <w:rFonts w:hint="default" w:ascii="Times New Roman" w:hAnsi="Times New Roman"/>
                      <w:b/>
                      <w:color w:val="000000" w:themeColor="text1"/>
                      <w:sz w:val="20"/>
                      <w:szCs w:val="20"/>
                      <w14:textFill>
                        <w14:solidFill>
                          <w14:schemeClr w14:val="tx1"/>
                        </w14:solidFill>
                      </w14:textFill>
                    </w:rPr>
                  </w:pPr>
                  <w:r>
                    <w:rPr>
                      <w:rFonts w:hint="default" w:ascii="Times New Roman" w:hAnsi="Times New Roman"/>
                      <w:b/>
                      <w:color w:val="000000" w:themeColor="text1"/>
                      <w:sz w:val="20"/>
                      <w:szCs w:val="20"/>
                      <w14:textFill>
                        <w14:solidFill>
                          <w14:schemeClr w14:val="tx1"/>
                        </w14:solidFill>
                      </w14:textFill>
                    </w:rPr>
                    <w:t>环评批复时间</w:t>
                  </w:r>
                </w:p>
              </w:tc>
              <w:tc>
                <w:tcPr>
                  <w:tcW w:w="808" w:type="pct"/>
                  <w:tcBorders>
                    <w:tl2br w:val="nil"/>
                    <w:tr2bl w:val="nil"/>
                  </w:tcBorders>
                  <w:noWrap w:val="0"/>
                  <w:vAlign w:val="center"/>
                </w:tcPr>
                <w:p w14:paraId="2FEDEB3C">
                  <w:pPr>
                    <w:keepNext/>
                    <w:keepLines/>
                    <w:suppressLineNumbers w:val="0"/>
                    <w:adjustRightInd w:val="0"/>
                    <w:snapToGrid w:val="0"/>
                    <w:spacing w:before="0" w:beforeAutospacing="0" w:after="0" w:afterAutospacing="0"/>
                    <w:ind w:left="0" w:right="0"/>
                    <w:jc w:val="center"/>
                    <w:rPr>
                      <w:rFonts w:hint="default" w:ascii="Times New Roman" w:hAnsi="Times New Roman"/>
                      <w:b/>
                      <w:color w:val="000000" w:themeColor="text1"/>
                      <w:sz w:val="20"/>
                      <w:szCs w:val="20"/>
                      <w14:textFill>
                        <w14:solidFill>
                          <w14:schemeClr w14:val="tx1"/>
                        </w14:solidFill>
                      </w14:textFill>
                    </w:rPr>
                  </w:pPr>
                  <w:r>
                    <w:rPr>
                      <w:rFonts w:hint="default" w:ascii="Times New Roman" w:hAnsi="Times New Roman"/>
                      <w:b/>
                      <w:color w:val="000000" w:themeColor="text1"/>
                      <w:sz w:val="20"/>
                      <w:szCs w:val="20"/>
                      <w14:textFill>
                        <w14:solidFill>
                          <w14:schemeClr w14:val="tx1"/>
                        </w14:solidFill>
                      </w14:textFill>
                    </w:rPr>
                    <w:t>批复文号</w:t>
                  </w:r>
                </w:p>
              </w:tc>
              <w:tc>
                <w:tcPr>
                  <w:tcW w:w="933" w:type="pct"/>
                  <w:tcBorders>
                    <w:tl2br w:val="nil"/>
                    <w:tr2bl w:val="nil"/>
                  </w:tcBorders>
                  <w:noWrap w:val="0"/>
                  <w:vAlign w:val="center"/>
                </w:tcPr>
                <w:p w14:paraId="64B9229E">
                  <w:pPr>
                    <w:keepNext/>
                    <w:keepLines/>
                    <w:suppressLineNumbers w:val="0"/>
                    <w:adjustRightInd w:val="0"/>
                    <w:snapToGrid w:val="0"/>
                    <w:spacing w:before="0" w:beforeAutospacing="0" w:after="0" w:afterAutospacing="0"/>
                    <w:ind w:left="0" w:right="0"/>
                    <w:jc w:val="center"/>
                    <w:rPr>
                      <w:rFonts w:hint="default" w:ascii="Times New Roman" w:hAnsi="Times New Roman"/>
                      <w:b/>
                      <w:color w:val="000000" w:themeColor="text1"/>
                      <w:sz w:val="20"/>
                      <w:szCs w:val="20"/>
                      <w14:textFill>
                        <w14:solidFill>
                          <w14:schemeClr w14:val="tx1"/>
                        </w14:solidFill>
                      </w14:textFill>
                    </w:rPr>
                  </w:pPr>
                  <w:r>
                    <w:rPr>
                      <w:rFonts w:hint="default" w:ascii="Times New Roman" w:hAnsi="Times New Roman"/>
                      <w:b/>
                      <w:color w:val="000000" w:themeColor="text1"/>
                      <w:sz w:val="20"/>
                      <w:szCs w:val="20"/>
                      <w14:textFill>
                        <w14:solidFill>
                          <w14:schemeClr w14:val="tx1"/>
                        </w14:solidFill>
                      </w14:textFill>
                    </w:rPr>
                    <w:t>验收情况</w:t>
                  </w:r>
                </w:p>
              </w:tc>
              <w:tc>
                <w:tcPr>
                  <w:tcW w:w="933" w:type="pct"/>
                  <w:tcBorders>
                    <w:tl2br w:val="nil"/>
                    <w:tr2bl w:val="nil"/>
                  </w:tcBorders>
                  <w:noWrap w:val="0"/>
                  <w:vAlign w:val="center"/>
                </w:tcPr>
                <w:p w14:paraId="0F7E7BBA">
                  <w:pPr>
                    <w:keepNext/>
                    <w:keepLines/>
                    <w:suppressLineNumbers w:val="0"/>
                    <w:adjustRightInd w:val="0"/>
                    <w:snapToGrid w:val="0"/>
                    <w:spacing w:before="0" w:beforeAutospacing="0" w:after="0" w:afterAutospacing="0"/>
                    <w:ind w:left="0" w:right="0"/>
                    <w:jc w:val="center"/>
                    <w:rPr>
                      <w:rFonts w:hint="default" w:ascii="Times New Roman" w:hAnsi="Times New Roman"/>
                      <w:b/>
                      <w:color w:val="000000" w:themeColor="text1"/>
                      <w:sz w:val="20"/>
                      <w:szCs w:val="20"/>
                      <w14:textFill>
                        <w14:solidFill>
                          <w14:schemeClr w14:val="tx1"/>
                        </w14:solidFill>
                      </w14:textFill>
                    </w:rPr>
                  </w:pPr>
                  <w:r>
                    <w:rPr>
                      <w:rFonts w:hint="default" w:ascii="Times New Roman" w:hAnsi="Times New Roman" w:eastAsia="宋体" w:cs="Times New Roman"/>
                      <w:b w:val="0"/>
                      <w:bCs/>
                      <w:color w:val="auto"/>
                      <w:spacing w:val="0"/>
                      <w:w w:val="100"/>
                      <w:position w:val="0"/>
                      <w:sz w:val="21"/>
                      <w:szCs w:val="21"/>
                    </w:rPr>
                    <w:t>排污许可证申领情况</w:t>
                  </w:r>
                </w:p>
              </w:tc>
            </w:tr>
            <w:tr w14:paraId="293AB7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1630" w:type="pct"/>
                  <w:tcBorders>
                    <w:tl2br w:val="nil"/>
                    <w:tr2bl w:val="nil"/>
                  </w:tcBorders>
                  <w:noWrap w:val="0"/>
                  <w:vAlign w:val="center"/>
                </w:tcPr>
                <w:p w14:paraId="4EDA0A53">
                  <w:pPr>
                    <w:pStyle w:val="120"/>
                    <w:keepNext w:val="0"/>
                    <w:keepLines w:val="0"/>
                    <w:suppressLineNumbers w:val="0"/>
                    <w:spacing w:before="0" w:beforeAutospacing="0" w:after="0" w:afterAutospacing="0"/>
                    <w:ind w:left="0" w:right="0"/>
                    <w:jc w:val="both"/>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bidi="ar"/>
                      <w14:textFill>
                        <w14:solidFill>
                          <w14:schemeClr w14:val="tx1"/>
                        </w14:solidFill>
                      </w14:textFill>
                    </w:rPr>
                    <w:t>江西高安大北农饲料有限公司年产24万吨饲料加工项目</w:t>
                  </w:r>
                </w:p>
              </w:tc>
              <w:tc>
                <w:tcPr>
                  <w:tcW w:w="695" w:type="pct"/>
                  <w:tcBorders>
                    <w:tl2br w:val="nil"/>
                    <w:tr2bl w:val="nil"/>
                  </w:tcBorders>
                  <w:noWrap w:val="0"/>
                  <w:vAlign w:val="center"/>
                </w:tcPr>
                <w:p w14:paraId="2E883D9C">
                  <w:pPr>
                    <w:pStyle w:val="120"/>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20</w:t>
                  </w:r>
                  <w:r>
                    <w:rPr>
                      <w:rFonts w:hint="eastAsia" w:cs="Times New Roman"/>
                      <w:color w:val="000000" w:themeColor="text1"/>
                      <w:sz w:val="21"/>
                      <w:szCs w:val="21"/>
                      <w:lang w:val="en-US" w:eastAsia="zh-CN"/>
                      <w14:textFill>
                        <w14:solidFill>
                          <w14:schemeClr w14:val="tx1"/>
                        </w14:solidFill>
                      </w14:textFill>
                    </w:rPr>
                    <w:t>13</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年</w:t>
                  </w:r>
                  <w:r>
                    <w:rPr>
                      <w:rFonts w:hint="eastAsia" w:cs="Times New Roman"/>
                      <w:color w:val="000000" w:themeColor="text1"/>
                      <w:sz w:val="21"/>
                      <w:szCs w:val="21"/>
                      <w:lang w:val="en-US" w:eastAsia="zh-CN"/>
                      <w14:textFill>
                        <w14:solidFill>
                          <w14:schemeClr w14:val="tx1"/>
                        </w14:solidFill>
                      </w14:textFill>
                    </w:rPr>
                    <w:t>3</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月</w:t>
                  </w:r>
                </w:p>
              </w:tc>
              <w:tc>
                <w:tcPr>
                  <w:tcW w:w="808" w:type="pct"/>
                  <w:tcBorders>
                    <w:tl2br w:val="nil"/>
                    <w:tr2bl w:val="nil"/>
                  </w:tcBorders>
                  <w:noWrap w:val="0"/>
                  <w:tcMar>
                    <w:top w:w="0" w:type="dxa"/>
                    <w:left w:w="0" w:type="dxa"/>
                    <w:bottom w:w="0" w:type="dxa"/>
                    <w:right w:w="0" w:type="dxa"/>
                  </w:tcMar>
                  <w:vAlign w:val="center"/>
                </w:tcPr>
                <w:p w14:paraId="516E31A4">
                  <w:pPr>
                    <w:pStyle w:val="120"/>
                    <w:keepNext w:val="0"/>
                    <w:keepLines w:val="0"/>
                    <w:suppressLineNumbers w:val="0"/>
                    <w:spacing w:before="0" w:beforeAutospacing="0" w:after="0" w:afterAutospacing="0"/>
                    <w:ind w:left="0" w:right="0"/>
                    <w:jc w:val="both"/>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bidi="ar"/>
                      <w14:textFill>
                        <w14:solidFill>
                          <w14:schemeClr w14:val="tx1"/>
                        </w14:solidFill>
                      </w14:textFill>
                    </w:rPr>
                    <w:t>宜环评字</w:t>
                  </w:r>
                  <w:r>
                    <w:rPr>
                      <w:rFonts w:hint="eastAsia" w:ascii="微软雅黑" w:hAnsi="微软雅黑" w:eastAsia="微软雅黑" w:cs="微软雅黑"/>
                      <w:color w:val="000000" w:themeColor="text1"/>
                      <w:sz w:val="21"/>
                      <w:szCs w:val="21"/>
                      <w:highlight w:val="none"/>
                      <w:lang w:val="en-US" w:eastAsia="zh-CN" w:bidi="ar"/>
                      <w14:textFill>
                        <w14:solidFill>
                          <w14:schemeClr w14:val="tx1"/>
                        </w14:solidFill>
                      </w14:textFill>
                    </w:rPr>
                    <w:t>〔</w:t>
                  </w:r>
                  <w:r>
                    <w:rPr>
                      <w:rFonts w:hint="eastAsia" w:ascii="Times New Roman" w:hAnsi="Times New Roman" w:eastAsia="宋体" w:cs="Times New Roman"/>
                      <w:color w:val="000000" w:themeColor="text1"/>
                      <w:sz w:val="21"/>
                      <w:szCs w:val="21"/>
                      <w:highlight w:val="none"/>
                      <w:lang w:val="en-US" w:eastAsia="zh-CN" w:bidi="ar"/>
                      <w14:textFill>
                        <w14:solidFill>
                          <w14:schemeClr w14:val="tx1"/>
                        </w14:solidFill>
                      </w14:textFill>
                    </w:rPr>
                    <w:t>2013</w:t>
                  </w:r>
                  <w:r>
                    <w:rPr>
                      <w:rFonts w:hint="eastAsia" w:ascii="微软雅黑" w:hAnsi="微软雅黑" w:eastAsia="微软雅黑" w:cs="微软雅黑"/>
                      <w:color w:val="000000" w:themeColor="text1"/>
                      <w:sz w:val="21"/>
                      <w:szCs w:val="21"/>
                      <w:highlight w:val="none"/>
                      <w:lang w:val="en-US" w:eastAsia="zh-CN" w:bidi="ar"/>
                      <w14:textFill>
                        <w14:solidFill>
                          <w14:schemeClr w14:val="tx1"/>
                        </w14:solidFill>
                      </w14:textFill>
                    </w:rPr>
                    <w:t>〕</w:t>
                  </w:r>
                  <w:r>
                    <w:rPr>
                      <w:rFonts w:hint="eastAsia" w:ascii="Times New Roman" w:hAnsi="Times New Roman" w:eastAsia="宋体" w:cs="Times New Roman"/>
                      <w:color w:val="000000" w:themeColor="text1"/>
                      <w:sz w:val="21"/>
                      <w:szCs w:val="21"/>
                      <w:highlight w:val="none"/>
                      <w:lang w:val="en-US" w:eastAsia="zh-CN" w:bidi="ar"/>
                      <w14:textFill>
                        <w14:solidFill>
                          <w14:schemeClr w14:val="tx1"/>
                        </w14:solidFill>
                      </w14:textFill>
                    </w:rPr>
                    <w:t>71号</w:t>
                  </w:r>
                </w:p>
              </w:tc>
              <w:tc>
                <w:tcPr>
                  <w:tcW w:w="933" w:type="pct"/>
                  <w:tcBorders>
                    <w:tl2br w:val="nil"/>
                    <w:tr2bl w:val="nil"/>
                  </w:tcBorders>
                  <w:noWrap w:val="0"/>
                  <w:tcMar>
                    <w:top w:w="0" w:type="dxa"/>
                    <w:left w:w="0" w:type="dxa"/>
                    <w:bottom w:w="0" w:type="dxa"/>
                    <w:right w:w="0" w:type="dxa"/>
                  </w:tcMar>
                  <w:vAlign w:val="center"/>
                </w:tcPr>
                <w:p w14:paraId="4787A54E">
                  <w:pPr>
                    <w:pStyle w:val="120"/>
                    <w:keepNext w:val="0"/>
                    <w:keepLines w:val="0"/>
                    <w:suppressLineNumbers w:val="0"/>
                    <w:spacing w:before="0" w:beforeAutospacing="0" w:after="0" w:afterAutospacing="0"/>
                    <w:ind w:left="0" w:right="0"/>
                    <w:jc w:val="both"/>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bidi="ar"/>
                      <w14:textFill>
                        <w14:solidFill>
                          <w14:schemeClr w14:val="tx1"/>
                        </w14:solidFill>
                      </w14:textFill>
                    </w:rPr>
                    <w:t>宜环评验字</w:t>
                  </w:r>
                  <w:r>
                    <w:rPr>
                      <w:rFonts w:hint="eastAsia" w:ascii="微软雅黑" w:hAnsi="微软雅黑" w:eastAsia="微软雅黑" w:cs="微软雅黑"/>
                      <w:color w:val="000000" w:themeColor="text1"/>
                      <w:sz w:val="21"/>
                      <w:szCs w:val="21"/>
                      <w:highlight w:val="none"/>
                      <w:lang w:val="en-US" w:eastAsia="zh-CN" w:bidi="ar"/>
                      <w14:textFill>
                        <w14:solidFill>
                          <w14:schemeClr w14:val="tx1"/>
                        </w14:solidFill>
                      </w14:textFill>
                    </w:rPr>
                    <w:t>〔</w:t>
                  </w:r>
                  <w:r>
                    <w:rPr>
                      <w:rFonts w:hint="eastAsia" w:ascii="Times New Roman" w:hAnsi="Times New Roman" w:eastAsia="宋体" w:cs="Times New Roman"/>
                      <w:color w:val="000000" w:themeColor="text1"/>
                      <w:sz w:val="21"/>
                      <w:szCs w:val="21"/>
                      <w:highlight w:val="none"/>
                      <w:lang w:val="en-US" w:eastAsia="zh-CN" w:bidi="ar"/>
                      <w14:textFill>
                        <w14:solidFill>
                          <w14:schemeClr w14:val="tx1"/>
                        </w14:solidFill>
                      </w14:textFill>
                    </w:rPr>
                    <w:t>2015</w:t>
                  </w:r>
                  <w:r>
                    <w:rPr>
                      <w:rFonts w:hint="eastAsia" w:ascii="微软雅黑" w:hAnsi="微软雅黑" w:eastAsia="微软雅黑" w:cs="微软雅黑"/>
                      <w:color w:val="000000" w:themeColor="text1"/>
                      <w:sz w:val="21"/>
                      <w:szCs w:val="21"/>
                      <w:highlight w:val="none"/>
                      <w:lang w:val="en-US" w:eastAsia="zh-CN" w:bidi="ar"/>
                      <w14:textFill>
                        <w14:solidFill>
                          <w14:schemeClr w14:val="tx1"/>
                        </w14:solidFill>
                      </w14:textFill>
                    </w:rPr>
                    <w:t>〕</w:t>
                  </w:r>
                  <w:r>
                    <w:rPr>
                      <w:rFonts w:hint="eastAsia" w:ascii="Times New Roman" w:hAnsi="Times New Roman" w:eastAsia="宋体" w:cs="Times New Roman"/>
                      <w:color w:val="000000" w:themeColor="text1"/>
                      <w:sz w:val="21"/>
                      <w:szCs w:val="21"/>
                      <w:highlight w:val="none"/>
                      <w:lang w:val="en-US" w:eastAsia="zh-CN" w:bidi="ar"/>
                      <w14:textFill>
                        <w14:solidFill>
                          <w14:schemeClr w14:val="tx1"/>
                        </w14:solidFill>
                      </w14:textFill>
                    </w:rPr>
                    <w:t>31号</w:t>
                  </w:r>
                </w:p>
              </w:tc>
              <w:tc>
                <w:tcPr>
                  <w:tcW w:w="933" w:type="pct"/>
                  <w:tcBorders>
                    <w:tl2br w:val="nil"/>
                    <w:tr2bl w:val="nil"/>
                  </w:tcBorders>
                  <w:noWrap w:val="0"/>
                  <w:tcMar>
                    <w:top w:w="0" w:type="dxa"/>
                    <w:left w:w="0" w:type="dxa"/>
                    <w:bottom w:w="0" w:type="dxa"/>
                    <w:right w:w="0" w:type="dxa"/>
                  </w:tcMar>
                  <w:vAlign w:val="center"/>
                </w:tcPr>
                <w:p w14:paraId="78500B6B">
                  <w:pPr>
                    <w:pStyle w:val="120"/>
                    <w:keepNext w:val="0"/>
                    <w:keepLines w:val="0"/>
                    <w:suppressLineNumbers w:val="0"/>
                    <w:spacing w:before="0" w:beforeAutospacing="0" w:after="0" w:afterAutospacing="0"/>
                    <w:ind w:left="0" w:right="0"/>
                    <w:jc w:val="both"/>
                    <w:rPr>
                      <w:rFonts w:hint="eastAsia" w:ascii="Times New Roman" w:hAnsi="Times New Roman" w:eastAsia="宋体" w:cs="Times New Roman"/>
                      <w:color w:val="000000" w:themeColor="text1"/>
                      <w:sz w:val="21"/>
                      <w:szCs w:val="21"/>
                      <w:highlight w:val="none"/>
                      <w:lang w:val="en-US" w:eastAsia="zh-CN" w:bidi="ar"/>
                      <w14:textFill>
                        <w14:solidFill>
                          <w14:schemeClr w14:val="tx1"/>
                        </w14:solidFill>
                      </w14:textFill>
                    </w:rPr>
                  </w:pPr>
                  <w:r>
                    <w:rPr>
                      <w:rFonts w:hint="default" w:ascii="Times New Roman" w:hAnsi="Times New Roman" w:eastAsia="宋体" w:cs="Times New Roman"/>
                      <w:color w:val="auto"/>
                      <w:spacing w:val="0"/>
                      <w:w w:val="100"/>
                      <w:position w:val="0"/>
                      <w:sz w:val="21"/>
                      <w:szCs w:val="21"/>
                    </w:rPr>
                    <w:t>排污许可</w:t>
                  </w:r>
                  <w:r>
                    <w:rPr>
                      <w:rFonts w:hint="default" w:ascii="Times New Roman" w:hAnsi="Times New Roman" w:eastAsia="宋体" w:cs="Times New Roman"/>
                      <w:color w:val="auto"/>
                      <w:spacing w:val="0"/>
                      <w:w w:val="100"/>
                      <w:position w:val="0"/>
                      <w:sz w:val="21"/>
                      <w:szCs w:val="21"/>
                      <w:lang w:val="en-US" w:eastAsia="zh-CN"/>
                    </w:rPr>
                    <w:t>已</w:t>
                  </w:r>
                  <w:r>
                    <w:rPr>
                      <w:rFonts w:hint="default" w:ascii="Times New Roman" w:hAnsi="Times New Roman" w:eastAsia="宋体" w:cs="Times New Roman"/>
                      <w:color w:val="auto"/>
                      <w:spacing w:val="0"/>
                      <w:w w:val="100"/>
                      <w:position w:val="0"/>
                      <w:sz w:val="21"/>
                      <w:szCs w:val="21"/>
                    </w:rPr>
                    <w:t>申领</w:t>
                  </w:r>
                  <w:r>
                    <w:rPr>
                      <w:rFonts w:hint="eastAsia" w:ascii="Times New Roman" w:hAnsi="Times New Roman" w:cs="Times New Roman"/>
                      <w:color w:val="auto"/>
                      <w:spacing w:val="0"/>
                      <w:w w:val="100"/>
                      <w:position w:val="0"/>
                      <w:sz w:val="21"/>
                      <w:szCs w:val="21"/>
                      <w:lang w:eastAsia="zh-CN"/>
                    </w:rPr>
                    <w:t>（</w:t>
                  </w:r>
                  <w:r>
                    <w:rPr>
                      <w:rFonts w:hint="eastAsia" w:ascii="Times New Roman" w:hAnsi="Times New Roman" w:cs="Times New Roman"/>
                      <w:color w:val="auto"/>
                      <w:spacing w:val="0"/>
                      <w:w w:val="100"/>
                      <w:position w:val="0"/>
                      <w:sz w:val="21"/>
                      <w:szCs w:val="21"/>
                      <w:lang w:val="en-US" w:eastAsia="zh-CN"/>
                    </w:rPr>
                    <w:t>登记编号：</w:t>
                  </w:r>
                  <w:r>
                    <w:rPr>
                      <w:rFonts w:hint="eastAsia" w:ascii="Times New Roman" w:hAnsi="Times New Roman" w:cs="Times New Roman"/>
                      <w:color w:val="auto"/>
                      <w:spacing w:val="0"/>
                      <w:w w:val="100"/>
                      <w:position w:val="0"/>
                      <w:sz w:val="21"/>
                      <w:szCs w:val="21"/>
                      <w:lang w:eastAsia="zh-CN"/>
                    </w:rPr>
                    <w:t>91360983598859249T001W）</w:t>
                  </w:r>
                </w:p>
              </w:tc>
            </w:tr>
          </w:tbl>
          <w:p w14:paraId="22708837">
            <w:pPr>
              <w:pStyle w:val="48"/>
              <w:keepNext w:val="0"/>
              <w:keepLines w:val="0"/>
              <w:numPr>
                <w:ilvl w:val="0"/>
                <w:numId w:val="0"/>
              </w:numPr>
              <w:suppressLineNumbers w:val="0"/>
              <w:spacing w:before="0" w:beforeAutospacing="0" w:after="0" w:afterAutospacing="0"/>
              <w:ind w:left="0" w:right="0" w:firstLine="482" w:firstLineChars="200"/>
              <w:jc w:val="left"/>
              <w:rPr>
                <w:rFonts w:hint="eastAsia"/>
                <w:b/>
                <w:bCs/>
                <w:color w:val="000000" w:themeColor="text1"/>
                <w:lang w:val="en-US" w:eastAsia="zh-CN"/>
                <w14:textFill>
                  <w14:solidFill>
                    <w14:schemeClr w14:val="tx1"/>
                  </w14:solidFill>
                </w14:textFill>
              </w:rPr>
            </w:pPr>
            <w:r>
              <w:rPr>
                <w:rFonts w:hint="eastAsia" w:cs="Times New Roman"/>
                <w:b/>
                <w:bCs/>
                <w:color w:val="000000" w:themeColor="text1"/>
                <w:kern w:val="0"/>
                <w:sz w:val="24"/>
                <w:szCs w:val="24"/>
                <w:lang w:val="en-US" w:eastAsia="zh-CN" w:bidi="ar-SA"/>
                <w14:textFill>
                  <w14:solidFill>
                    <w14:schemeClr w14:val="tx1"/>
                  </w14:solidFill>
                </w14:textFill>
              </w:rPr>
              <w:t>二</w:t>
            </w:r>
            <w:r>
              <w:rPr>
                <w:rFonts w:hint="eastAsia" w:ascii="Times New Roman" w:hAnsi="Times New Roman" w:eastAsia="宋体" w:cs="Times New Roman"/>
                <w:b/>
                <w:bCs/>
                <w:color w:val="000000" w:themeColor="text1"/>
                <w:kern w:val="0"/>
                <w:sz w:val="24"/>
                <w:szCs w:val="24"/>
                <w:lang w:val="en-US" w:eastAsia="zh-CN" w:bidi="ar-SA"/>
                <w14:textFill>
                  <w14:solidFill>
                    <w14:schemeClr w14:val="tx1"/>
                  </w14:solidFill>
                </w14:textFill>
              </w:rPr>
              <w:t>、</w:t>
            </w:r>
            <w:r>
              <w:rPr>
                <w:rFonts w:hint="eastAsia"/>
                <w:b/>
                <w:bCs/>
                <w:color w:val="000000" w:themeColor="text1"/>
                <w:lang w:val="en-US" w:eastAsia="zh-CN"/>
                <w14:textFill>
                  <w14:solidFill>
                    <w14:schemeClr w14:val="tx1"/>
                  </w14:solidFill>
                </w14:textFill>
              </w:rPr>
              <w:t>现有工程生产工艺</w:t>
            </w:r>
          </w:p>
          <w:p w14:paraId="4FA0D53C">
            <w:pPr>
              <w:adjustRightInd w:val="0"/>
              <w:snapToGrid w:val="0"/>
              <w:spacing w:line="360" w:lineRule="auto"/>
              <w:ind w:firstLine="480" w:firstLineChars="200"/>
              <w:rPr>
                <w:rFonts w:hint="eastAsia" w:cs="Times New Roman"/>
                <w:color w:val="000000" w:themeColor="text1"/>
                <w:kern w:val="0"/>
                <w:sz w:val="24"/>
                <w:lang w:val="en-US" w:eastAsia="zh-CN"/>
                <w14:textFill>
                  <w14:solidFill>
                    <w14:schemeClr w14:val="tx1"/>
                  </w14:solidFill>
                </w14:textFill>
              </w:rPr>
            </w:pPr>
            <w:r>
              <w:rPr>
                <w:rFonts w:hint="eastAsia" w:cs="Times New Roman"/>
                <w:color w:val="000000" w:themeColor="text1"/>
                <w:kern w:val="0"/>
                <w:sz w:val="24"/>
                <w:lang w:val="en-US" w:eastAsia="zh-CN"/>
                <w14:textFill>
                  <w14:solidFill>
                    <w14:schemeClr w14:val="tx1"/>
                  </w14:solidFill>
                </w14:textFill>
              </w:rPr>
              <w:t>现有项目</w:t>
            </w:r>
            <w:r>
              <w:rPr>
                <w:rFonts w:hint="eastAsia" w:ascii="Times New Roman" w:hAnsi="Times New Roman" w:eastAsia="宋体" w:cs="Times New Roman"/>
                <w:color w:val="000000" w:themeColor="text1"/>
                <w:kern w:val="0"/>
                <w:sz w:val="24"/>
                <w:lang w:val="en-US" w:eastAsia="zh-CN"/>
                <w14:textFill>
                  <w14:solidFill>
                    <w14:schemeClr w14:val="tx1"/>
                  </w14:solidFill>
                </w14:textFill>
              </w:rPr>
              <w:t>以玉米、次粉、米糠、鱼粉、豆粕、棉粕、一级氨基酸、微量元素等为原辅材料，通过初清、粉碎、配料、混合、制粒、冷却、破碎、分级、打包等工序，建成后达到年产饲料24万吨的生产规模。生产工艺流程及排污点见图</w:t>
            </w:r>
            <w:r>
              <w:rPr>
                <w:rFonts w:hint="eastAsia" w:cs="Times New Roman"/>
                <w:color w:val="000000" w:themeColor="text1"/>
                <w:kern w:val="0"/>
                <w:sz w:val="24"/>
                <w:lang w:val="en-US" w:eastAsia="zh-CN"/>
                <w14:textFill>
                  <w14:solidFill>
                    <w14:schemeClr w14:val="tx1"/>
                  </w14:solidFill>
                </w14:textFill>
              </w:rPr>
              <w:t>2-3。</w:t>
            </w:r>
          </w:p>
          <w:p w14:paraId="05189C70">
            <w:pPr>
              <w:adjustRightInd w:val="0"/>
              <w:snapToGrid w:val="0"/>
              <w:spacing w:line="360" w:lineRule="auto"/>
              <w:jc w:val="center"/>
              <w:rPr>
                <w:rFonts w:hint="eastAsia" w:ascii="Times New Roman" w:hAnsi="Times New Roman" w:eastAsia="宋体" w:cs="Times New Roman"/>
                <w:b w:val="0"/>
                <w:bCs w:val="0"/>
                <w:color w:val="000000" w:themeColor="text1"/>
                <w:kern w:val="0"/>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lang w:val="en-US" w:eastAsia="zh-CN"/>
                <w14:textFill>
                  <w14:solidFill>
                    <w14:schemeClr w14:val="tx1"/>
                  </w14:solidFill>
                </w14:textFill>
              </w:rPr>
              <w:drawing>
                <wp:inline distT="0" distB="0" distL="114300" distR="114300">
                  <wp:extent cx="5346065" cy="2903220"/>
                  <wp:effectExtent l="0" t="0" r="6985" b="11430"/>
                  <wp:docPr id="15" name="图片 15" descr="3f72c0094ee3a29b083928eae44d5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3f72c0094ee3a29b083928eae44d5628"/>
                          <pic:cNvPicPr>
                            <a:picLocks noChangeAspect="1"/>
                          </pic:cNvPicPr>
                        </pic:nvPicPr>
                        <pic:blipFill>
                          <a:blip r:embed="rId15"/>
                          <a:stretch>
                            <a:fillRect/>
                          </a:stretch>
                        </pic:blipFill>
                        <pic:spPr>
                          <a:xfrm>
                            <a:off x="0" y="0"/>
                            <a:ext cx="5346065" cy="2903220"/>
                          </a:xfrm>
                          <a:prstGeom prst="rect">
                            <a:avLst/>
                          </a:prstGeom>
                        </pic:spPr>
                      </pic:pic>
                    </a:graphicData>
                  </a:graphic>
                </wp:inline>
              </w:drawing>
            </w:r>
          </w:p>
          <w:p w14:paraId="73955C6D">
            <w:pPr>
              <w:adjustRightInd w:val="0"/>
              <w:snapToGrid w:val="0"/>
              <w:spacing w:line="360" w:lineRule="auto"/>
              <w:jc w:val="center"/>
              <w:rPr>
                <w:rFonts w:hint="eastAsia"/>
                <w:b/>
                <w:bCs/>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b/>
                <w:bCs/>
                <w:color w:val="000000" w:themeColor="text1"/>
                <w:kern w:val="0"/>
                <w:sz w:val="24"/>
                <w:szCs w:val="24"/>
                <w:lang w:val="en-US" w:eastAsia="zh-CN"/>
                <w14:textFill>
                  <w14:solidFill>
                    <w14:schemeClr w14:val="tx1"/>
                  </w14:solidFill>
                </w14:textFill>
              </w:rPr>
              <w:t>图</w:t>
            </w:r>
            <w:r>
              <w:rPr>
                <w:rFonts w:hint="eastAsia" w:cs="Times New Roman"/>
                <w:b/>
                <w:bCs/>
                <w:color w:val="000000" w:themeColor="text1"/>
                <w:kern w:val="0"/>
                <w:sz w:val="24"/>
                <w:szCs w:val="24"/>
                <w:lang w:val="en-US" w:eastAsia="zh-CN"/>
                <w14:textFill>
                  <w14:solidFill>
                    <w14:schemeClr w14:val="tx1"/>
                  </w14:solidFill>
                </w14:textFill>
              </w:rPr>
              <w:t xml:space="preserve">2-3  </w:t>
            </w:r>
            <w:r>
              <w:rPr>
                <w:rFonts w:hint="eastAsia"/>
                <w:b/>
                <w:bCs/>
                <w:color w:val="000000" w:themeColor="text1"/>
                <w:sz w:val="24"/>
                <w:szCs w:val="24"/>
                <w:lang w:val="en-US" w:eastAsia="zh-CN"/>
                <w14:textFill>
                  <w14:solidFill>
                    <w14:schemeClr w14:val="tx1"/>
                  </w14:solidFill>
                </w14:textFill>
              </w:rPr>
              <w:t>现有工程生产工艺流程</w:t>
            </w:r>
            <w:r>
              <w:rPr>
                <w:rFonts w:hint="eastAsia"/>
                <w:b/>
                <w:bCs/>
                <w:color w:val="FF0000"/>
                <w:sz w:val="24"/>
                <w:szCs w:val="24"/>
                <w:lang w:val="en-US" w:eastAsia="zh-CN"/>
              </w:rPr>
              <w:t>及产污节点</w:t>
            </w:r>
            <w:r>
              <w:rPr>
                <w:rFonts w:hint="eastAsia"/>
                <w:b/>
                <w:bCs/>
                <w:color w:val="000000" w:themeColor="text1"/>
                <w:sz w:val="24"/>
                <w:szCs w:val="24"/>
                <w:lang w:val="en-US" w:eastAsia="zh-CN"/>
                <w14:textFill>
                  <w14:solidFill>
                    <w14:schemeClr w14:val="tx1"/>
                  </w14:solidFill>
                </w14:textFill>
              </w:rPr>
              <w:t>图</w:t>
            </w:r>
          </w:p>
          <w:p w14:paraId="4D6A4B73">
            <w:pPr>
              <w:pStyle w:val="48"/>
              <w:keepNext w:val="0"/>
              <w:keepLines w:val="0"/>
              <w:numPr>
                <w:ilvl w:val="0"/>
                <w:numId w:val="7"/>
              </w:numPr>
              <w:suppressLineNumbers w:val="0"/>
              <w:spacing w:before="0" w:beforeAutospacing="0" w:after="0" w:afterAutospacing="0"/>
              <w:ind w:left="0" w:right="0" w:firstLine="482" w:firstLineChars="200"/>
              <w:jc w:val="left"/>
              <w:rPr>
                <w:rFonts w:hint="eastAsia"/>
                <w:b/>
                <w:bCs/>
                <w:color w:val="FF0000"/>
                <w:lang w:val="en-US" w:eastAsia="zh-CN"/>
              </w:rPr>
            </w:pPr>
            <w:r>
              <w:rPr>
                <w:rFonts w:hint="eastAsia"/>
                <w:b/>
                <w:bCs/>
                <w:color w:val="FF0000"/>
                <w:lang w:val="en-US" w:eastAsia="zh-CN"/>
              </w:rPr>
              <w:t>现有项目污染治理措施及排放去向</w:t>
            </w:r>
          </w:p>
          <w:p w14:paraId="264D83ED">
            <w:pPr>
              <w:pStyle w:val="105"/>
              <w:keepNext w:val="0"/>
              <w:keepLines w:val="0"/>
              <w:pageBreakBefore w:val="0"/>
              <w:widowControl w:val="0"/>
              <w:kinsoku/>
              <w:wordWrap/>
              <w:overflowPunct w:val="0"/>
              <w:topLinePunct w:val="0"/>
              <w:autoSpaceDE w:val="0"/>
              <w:autoSpaceDN w:val="0"/>
              <w:bidi w:val="0"/>
              <w:adjustRightInd w:val="0"/>
              <w:snapToGrid w:val="0"/>
              <w:spacing w:before="0" w:beforeLines="0" w:line="240" w:lineRule="auto"/>
              <w:ind w:firstLine="482" w:firstLineChars="200"/>
              <w:textAlignment w:val="auto"/>
              <w:rPr>
                <w:rFonts w:hint="default"/>
                <w:b/>
                <w:bCs/>
                <w:color w:val="FF0000"/>
                <w:sz w:val="24"/>
                <w:szCs w:val="24"/>
                <w:lang w:val="en-US" w:eastAsia="zh-CN"/>
              </w:rPr>
            </w:pPr>
            <w:r>
              <w:rPr>
                <w:rFonts w:hint="default" w:ascii="Times New Roman" w:hAnsi="Times New Roman" w:cs="Times New Roman"/>
                <w:color w:val="FF0000"/>
                <w:spacing w:val="0"/>
                <w:w w:val="100"/>
                <w:position w:val="0"/>
                <w:sz w:val="24"/>
                <w:szCs w:val="24"/>
              </w:rPr>
              <w:t>表2-</w:t>
            </w:r>
            <w:r>
              <w:rPr>
                <w:rFonts w:hint="eastAsia" w:cs="Times New Roman"/>
                <w:color w:val="FF0000"/>
                <w:spacing w:val="0"/>
                <w:w w:val="100"/>
                <w:position w:val="0"/>
                <w:sz w:val="24"/>
                <w:szCs w:val="24"/>
                <w:lang w:val="en-US" w:eastAsia="zh-CN"/>
              </w:rPr>
              <w:t>10</w:t>
            </w:r>
            <w:r>
              <w:rPr>
                <w:rFonts w:hint="default" w:ascii="Times New Roman" w:hAnsi="Times New Roman" w:cs="Times New Roman"/>
                <w:color w:val="FF0000"/>
                <w:spacing w:val="0"/>
                <w:w w:val="100"/>
                <w:position w:val="0"/>
                <w:sz w:val="24"/>
                <w:szCs w:val="24"/>
                <w:lang w:val="en-US" w:eastAsia="zh-CN"/>
              </w:rPr>
              <w:t xml:space="preserve">  </w:t>
            </w:r>
            <w:r>
              <w:rPr>
                <w:rFonts w:hint="eastAsia" w:ascii="Times New Roman" w:hAnsi="Times New Roman" w:cs="Times New Roman"/>
                <w:color w:val="FF0000"/>
                <w:spacing w:val="0"/>
                <w:w w:val="100"/>
                <w:position w:val="0"/>
                <w:sz w:val="24"/>
                <w:szCs w:val="24"/>
                <w:lang w:val="en-US" w:eastAsia="zh-CN"/>
              </w:rPr>
              <w:t>现有</w:t>
            </w:r>
            <w:r>
              <w:rPr>
                <w:rFonts w:hint="default" w:ascii="Times New Roman" w:hAnsi="Times New Roman" w:cs="Times New Roman"/>
                <w:color w:val="FF0000"/>
                <w:spacing w:val="0"/>
                <w:w w:val="100"/>
                <w:position w:val="0"/>
                <w:sz w:val="24"/>
                <w:szCs w:val="24"/>
              </w:rPr>
              <w:t>项目</w:t>
            </w:r>
            <w:r>
              <w:rPr>
                <w:rFonts w:hint="eastAsia"/>
                <w:b/>
                <w:bCs/>
                <w:color w:val="FF0000"/>
                <w:sz w:val="24"/>
                <w:szCs w:val="24"/>
                <w:lang w:val="en-US" w:eastAsia="zh-CN"/>
              </w:rPr>
              <w:t>污染治理措施及排放去向</w:t>
            </w:r>
          </w:p>
          <w:tbl>
            <w:tblPr>
              <w:tblStyle w:val="28"/>
              <w:tblW w:w="84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0"/>
              <w:gridCol w:w="4322"/>
              <w:gridCol w:w="2806"/>
            </w:tblGrid>
            <w:tr w14:paraId="1E0B3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 w:hRule="atLeast"/>
              </w:trPr>
              <w:tc>
                <w:tcPr>
                  <w:tcW w:w="1290" w:type="dxa"/>
                  <w:vMerge w:val="restart"/>
                  <w:shd w:val="clear" w:color="auto" w:fill="auto"/>
                  <w:vAlign w:val="center"/>
                </w:tcPr>
                <w:p w14:paraId="3D2D60A5">
                  <w:pPr>
                    <w:autoSpaceDE w:val="0"/>
                    <w:autoSpaceDN w:val="0"/>
                    <w:spacing w:line="240" w:lineRule="auto"/>
                    <w:ind w:firstLine="0" w:firstLineChars="0"/>
                    <w:jc w:val="center"/>
                    <w:rPr>
                      <w:rFonts w:hint="default" w:ascii="Times New Roman" w:hAnsi="Times New Roman" w:eastAsia="宋体" w:cs="Times New Roman"/>
                      <w:color w:val="FF0000"/>
                      <w:kern w:val="2"/>
                      <w:sz w:val="21"/>
                      <w:szCs w:val="21"/>
                      <w:lang w:val="en-US" w:eastAsia="zh-CN" w:bidi="ar-SA"/>
                    </w:rPr>
                  </w:pPr>
                  <w:r>
                    <w:rPr>
                      <w:rFonts w:hint="eastAsia" w:ascii="Times New Roman" w:hAnsi="Times New Roman" w:cs="Times New Roman"/>
                      <w:color w:val="FF0000"/>
                      <w:kern w:val="2"/>
                      <w:sz w:val="21"/>
                      <w:szCs w:val="21"/>
                      <w:lang w:val="en-US" w:eastAsia="zh-CN" w:bidi="ar-SA"/>
                    </w:rPr>
                    <w:t>废气</w:t>
                  </w:r>
                </w:p>
              </w:tc>
              <w:tc>
                <w:tcPr>
                  <w:tcW w:w="4322" w:type="dxa"/>
                  <w:vAlign w:val="center"/>
                </w:tcPr>
                <w:p w14:paraId="0D2D7E38">
                  <w:pPr>
                    <w:pStyle w:val="42"/>
                    <w:keepNext w:val="0"/>
                    <w:keepLines w:val="0"/>
                    <w:pageBreakBefore w:val="0"/>
                    <w:widowControl/>
                    <w:kinsoku/>
                    <w:wordWrap/>
                    <w:overflowPunct/>
                    <w:topLinePunct w:val="0"/>
                    <w:autoSpaceDE/>
                    <w:autoSpaceDN/>
                    <w:bidi w:val="0"/>
                    <w:adjustRightInd w:val="0"/>
                    <w:snapToGrid w:val="0"/>
                    <w:spacing w:before="0" w:beforeLines="0" w:beforeAutospacing="0" w:after="0" w:afterLines="0" w:line="240" w:lineRule="auto"/>
                    <w:ind w:right="0" w:rightChars="0"/>
                    <w:textAlignment w:val="auto"/>
                    <w:rPr>
                      <w:rFonts w:hint="eastAsia"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b w:val="0"/>
                      <w:color w:val="FF0000"/>
                      <w:sz w:val="21"/>
                      <w:szCs w:val="21"/>
                      <w:vertAlign w:val="baseline"/>
                      <w:lang w:val="en-US" w:eastAsia="zh-CN"/>
                    </w:rPr>
                    <w:t>锅炉烟气</w:t>
                  </w:r>
                </w:p>
              </w:tc>
              <w:tc>
                <w:tcPr>
                  <w:tcW w:w="2806" w:type="dxa"/>
                </w:tcPr>
                <w:p w14:paraId="152829D9">
                  <w:pPr>
                    <w:autoSpaceDE w:val="0"/>
                    <w:autoSpaceDN w:val="0"/>
                    <w:spacing w:line="240" w:lineRule="auto"/>
                    <w:ind w:firstLine="0" w:firstLineChars="0"/>
                    <w:jc w:val="both"/>
                    <w:rPr>
                      <w:rFonts w:hint="default" w:ascii="Times New Roman" w:hAnsi="Times New Roman" w:eastAsia="宋体" w:cs="Times New Roman"/>
                      <w:color w:val="FF0000"/>
                      <w:kern w:val="2"/>
                      <w:sz w:val="21"/>
                      <w:szCs w:val="21"/>
                      <w:lang w:val="en-US" w:eastAsia="zh-CN" w:bidi="ar-SA"/>
                    </w:rPr>
                  </w:pPr>
                  <w:r>
                    <w:rPr>
                      <w:rFonts w:hint="eastAsia" w:ascii="Times New Roman" w:hAnsi="Times New Roman" w:cs="Times New Roman"/>
                      <w:color w:val="FF0000"/>
                      <w:kern w:val="2"/>
                      <w:sz w:val="21"/>
                      <w:szCs w:val="21"/>
                      <w:lang w:val="en-US" w:eastAsia="zh-CN" w:bidi="ar-SA"/>
                    </w:rPr>
                    <w:t>收集后经一套水膜除尘设备处理达标后通过</w:t>
                  </w:r>
                  <w:r>
                    <w:rPr>
                      <w:rFonts w:hint="eastAsia" w:cs="Times New Roman"/>
                      <w:color w:val="FF0000"/>
                      <w:kern w:val="2"/>
                      <w:sz w:val="21"/>
                      <w:szCs w:val="21"/>
                      <w:lang w:val="en-US" w:eastAsia="zh-CN" w:bidi="ar-SA"/>
                    </w:rPr>
                    <w:t>35</w:t>
                  </w:r>
                  <w:r>
                    <w:rPr>
                      <w:rFonts w:hint="eastAsia" w:ascii="Times New Roman" w:hAnsi="Times New Roman" w:cs="Times New Roman"/>
                      <w:color w:val="FF0000"/>
                      <w:kern w:val="2"/>
                      <w:sz w:val="21"/>
                      <w:szCs w:val="21"/>
                      <w:lang w:val="en-US" w:eastAsia="zh-CN" w:bidi="ar-SA"/>
                    </w:rPr>
                    <w:t>m高排气筒DA001排放</w:t>
                  </w:r>
                </w:p>
              </w:tc>
            </w:tr>
            <w:tr w14:paraId="766EC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 w:hRule="atLeast"/>
              </w:trPr>
              <w:tc>
                <w:tcPr>
                  <w:tcW w:w="1290" w:type="dxa"/>
                  <w:vMerge w:val="continue"/>
                  <w:shd w:val="clear" w:color="auto" w:fill="auto"/>
                  <w:vAlign w:val="center"/>
                </w:tcPr>
                <w:p w14:paraId="3F488E8C">
                  <w:pPr>
                    <w:autoSpaceDE w:val="0"/>
                    <w:autoSpaceDN w:val="0"/>
                    <w:spacing w:line="240" w:lineRule="auto"/>
                    <w:ind w:firstLine="0" w:firstLineChars="0"/>
                    <w:jc w:val="center"/>
                    <w:rPr>
                      <w:color w:val="FF0000"/>
                    </w:rPr>
                  </w:pPr>
                </w:p>
              </w:tc>
              <w:tc>
                <w:tcPr>
                  <w:tcW w:w="4322" w:type="dxa"/>
                  <w:vAlign w:val="center"/>
                </w:tcPr>
                <w:p w14:paraId="7615B771">
                  <w:pPr>
                    <w:pStyle w:val="42"/>
                    <w:keepNext w:val="0"/>
                    <w:keepLines w:val="0"/>
                    <w:pageBreakBefore w:val="0"/>
                    <w:widowControl/>
                    <w:kinsoku/>
                    <w:wordWrap/>
                    <w:overflowPunct/>
                    <w:topLinePunct w:val="0"/>
                    <w:autoSpaceDE/>
                    <w:autoSpaceDN/>
                    <w:bidi w:val="0"/>
                    <w:adjustRightInd w:val="0"/>
                    <w:snapToGrid w:val="0"/>
                    <w:spacing w:before="0" w:beforeLines="0" w:beforeAutospacing="0" w:after="0" w:afterLines="0" w:line="240" w:lineRule="auto"/>
                    <w:ind w:right="0" w:rightChars="0"/>
                    <w:textAlignment w:val="auto"/>
                    <w:rPr>
                      <w:rFonts w:hint="eastAsia" w:ascii="Times New Roman" w:hAnsi="Times New Roman" w:eastAsia="宋体" w:cs="Times New Roman"/>
                      <w:color w:val="FF0000"/>
                      <w:kern w:val="2"/>
                      <w:sz w:val="21"/>
                      <w:szCs w:val="21"/>
                      <w:lang w:val="en-US" w:eastAsia="zh-CN" w:bidi="ar-SA"/>
                    </w:rPr>
                  </w:pPr>
                  <w:r>
                    <w:rPr>
                      <w:rFonts w:hint="eastAsia" w:ascii="Times New Roman" w:hAnsi="Times New Roman" w:eastAsia="宋体" w:cs="Times New Roman"/>
                      <w:b w:val="0"/>
                      <w:color w:val="FF0000"/>
                      <w:sz w:val="21"/>
                      <w:szCs w:val="21"/>
                      <w:vertAlign w:val="baseline"/>
                      <w:lang w:val="en-US" w:eastAsia="zh-CN"/>
                    </w:rPr>
                    <w:t>工艺粉尘</w:t>
                  </w:r>
                </w:p>
              </w:tc>
              <w:tc>
                <w:tcPr>
                  <w:tcW w:w="2806" w:type="dxa"/>
                </w:tcPr>
                <w:p w14:paraId="37FE526B">
                  <w:pPr>
                    <w:autoSpaceDE w:val="0"/>
                    <w:autoSpaceDN w:val="0"/>
                    <w:spacing w:line="240" w:lineRule="auto"/>
                    <w:ind w:firstLine="0" w:firstLineChars="0"/>
                    <w:jc w:val="both"/>
                    <w:rPr>
                      <w:rFonts w:hint="eastAsia" w:ascii="Times New Roman" w:hAnsi="Times New Roman" w:eastAsia="宋体" w:cs="Times New Roman"/>
                      <w:color w:val="FF0000"/>
                      <w:kern w:val="2"/>
                      <w:sz w:val="21"/>
                      <w:szCs w:val="21"/>
                      <w:lang w:val="en-US" w:eastAsia="zh-CN" w:bidi="ar-SA"/>
                    </w:rPr>
                  </w:pPr>
                  <w:r>
                    <w:rPr>
                      <w:rFonts w:hint="eastAsia" w:ascii="Times New Roman" w:hAnsi="Times New Roman" w:eastAsia="宋体" w:cs="Times New Roman"/>
                      <w:b w:val="0"/>
                      <w:color w:val="FF0000"/>
                      <w:sz w:val="21"/>
                      <w:szCs w:val="21"/>
                      <w:lang w:val="en-US" w:eastAsia="zh-CN"/>
                    </w:rPr>
                    <w:t>收集后经布袋除尘</w:t>
                  </w:r>
                  <w:r>
                    <w:rPr>
                      <w:rFonts w:hint="eastAsia" w:ascii="Times New Roman" w:hAnsi="Times New Roman" w:cs="Times New Roman"/>
                      <w:b w:val="0"/>
                      <w:color w:val="FF0000"/>
                      <w:sz w:val="21"/>
                      <w:szCs w:val="21"/>
                      <w:lang w:val="en-US" w:eastAsia="zh-CN"/>
                    </w:rPr>
                    <w:t>设备</w:t>
                  </w:r>
                  <w:r>
                    <w:rPr>
                      <w:rFonts w:hint="eastAsia" w:ascii="Times New Roman" w:hAnsi="Times New Roman" w:eastAsia="宋体" w:cs="Times New Roman"/>
                      <w:b w:val="0"/>
                      <w:color w:val="FF0000"/>
                      <w:sz w:val="21"/>
                      <w:szCs w:val="21"/>
                      <w:lang w:val="en-US" w:eastAsia="zh-CN"/>
                    </w:rPr>
                    <w:t>处理达标后通过15m高排气筒排放</w:t>
                  </w:r>
                </w:p>
              </w:tc>
            </w:tr>
            <w:tr w14:paraId="31474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 w:hRule="atLeast"/>
              </w:trPr>
              <w:tc>
                <w:tcPr>
                  <w:tcW w:w="1290" w:type="dxa"/>
                  <w:vMerge w:val="continue"/>
                  <w:shd w:val="clear" w:color="auto" w:fill="auto"/>
                  <w:vAlign w:val="center"/>
                </w:tcPr>
                <w:p w14:paraId="3C4933EC">
                  <w:pPr>
                    <w:autoSpaceDE w:val="0"/>
                    <w:autoSpaceDN w:val="0"/>
                    <w:spacing w:line="240" w:lineRule="auto"/>
                    <w:ind w:firstLine="0" w:firstLineChars="0"/>
                    <w:jc w:val="center"/>
                    <w:rPr>
                      <w:rFonts w:hint="eastAsia" w:ascii="Times New Roman" w:hAnsi="Times New Roman" w:eastAsia="宋体" w:cs="Times New Roman"/>
                      <w:color w:val="FF0000"/>
                      <w:kern w:val="2"/>
                      <w:sz w:val="21"/>
                      <w:szCs w:val="21"/>
                      <w:lang w:val="en-US" w:eastAsia="zh-CN" w:bidi="ar-SA"/>
                    </w:rPr>
                  </w:pPr>
                </w:p>
              </w:tc>
              <w:tc>
                <w:tcPr>
                  <w:tcW w:w="4322" w:type="dxa"/>
                  <w:vAlign w:val="center"/>
                </w:tcPr>
                <w:p w14:paraId="000A8A93">
                  <w:pPr>
                    <w:pStyle w:val="42"/>
                    <w:keepNext w:val="0"/>
                    <w:keepLines w:val="0"/>
                    <w:pageBreakBefore w:val="0"/>
                    <w:widowControl/>
                    <w:kinsoku/>
                    <w:wordWrap/>
                    <w:overflowPunct/>
                    <w:topLinePunct w:val="0"/>
                    <w:autoSpaceDE/>
                    <w:autoSpaceDN/>
                    <w:bidi w:val="0"/>
                    <w:adjustRightInd w:val="0"/>
                    <w:snapToGrid w:val="0"/>
                    <w:spacing w:before="0" w:beforeLines="0" w:beforeAutospacing="0" w:after="0" w:afterLines="0" w:line="240" w:lineRule="auto"/>
                    <w:ind w:right="0" w:rightChars="0"/>
                    <w:textAlignment w:val="auto"/>
                    <w:rPr>
                      <w:rFonts w:hint="eastAsia" w:ascii="Times New Roman" w:hAnsi="Times New Roman" w:eastAsia="宋体" w:cs="Times New Roman"/>
                      <w:color w:val="FF0000"/>
                      <w:kern w:val="2"/>
                      <w:sz w:val="21"/>
                      <w:szCs w:val="21"/>
                      <w:lang w:val="en-US" w:eastAsia="zh-CN" w:bidi="ar-SA"/>
                    </w:rPr>
                  </w:pPr>
                  <w:r>
                    <w:rPr>
                      <w:rFonts w:hint="eastAsia" w:ascii="Times New Roman" w:hAnsi="Times New Roman" w:eastAsia="宋体" w:cs="Times New Roman"/>
                      <w:b w:val="0"/>
                      <w:color w:val="FF0000"/>
                      <w:sz w:val="21"/>
                      <w:szCs w:val="21"/>
                      <w:vertAlign w:val="baseline"/>
                      <w:lang w:val="en-US" w:eastAsia="zh-CN"/>
                    </w:rPr>
                    <w:t>食堂油烟</w:t>
                  </w:r>
                </w:p>
              </w:tc>
              <w:tc>
                <w:tcPr>
                  <w:tcW w:w="2806" w:type="dxa"/>
                  <w:vAlign w:val="center"/>
                </w:tcPr>
                <w:p w14:paraId="7536E38E">
                  <w:pPr>
                    <w:pStyle w:val="42"/>
                    <w:keepNext w:val="0"/>
                    <w:keepLines w:val="0"/>
                    <w:pageBreakBefore w:val="0"/>
                    <w:kinsoku/>
                    <w:wordWrap/>
                    <w:overflowPunct/>
                    <w:topLinePunct w:val="0"/>
                    <w:bidi w:val="0"/>
                    <w:adjustRightInd w:val="0"/>
                    <w:spacing w:before="0" w:beforeLines="0" w:beforeAutospacing="0" w:after="0" w:afterLines="0" w:line="240" w:lineRule="auto"/>
                    <w:ind w:right="0" w:rightChars="0"/>
                    <w:jc w:val="both"/>
                    <w:textAlignment w:val="auto"/>
                    <w:rPr>
                      <w:rFonts w:hint="eastAsia" w:ascii="Times New Roman" w:hAnsi="Times New Roman" w:eastAsia="宋体" w:cs="Times New Roman"/>
                      <w:color w:val="FF0000"/>
                      <w:kern w:val="2"/>
                      <w:sz w:val="21"/>
                      <w:szCs w:val="21"/>
                      <w:lang w:val="en-US" w:eastAsia="zh-CN" w:bidi="ar-SA"/>
                    </w:rPr>
                  </w:pPr>
                  <w:r>
                    <w:rPr>
                      <w:rFonts w:hint="eastAsia" w:ascii="Times New Roman" w:hAnsi="Times New Roman" w:eastAsia="宋体" w:cs="Times New Roman"/>
                      <w:b w:val="0"/>
                      <w:color w:val="FF0000"/>
                      <w:sz w:val="21"/>
                      <w:szCs w:val="21"/>
                      <w:lang w:val="en-US" w:eastAsia="zh-CN"/>
                    </w:rPr>
                    <w:t>经一套油烟净化器处理后高空外排</w:t>
                  </w:r>
                </w:p>
              </w:tc>
            </w:tr>
            <w:tr w14:paraId="219AD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 w:hRule="atLeast"/>
              </w:trPr>
              <w:tc>
                <w:tcPr>
                  <w:tcW w:w="1290" w:type="dxa"/>
                  <w:vMerge w:val="restart"/>
                  <w:vAlign w:val="center"/>
                </w:tcPr>
                <w:p w14:paraId="032390E1">
                  <w:pPr>
                    <w:autoSpaceDE w:val="0"/>
                    <w:autoSpaceDN w:val="0"/>
                    <w:spacing w:line="240" w:lineRule="auto"/>
                    <w:ind w:firstLine="0" w:firstLineChars="0"/>
                    <w:jc w:val="center"/>
                    <w:rPr>
                      <w:rFonts w:hint="default" w:ascii="Times New Roman" w:hAnsi="Times New Roman" w:eastAsia="宋体" w:cs="Times New Roman"/>
                      <w:color w:val="FF0000"/>
                      <w:kern w:val="2"/>
                      <w:sz w:val="21"/>
                      <w:szCs w:val="21"/>
                      <w:lang w:val="en-US" w:eastAsia="zh-CN" w:bidi="ar-SA"/>
                    </w:rPr>
                  </w:pPr>
                  <w:r>
                    <w:rPr>
                      <w:rFonts w:hint="eastAsia" w:ascii="Times New Roman" w:hAnsi="Times New Roman" w:cs="Times New Roman"/>
                      <w:color w:val="FF0000"/>
                      <w:kern w:val="2"/>
                      <w:sz w:val="21"/>
                      <w:szCs w:val="21"/>
                      <w:lang w:val="en-US" w:eastAsia="zh-CN" w:bidi="ar-SA"/>
                    </w:rPr>
                    <w:t>废水</w:t>
                  </w:r>
                </w:p>
              </w:tc>
              <w:tc>
                <w:tcPr>
                  <w:tcW w:w="4322" w:type="dxa"/>
                  <w:vAlign w:val="center"/>
                </w:tcPr>
                <w:p w14:paraId="0515DD64">
                  <w:pPr>
                    <w:adjustRightInd w:val="0"/>
                    <w:snapToGrid w:val="0"/>
                    <w:jc w:val="center"/>
                    <w:rPr>
                      <w:rFonts w:hint="eastAsia" w:ascii="Times New Roman" w:hAnsi="Times New Roman" w:eastAsia="宋体" w:cs="Times New Roman"/>
                      <w:color w:val="FF0000"/>
                      <w:kern w:val="2"/>
                      <w:sz w:val="21"/>
                      <w:szCs w:val="21"/>
                      <w:lang w:val="en-US" w:eastAsia="zh-CN" w:bidi="ar-SA"/>
                    </w:rPr>
                  </w:pPr>
                  <w:r>
                    <w:rPr>
                      <w:rFonts w:hint="eastAsia" w:cs="Times New Roman"/>
                      <w:color w:val="FF0000"/>
                      <w:szCs w:val="21"/>
                      <w:lang w:val="en-US" w:eastAsia="zh-CN"/>
                    </w:rPr>
                    <w:t>生活污水</w:t>
                  </w:r>
                </w:p>
              </w:tc>
              <w:tc>
                <w:tcPr>
                  <w:tcW w:w="2806" w:type="dxa"/>
                </w:tcPr>
                <w:p w14:paraId="7951DEF7">
                  <w:pPr>
                    <w:autoSpaceDE w:val="0"/>
                    <w:autoSpaceDN w:val="0"/>
                    <w:spacing w:line="240" w:lineRule="auto"/>
                    <w:ind w:firstLine="0" w:firstLineChars="0"/>
                    <w:jc w:val="both"/>
                    <w:rPr>
                      <w:rFonts w:hint="eastAsia" w:ascii="Times New Roman" w:hAnsi="Times New Roman" w:eastAsia="宋体" w:cs="Times New Roman"/>
                      <w:color w:val="FF0000"/>
                      <w:kern w:val="2"/>
                      <w:sz w:val="21"/>
                      <w:szCs w:val="21"/>
                      <w:lang w:val="en-US" w:eastAsia="zh-CN" w:bidi="ar-SA"/>
                    </w:rPr>
                  </w:pPr>
                  <w:r>
                    <w:rPr>
                      <w:rFonts w:hint="eastAsia" w:cs="Times New Roman"/>
                      <w:color w:val="FF0000"/>
                      <w:szCs w:val="21"/>
                      <w:lang w:val="en-US" w:eastAsia="zh-CN"/>
                    </w:rPr>
                    <w:t>经隔油池+化粪池预处理后再经一体化设施（膜生物法）处理达标后排入肖江</w:t>
                  </w:r>
                </w:p>
              </w:tc>
            </w:tr>
            <w:tr w14:paraId="7AF3AD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 w:hRule="atLeast"/>
              </w:trPr>
              <w:tc>
                <w:tcPr>
                  <w:tcW w:w="1290" w:type="dxa"/>
                  <w:vMerge w:val="continue"/>
                  <w:vAlign w:val="center"/>
                </w:tcPr>
                <w:p w14:paraId="09064541">
                  <w:pPr>
                    <w:autoSpaceDE w:val="0"/>
                    <w:autoSpaceDN w:val="0"/>
                    <w:spacing w:line="240" w:lineRule="auto"/>
                    <w:ind w:firstLine="0" w:firstLineChars="0"/>
                    <w:jc w:val="center"/>
                    <w:rPr>
                      <w:color w:val="FF0000"/>
                    </w:rPr>
                  </w:pPr>
                </w:p>
              </w:tc>
              <w:tc>
                <w:tcPr>
                  <w:tcW w:w="4322" w:type="dxa"/>
                  <w:vAlign w:val="center"/>
                </w:tcPr>
                <w:p w14:paraId="1404ED3D">
                  <w:pPr>
                    <w:adjustRightInd w:val="0"/>
                    <w:snapToGrid w:val="0"/>
                    <w:jc w:val="center"/>
                    <w:rPr>
                      <w:rFonts w:hint="eastAsia" w:ascii="Times New Roman" w:hAnsi="Times New Roman" w:eastAsia="宋体" w:cs="Times New Roman"/>
                      <w:color w:val="FF0000"/>
                      <w:kern w:val="2"/>
                      <w:sz w:val="21"/>
                      <w:szCs w:val="21"/>
                      <w:lang w:val="en-US" w:eastAsia="zh-CN" w:bidi="ar-SA"/>
                    </w:rPr>
                  </w:pPr>
                  <w:r>
                    <w:rPr>
                      <w:rFonts w:hint="eastAsia"/>
                      <w:color w:val="FF0000"/>
                      <w:sz w:val="21"/>
                      <w:szCs w:val="21"/>
                      <w:lang w:val="en-US" w:eastAsia="zh-CN"/>
                    </w:rPr>
                    <w:t>树脂再生废水</w:t>
                  </w:r>
                </w:p>
              </w:tc>
              <w:tc>
                <w:tcPr>
                  <w:tcW w:w="2806" w:type="dxa"/>
                </w:tcPr>
                <w:p w14:paraId="03CE65A6">
                  <w:pPr>
                    <w:autoSpaceDE w:val="0"/>
                    <w:autoSpaceDN w:val="0"/>
                    <w:spacing w:line="240" w:lineRule="auto"/>
                    <w:ind w:firstLine="0" w:firstLineChars="0"/>
                    <w:jc w:val="both"/>
                    <w:rPr>
                      <w:rFonts w:hint="default" w:ascii="Times New Roman" w:hAnsi="Times New Roman" w:eastAsia="宋体" w:cs="Times New Roman"/>
                      <w:color w:val="FF0000"/>
                      <w:kern w:val="2"/>
                      <w:sz w:val="21"/>
                      <w:szCs w:val="21"/>
                      <w:lang w:val="en-US" w:eastAsia="zh-CN" w:bidi="ar-SA"/>
                    </w:rPr>
                  </w:pPr>
                  <w:r>
                    <w:rPr>
                      <w:rFonts w:hint="eastAsia" w:cs="Times New Roman"/>
                      <w:color w:val="FF0000"/>
                      <w:sz w:val="21"/>
                      <w:szCs w:val="21"/>
                      <w:vertAlign w:val="baseline"/>
                      <w:lang w:val="en-US" w:eastAsia="zh-CN" w:bidi="ar"/>
                    </w:rPr>
                    <w:t>经中和沉淀池处理后回用于厂区绿化、洒水冷却灰渣等。</w:t>
                  </w:r>
                </w:p>
              </w:tc>
            </w:tr>
            <w:tr w14:paraId="4109B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0" w:type="dxa"/>
                  <w:vAlign w:val="center"/>
                </w:tcPr>
                <w:p w14:paraId="7DDFACB6">
                  <w:pPr>
                    <w:autoSpaceDE w:val="0"/>
                    <w:autoSpaceDN w:val="0"/>
                    <w:spacing w:line="240" w:lineRule="auto"/>
                    <w:ind w:firstLine="0" w:firstLineChars="0"/>
                    <w:jc w:val="center"/>
                    <w:rPr>
                      <w:rFonts w:hint="default" w:ascii="Times New Roman" w:hAnsi="Times New Roman" w:eastAsia="宋体" w:cs="Times New Roman"/>
                      <w:color w:val="FF0000"/>
                      <w:kern w:val="2"/>
                      <w:sz w:val="21"/>
                      <w:szCs w:val="21"/>
                      <w:lang w:val="en-US" w:eastAsia="zh-CN" w:bidi="ar-SA"/>
                    </w:rPr>
                  </w:pPr>
                  <w:r>
                    <w:rPr>
                      <w:rFonts w:hint="eastAsia" w:ascii="Times New Roman" w:hAnsi="Times New Roman" w:cs="Times New Roman"/>
                      <w:color w:val="FF0000"/>
                      <w:kern w:val="2"/>
                      <w:sz w:val="21"/>
                      <w:szCs w:val="21"/>
                      <w:lang w:val="en-US" w:eastAsia="zh-CN" w:bidi="ar-SA"/>
                    </w:rPr>
                    <w:t>噪声</w:t>
                  </w:r>
                </w:p>
              </w:tc>
              <w:tc>
                <w:tcPr>
                  <w:tcW w:w="7128" w:type="dxa"/>
                  <w:gridSpan w:val="2"/>
                </w:tcPr>
                <w:p w14:paraId="457ADF24">
                  <w:pPr>
                    <w:autoSpaceDE w:val="0"/>
                    <w:autoSpaceDN w:val="0"/>
                    <w:spacing w:line="240" w:lineRule="auto"/>
                    <w:ind w:firstLine="0" w:firstLineChars="0"/>
                    <w:jc w:val="center"/>
                    <w:rPr>
                      <w:rFonts w:hint="eastAsia"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color w:val="FF0000"/>
                      <w:sz w:val="21"/>
                      <w:szCs w:val="21"/>
                    </w:rPr>
                    <w:t>减振、隔声、距离衰减</w:t>
                  </w:r>
                </w:p>
              </w:tc>
            </w:tr>
            <w:tr w14:paraId="6000FF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290" w:type="dxa"/>
                  <w:vMerge w:val="restart"/>
                  <w:vAlign w:val="center"/>
                </w:tcPr>
                <w:p w14:paraId="06275785">
                  <w:pPr>
                    <w:autoSpaceDE w:val="0"/>
                    <w:autoSpaceDN w:val="0"/>
                    <w:spacing w:line="240" w:lineRule="auto"/>
                    <w:ind w:firstLine="0" w:firstLineChars="0"/>
                    <w:jc w:val="center"/>
                    <w:rPr>
                      <w:rFonts w:hint="default" w:ascii="Times New Roman" w:hAnsi="Times New Roman" w:eastAsia="宋体" w:cs="Times New Roman"/>
                      <w:color w:val="FF0000"/>
                      <w:kern w:val="2"/>
                      <w:sz w:val="21"/>
                      <w:szCs w:val="21"/>
                      <w:lang w:val="en-US" w:eastAsia="zh-CN" w:bidi="ar-SA"/>
                    </w:rPr>
                  </w:pPr>
                  <w:r>
                    <w:rPr>
                      <w:rFonts w:hint="eastAsia" w:ascii="Times New Roman" w:hAnsi="Times New Roman" w:cs="Times New Roman"/>
                      <w:color w:val="FF0000"/>
                      <w:kern w:val="2"/>
                      <w:sz w:val="21"/>
                      <w:szCs w:val="21"/>
                      <w:lang w:val="en-US" w:eastAsia="zh-CN" w:bidi="ar-SA"/>
                    </w:rPr>
                    <w:t>固体废物</w:t>
                  </w:r>
                </w:p>
              </w:tc>
              <w:tc>
                <w:tcPr>
                  <w:tcW w:w="4322" w:type="dxa"/>
                  <w:vAlign w:val="center"/>
                </w:tcPr>
                <w:p w14:paraId="3F6A0FB3">
                  <w:pPr>
                    <w:adjustRightInd w:val="0"/>
                    <w:snapToGrid w:val="0"/>
                    <w:jc w:val="center"/>
                    <w:rPr>
                      <w:rFonts w:hint="eastAsia"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b w:val="0"/>
                      <w:bCs/>
                      <w:color w:val="FF0000"/>
                      <w:szCs w:val="21"/>
                      <w:lang w:val="en-US" w:eastAsia="zh-CN"/>
                    </w:rPr>
                    <w:t>除尘灰</w:t>
                  </w:r>
                </w:p>
              </w:tc>
              <w:tc>
                <w:tcPr>
                  <w:tcW w:w="2806" w:type="dxa"/>
                  <w:vAlign w:val="center"/>
                </w:tcPr>
                <w:p w14:paraId="3DC23643">
                  <w:pPr>
                    <w:keepNext w:val="0"/>
                    <w:keepLines w:val="0"/>
                    <w:pageBreakBefore w:val="0"/>
                    <w:widowControl/>
                    <w:kinsoku/>
                    <w:wordWrap/>
                    <w:overflowPunct/>
                    <w:topLinePunct w:val="0"/>
                    <w:bidi w:val="0"/>
                    <w:snapToGrid/>
                    <w:spacing w:line="240" w:lineRule="auto"/>
                    <w:jc w:val="center"/>
                    <w:textAlignment w:val="center"/>
                    <w:rPr>
                      <w:rFonts w:hint="eastAsia" w:ascii="Times New Roman" w:hAnsi="Times New Roman" w:eastAsia="宋体" w:cs="Times New Roman"/>
                      <w:color w:val="FF0000"/>
                      <w:kern w:val="2"/>
                      <w:sz w:val="21"/>
                      <w:szCs w:val="21"/>
                      <w:lang w:val="en-US" w:eastAsia="zh-CN" w:bidi="ar-SA"/>
                    </w:rPr>
                  </w:pPr>
                  <w:r>
                    <w:rPr>
                      <w:rFonts w:hint="eastAsia" w:ascii="Times New Roman" w:hAnsi="Times New Roman" w:cs="Times New Roman"/>
                      <w:color w:val="FF0000"/>
                      <w:sz w:val="21"/>
                      <w:szCs w:val="21"/>
                      <w:lang w:val="en-US" w:eastAsia="zh-CN"/>
                    </w:rPr>
                    <w:t>用作农家肥</w:t>
                  </w:r>
                </w:p>
              </w:tc>
            </w:tr>
            <w:tr w14:paraId="12B29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290" w:type="dxa"/>
                  <w:vMerge w:val="continue"/>
                </w:tcPr>
                <w:p w14:paraId="17CD0E6E">
                  <w:pPr>
                    <w:autoSpaceDE w:val="0"/>
                    <w:autoSpaceDN w:val="0"/>
                    <w:spacing w:line="240" w:lineRule="auto"/>
                    <w:ind w:firstLine="0" w:firstLineChars="0"/>
                    <w:jc w:val="center"/>
                    <w:rPr>
                      <w:color w:val="FF0000"/>
                    </w:rPr>
                  </w:pPr>
                </w:p>
              </w:tc>
              <w:tc>
                <w:tcPr>
                  <w:tcW w:w="4322" w:type="dxa"/>
                  <w:vAlign w:val="center"/>
                </w:tcPr>
                <w:p w14:paraId="40C8FD0B">
                  <w:pPr>
                    <w:adjustRightInd w:val="0"/>
                    <w:snapToGrid w:val="0"/>
                    <w:jc w:val="center"/>
                    <w:rPr>
                      <w:rFonts w:hint="eastAsia"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b w:val="0"/>
                      <w:bCs/>
                      <w:color w:val="FF0000"/>
                      <w:szCs w:val="21"/>
                      <w:lang w:val="en-US" w:eastAsia="zh-CN"/>
                    </w:rPr>
                    <w:t>废布袋</w:t>
                  </w:r>
                </w:p>
              </w:tc>
              <w:tc>
                <w:tcPr>
                  <w:tcW w:w="2806" w:type="dxa"/>
                  <w:vAlign w:val="center"/>
                </w:tcPr>
                <w:p w14:paraId="5B0C72AD">
                  <w:pPr>
                    <w:keepNext w:val="0"/>
                    <w:keepLines w:val="0"/>
                    <w:pageBreakBefore w:val="0"/>
                    <w:widowControl/>
                    <w:kinsoku/>
                    <w:wordWrap/>
                    <w:overflowPunct/>
                    <w:topLinePunct w:val="0"/>
                    <w:bidi w:val="0"/>
                    <w:snapToGrid/>
                    <w:spacing w:line="240" w:lineRule="auto"/>
                    <w:jc w:val="center"/>
                    <w:textAlignment w:val="center"/>
                    <w:rPr>
                      <w:rFonts w:hint="eastAsia" w:ascii="Times New Roman" w:hAnsi="Times New Roman" w:eastAsia="宋体" w:cs="Times New Roman"/>
                      <w:color w:val="FF0000"/>
                      <w:kern w:val="2"/>
                      <w:sz w:val="21"/>
                      <w:szCs w:val="21"/>
                      <w:lang w:val="en-US" w:eastAsia="zh-CN" w:bidi="ar-SA"/>
                    </w:rPr>
                  </w:pPr>
                  <w:r>
                    <w:rPr>
                      <w:rFonts w:hint="eastAsia"/>
                      <w:color w:val="FF0000"/>
                      <w:sz w:val="21"/>
                      <w:szCs w:val="21"/>
                      <w:lang w:val="en-US" w:eastAsia="zh-CN"/>
                    </w:rPr>
                    <w:t>相关单位回收</w:t>
                  </w:r>
                </w:p>
              </w:tc>
            </w:tr>
            <w:tr w14:paraId="13D7C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290" w:type="dxa"/>
                  <w:vMerge w:val="continue"/>
                </w:tcPr>
                <w:p w14:paraId="5B3187BA">
                  <w:pPr>
                    <w:autoSpaceDE w:val="0"/>
                    <w:autoSpaceDN w:val="0"/>
                    <w:spacing w:line="240" w:lineRule="auto"/>
                    <w:ind w:firstLine="0" w:firstLineChars="0"/>
                    <w:jc w:val="center"/>
                    <w:rPr>
                      <w:rFonts w:hint="eastAsia" w:ascii="Times New Roman" w:hAnsi="Times New Roman" w:eastAsia="宋体" w:cs="Times New Roman"/>
                      <w:color w:val="FF0000"/>
                      <w:kern w:val="2"/>
                      <w:sz w:val="21"/>
                      <w:szCs w:val="21"/>
                      <w:lang w:val="en-US" w:eastAsia="zh-CN" w:bidi="ar-SA"/>
                    </w:rPr>
                  </w:pPr>
                </w:p>
              </w:tc>
              <w:tc>
                <w:tcPr>
                  <w:tcW w:w="4322" w:type="dxa"/>
                  <w:vAlign w:val="center"/>
                </w:tcPr>
                <w:p w14:paraId="470FEAC6">
                  <w:pPr>
                    <w:widowControl/>
                    <w:jc w:val="center"/>
                    <w:textAlignment w:val="center"/>
                    <w:rPr>
                      <w:rFonts w:hint="eastAsia" w:ascii="Times New Roman" w:hAnsi="Times New Roman" w:eastAsia="宋体" w:cs="Times New Roman"/>
                      <w:color w:val="FF0000"/>
                      <w:kern w:val="2"/>
                      <w:sz w:val="21"/>
                      <w:szCs w:val="21"/>
                      <w:lang w:val="en-US" w:eastAsia="zh-CN" w:bidi="ar-SA"/>
                    </w:rPr>
                  </w:pPr>
                  <w:r>
                    <w:rPr>
                      <w:rFonts w:hint="eastAsia"/>
                      <w:color w:val="FF0000"/>
                      <w:kern w:val="0"/>
                      <w:sz w:val="21"/>
                      <w:szCs w:val="21"/>
                      <w:lang w:val="en-US" w:eastAsia="zh-CN" w:bidi="ar"/>
                    </w:rPr>
                    <w:t>锅炉灰渣</w:t>
                  </w:r>
                </w:p>
              </w:tc>
              <w:tc>
                <w:tcPr>
                  <w:tcW w:w="2806" w:type="dxa"/>
                </w:tcPr>
                <w:p w14:paraId="471A3E40">
                  <w:pPr>
                    <w:autoSpaceDE w:val="0"/>
                    <w:autoSpaceDN w:val="0"/>
                    <w:spacing w:line="240" w:lineRule="auto"/>
                    <w:ind w:firstLine="0" w:firstLineChars="0"/>
                    <w:jc w:val="center"/>
                    <w:rPr>
                      <w:rFonts w:hint="eastAsia" w:ascii="Times New Roman" w:hAnsi="Times New Roman" w:eastAsia="宋体" w:cs="Times New Roman"/>
                      <w:color w:val="FF0000"/>
                      <w:kern w:val="2"/>
                      <w:sz w:val="21"/>
                      <w:szCs w:val="21"/>
                      <w:lang w:val="en-US" w:eastAsia="zh-CN" w:bidi="ar-SA"/>
                    </w:rPr>
                  </w:pPr>
                  <w:r>
                    <w:rPr>
                      <w:rFonts w:hint="eastAsia" w:ascii="Times New Roman" w:hAnsi="Times New Roman" w:cs="Times New Roman"/>
                      <w:color w:val="FF0000"/>
                      <w:sz w:val="21"/>
                      <w:szCs w:val="21"/>
                      <w:lang w:val="en-US" w:eastAsia="zh-CN"/>
                    </w:rPr>
                    <w:t>用作农家肥</w:t>
                  </w:r>
                </w:p>
              </w:tc>
            </w:tr>
            <w:tr w14:paraId="7C55A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290" w:type="dxa"/>
                  <w:vMerge w:val="continue"/>
                </w:tcPr>
                <w:p w14:paraId="5DD344AE">
                  <w:pPr>
                    <w:autoSpaceDE w:val="0"/>
                    <w:autoSpaceDN w:val="0"/>
                    <w:spacing w:line="240" w:lineRule="auto"/>
                    <w:ind w:firstLine="0" w:firstLineChars="0"/>
                    <w:jc w:val="center"/>
                    <w:rPr>
                      <w:rFonts w:hint="eastAsia" w:ascii="Times New Roman" w:hAnsi="Times New Roman" w:eastAsia="宋体" w:cs="Times New Roman"/>
                      <w:color w:val="FF0000"/>
                      <w:kern w:val="2"/>
                      <w:sz w:val="21"/>
                      <w:szCs w:val="21"/>
                      <w:lang w:val="en-US" w:eastAsia="zh-CN" w:bidi="ar-SA"/>
                    </w:rPr>
                  </w:pPr>
                </w:p>
              </w:tc>
              <w:tc>
                <w:tcPr>
                  <w:tcW w:w="4322" w:type="dxa"/>
                  <w:vAlign w:val="center"/>
                </w:tcPr>
                <w:p w14:paraId="723C6741">
                  <w:pPr>
                    <w:widowControl/>
                    <w:jc w:val="center"/>
                    <w:textAlignment w:val="center"/>
                    <w:rPr>
                      <w:rFonts w:hint="eastAsia" w:ascii="Times New Roman" w:hAnsi="Times New Roman" w:eastAsia="宋体" w:cs="Times New Roman"/>
                      <w:color w:val="FF0000"/>
                      <w:kern w:val="2"/>
                      <w:sz w:val="21"/>
                      <w:szCs w:val="21"/>
                      <w:lang w:val="en-US" w:eastAsia="zh-CN" w:bidi="ar-SA"/>
                    </w:rPr>
                  </w:pPr>
                  <w:r>
                    <w:rPr>
                      <w:rFonts w:hint="eastAsia"/>
                      <w:color w:val="FF0000"/>
                      <w:kern w:val="0"/>
                      <w:sz w:val="21"/>
                      <w:szCs w:val="21"/>
                      <w:lang w:val="en-US" w:eastAsia="zh-CN" w:bidi="ar"/>
                    </w:rPr>
                    <w:t>废包装袋</w:t>
                  </w:r>
                </w:p>
              </w:tc>
              <w:tc>
                <w:tcPr>
                  <w:tcW w:w="2806" w:type="dxa"/>
                </w:tcPr>
                <w:p w14:paraId="5BC3803C">
                  <w:pPr>
                    <w:autoSpaceDE w:val="0"/>
                    <w:autoSpaceDN w:val="0"/>
                    <w:spacing w:line="240" w:lineRule="auto"/>
                    <w:ind w:firstLine="0" w:firstLineChars="0"/>
                    <w:jc w:val="center"/>
                    <w:rPr>
                      <w:rFonts w:hint="eastAsia" w:ascii="Times New Roman" w:hAnsi="Times New Roman" w:eastAsia="宋体" w:cs="Times New Roman"/>
                      <w:color w:val="FF0000"/>
                      <w:kern w:val="2"/>
                      <w:sz w:val="21"/>
                      <w:szCs w:val="21"/>
                      <w:lang w:val="en-US" w:eastAsia="zh-CN" w:bidi="ar-SA"/>
                    </w:rPr>
                  </w:pPr>
                  <w:r>
                    <w:rPr>
                      <w:rFonts w:hint="eastAsia"/>
                      <w:color w:val="FF0000"/>
                      <w:sz w:val="21"/>
                      <w:szCs w:val="21"/>
                      <w:lang w:val="en-US" w:eastAsia="zh-CN"/>
                    </w:rPr>
                    <w:t>相关单位回收</w:t>
                  </w:r>
                </w:p>
              </w:tc>
            </w:tr>
            <w:tr w14:paraId="0CE73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290" w:type="dxa"/>
                  <w:vMerge w:val="continue"/>
                </w:tcPr>
                <w:p w14:paraId="5F6E3FD2">
                  <w:pPr>
                    <w:autoSpaceDE w:val="0"/>
                    <w:autoSpaceDN w:val="0"/>
                    <w:spacing w:line="240" w:lineRule="auto"/>
                    <w:ind w:firstLine="0" w:firstLineChars="0"/>
                    <w:jc w:val="center"/>
                    <w:rPr>
                      <w:rFonts w:hint="eastAsia" w:ascii="Times New Roman" w:hAnsi="Times New Roman" w:eastAsia="宋体" w:cs="Times New Roman"/>
                      <w:color w:val="FF0000"/>
                      <w:kern w:val="2"/>
                      <w:sz w:val="21"/>
                      <w:szCs w:val="21"/>
                      <w:lang w:val="en-US" w:eastAsia="zh-CN" w:bidi="ar-SA"/>
                    </w:rPr>
                  </w:pPr>
                </w:p>
              </w:tc>
              <w:tc>
                <w:tcPr>
                  <w:tcW w:w="4322" w:type="dxa"/>
                  <w:vAlign w:val="center"/>
                </w:tcPr>
                <w:p w14:paraId="43FDF574">
                  <w:pPr>
                    <w:widowControl/>
                    <w:jc w:val="center"/>
                    <w:textAlignment w:val="center"/>
                    <w:rPr>
                      <w:rFonts w:hint="eastAsia" w:ascii="Times New Roman" w:hAnsi="Times New Roman" w:eastAsia="宋体" w:cs="Times New Roman"/>
                      <w:color w:val="FF0000"/>
                      <w:kern w:val="2"/>
                      <w:sz w:val="21"/>
                      <w:szCs w:val="21"/>
                      <w:lang w:val="en-US" w:eastAsia="zh-CN" w:bidi="ar-SA"/>
                    </w:rPr>
                  </w:pPr>
                  <w:r>
                    <w:rPr>
                      <w:rFonts w:hint="eastAsia"/>
                      <w:color w:val="FF0000"/>
                      <w:kern w:val="0"/>
                      <w:sz w:val="21"/>
                      <w:szCs w:val="21"/>
                      <w:lang w:val="en-US" w:eastAsia="zh-CN" w:bidi="ar"/>
                    </w:rPr>
                    <w:t>杂质</w:t>
                  </w:r>
                </w:p>
              </w:tc>
              <w:tc>
                <w:tcPr>
                  <w:tcW w:w="2806" w:type="dxa"/>
                </w:tcPr>
                <w:p w14:paraId="35996CCA">
                  <w:pPr>
                    <w:autoSpaceDE w:val="0"/>
                    <w:autoSpaceDN w:val="0"/>
                    <w:spacing w:line="240" w:lineRule="auto"/>
                    <w:ind w:firstLine="0" w:firstLineChars="0"/>
                    <w:jc w:val="center"/>
                    <w:rPr>
                      <w:rFonts w:hint="default" w:ascii="Times New Roman" w:hAnsi="Times New Roman" w:eastAsia="宋体" w:cs="Times New Roman"/>
                      <w:color w:val="FF0000"/>
                      <w:kern w:val="2"/>
                      <w:sz w:val="21"/>
                      <w:szCs w:val="21"/>
                      <w:lang w:val="en-US" w:eastAsia="zh-CN" w:bidi="ar-SA"/>
                    </w:rPr>
                  </w:pPr>
                  <w:r>
                    <w:rPr>
                      <w:rFonts w:hint="eastAsia" w:ascii="Times New Roman" w:hAnsi="Times New Roman" w:cs="Times New Roman"/>
                      <w:color w:val="FF0000"/>
                      <w:kern w:val="2"/>
                      <w:sz w:val="21"/>
                      <w:szCs w:val="21"/>
                      <w:lang w:val="en-US" w:eastAsia="zh-CN" w:bidi="ar-SA"/>
                    </w:rPr>
                    <w:t>回收综合利用</w:t>
                  </w:r>
                </w:p>
              </w:tc>
            </w:tr>
            <w:tr w14:paraId="4BE3F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290" w:type="dxa"/>
                  <w:vMerge w:val="continue"/>
                </w:tcPr>
                <w:p w14:paraId="2E4B2FA7">
                  <w:pPr>
                    <w:autoSpaceDE w:val="0"/>
                    <w:autoSpaceDN w:val="0"/>
                    <w:spacing w:line="240" w:lineRule="auto"/>
                    <w:ind w:firstLine="0" w:firstLineChars="0"/>
                    <w:jc w:val="center"/>
                    <w:rPr>
                      <w:rFonts w:hint="eastAsia" w:ascii="Times New Roman" w:hAnsi="Times New Roman" w:eastAsia="宋体" w:cs="Times New Roman"/>
                      <w:color w:val="FF0000"/>
                      <w:kern w:val="2"/>
                      <w:sz w:val="21"/>
                      <w:szCs w:val="21"/>
                      <w:lang w:val="en-US" w:eastAsia="zh-CN" w:bidi="ar-SA"/>
                    </w:rPr>
                  </w:pPr>
                </w:p>
              </w:tc>
              <w:tc>
                <w:tcPr>
                  <w:tcW w:w="4322" w:type="dxa"/>
                  <w:vAlign w:val="center"/>
                </w:tcPr>
                <w:p w14:paraId="0E45B101">
                  <w:pPr>
                    <w:widowControl/>
                    <w:jc w:val="center"/>
                    <w:textAlignment w:val="center"/>
                    <w:rPr>
                      <w:rFonts w:hint="eastAsia" w:ascii="Times New Roman" w:hAnsi="Times New Roman" w:eastAsia="宋体" w:cs="Times New Roman"/>
                      <w:color w:val="FF0000"/>
                      <w:kern w:val="2"/>
                      <w:sz w:val="21"/>
                      <w:szCs w:val="21"/>
                      <w:lang w:val="en-US" w:eastAsia="zh-CN" w:bidi="ar-SA"/>
                    </w:rPr>
                  </w:pPr>
                  <w:r>
                    <w:rPr>
                      <w:rFonts w:hint="eastAsia"/>
                      <w:color w:val="FF0000"/>
                      <w:kern w:val="0"/>
                      <w:sz w:val="21"/>
                      <w:szCs w:val="21"/>
                      <w:lang w:val="en-US" w:eastAsia="zh-CN" w:bidi="ar"/>
                    </w:rPr>
                    <w:t>废离子交换树脂</w:t>
                  </w:r>
                </w:p>
              </w:tc>
              <w:tc>
                <w:tcPr>
                  <w:tcW w:w="2806" w:type="dxa"/>
                </w:tcPr>
                <w:p w14:paraId="31C21927">
                  <w:pPr>
                    <w:autoSpaceDE w:val="0"/>
                    <w:autoSpaceDN w:val="0"/>
                    <w:spacing w:line="240" w:lineRule="auto"/>
                    <w:ind w:firstLine="0" w:firstLineChars="0"/>
                    <w:jc w:val="center"/>
                    <w:rPr>
                      <w:rFonts w:hint="eastAsia" w:ascii="Times New Roman" w:hAnsi="Times New Roman" w:eastAsia="宋体" w:cs="Times New Roman"/>
                      <w:color w:val="FF0000"/>
                      <w:kern w:val="2"/>
                      <w:sz w:val="21"/>
                      <w:szCs w:val="21"/>
                      <w:lang w:val="en-US" w:eastAsia="zh-CN" w:bidi="ar-SA"/>
                    </w:rPr>
                  </w:pPr>
                  <w:r>
                    <w:rPr>
                      <w:rFonts w:hint="eastAsia"/>
                      <w:color w:val="FF0000"/>
                      <w:sz w:val="21"/>
                      <w:szCs w:val="21"/>
                      <w:lang w:val="en-US" w:eastAsia="zh-CN"/>
                    </w:rPr>
                    <w:t>相关单位回收</w:t>
                  </w:r>
                </w:p>
              </w:tc>
            </w:tr>
          </w:tbl>
          <w:p w14:paraId="6AE18595">
            <w:pPr>
              <w:pStyle w:val="48"/>
              <w:keepNext w:val="0"/>
              <w:keepLines w:val="0"/>
              <w:numPr>
                <w:ilvl w:val="0"/>
                <w:numId w:val="0"/>
              </w:numPr>
              <w:suppressLineNumbers w:val="0"/>
              <w:spacing w:before="0" w:beforeAutospacing="0" w:after="0" w:afterAutospacing="0"/>
              <w:ind w:right="0" w:firstLine="482" w:firstLineChars="200"/>
              <w:jc w:val="left"/>
              <w:rPr>
                <w:rFonts w:hint="default"/>
                <w:b/>
                <w:bCs/>
                <w:color w:val="000000" w:themeColor="text1"/>
                <w:lang w:val="en-US" w:eastAsia="zh-CN"/>
                <w14:textFill>
                  <w14:solidFill>
                    <w14:schemeClr w14:val="tx1"/>
                  </w14:solidFill>
                </w14:textFill>
              </w:rPr>
            </w:pPr>
            <w:r>
              <w:rPr>
                <w:rFonts w:hint="eastAsia" w:ascii="Times New Roman" w:hAnsi="Times New Roman" w:cs="Times New Roman"/>
                <w:b/>
                <w:bCs/>
                <w:color w:val="000000" w:themeColor="text1"/>
                <w:kern w:val="0"/>
                <w:sz w:val="24"/>
                <w:szCs w:val="24"/>
                <w:lang w:val="en-US" w:eastAsia="zh-CN" w:bidi="ar-SA"/>
                <w14:textFill>
                  <w14:solidFill>
                    <w14:schemeClr w14:val="tx1"/>
                  </w14:solidFill>
                </w14:textFill>
              </w:rPr>
              <w:t>四</w:t>
            </w:r>
            <w:r>
              <w:rPr>
                <w:rFonts w:hint="eastAsia" w:ascii="Times New Roman" w:hAnsi="Times New Roman" w:eastAsia="宋体" w:cs="Times New Roman"/>
                <w:b/>
                <w:bCs/>
                <w:color w:val="000000" w:themeColor="text1"/>
                <w:kern w:val="0"/>
                <w:sz w:val="24"/>
                <w:szCs w:val="24"/>
                <w:lang w:val="en-US" w:eastAsia="zh-CN" w:bidi="ar-SA"/>
                <w14:textFill>
                  <w14:solidFill>
                    <w14:schemeClr w14:val="tx1"/>
                  </w14:solidFill>
                </w14:textFill>
              </w:rPr>
              <w:t>、</w:t>
            </w:r>
            <w:r>
              <w:rPr>
                <w:rFonts w:hint="eastAsia"/>
                <w:b/>
                <w:bCs/>
                <w:color w:val="000000" w:themeColor="text1"/>
                <w:lang w:val="en-US" w:eastAsia="zh-CN"/>
                <w14:textFill>
                  <w14:solidFill>
                    <w14:schemeClr w14:val="tx1"/>
                  </w14:solidFill>
                </w14:textFill>
              </w:rPr>
              <w:t>现有项目验收数据</w:t>
            </w:r>
          </w:p>
          <w:p w14:paraId="37CAAAB9">
            <w:pPr>
              <w:spacing w:line="360" w:lineRule="auto"/>
              <w:ind w:firstLine="480" w:firstLineChars="200"/>
              <w:rPr>
                <w:rFonts w:hint="eastAsia"/>
                <w:color w:val="000000" w:themeColor="text1"/>
                <w:sz w:val="24"/>
                <w:szCs w:val="24"/>
                <w:lang w:eastAsia="zh-CN"/>
                <w14:textFill>
                  <w14:solidFill>
                    <w14:schemeClr w14:val="tx1"/>
                  </w14:solidFill>
                </w14:textFill>
              </w:rPr>
            </w:pPr>
            <w:r>
              <w:rPr>
                <w:rFonts w:hint="eastAsia"/>
                <w:color w:val="000000" w:themeColor="text1"/>
                <w:sz w:val="24"/>
                <w:szCs w:val="24"/>
                <w14:textFill>
                  <w14:solidFill>
                    <w14:schemeClr w14:val="tx1"/>
                  </w14:solidFill>
                </w14:textFill>
              </w:rPr>
              <w:t>监测数据采用</w:t>
            </w:r>
            <w:r>
              <w:rPr>
                <w:rFonts w:hint="default" w:ascii="Times New Roman" w:hAnsi="Times New Roman" w:eastAsia="宋体" w:cs="Times New Roman"/>
                <w:color w:val="000000" w:themeColor="text1"/>
                <w:sz w:val="24"/>
                <w:szCs w:val="24"/>
                <w:highlight w:val="none"/>
                <w:lang w:eastAsia="zh-CN" w:bidi="ar"/>
                <w14:textFill>
                  <w14:solidFill>
                    <w14:schemeClr w14:val="tx1"/>
                  </w14:solidFill>
                </w14:textFill>
              </w:rPr>
              <w:t>江西高安大北农饲料有限公司</w:t>
            </w:r>
            <w:r>
              <w:rPr>
                <w:rFonts w:hint="eastAsia" w:cs="Times New Roman"/>
                <w:color w:val="000000" w:themeColor="text1"/>
                <w:sz w:val="24"/>
                <w:szCs w:val="24"/>
                <w:highlight w:val="none"/>
                <w:lang w:val="en-US" w:eastAsia="zh-CN" w:bidi="ar"/>
                <w14:textFill>
                  <w14:solidFill>
                    <w14:schemeClr w14:val="tx1"/>
                  </w14:solidFill>
                </w14:textFill>
              </w:rPr>
              <w:t>2014年建设项目竣工环境保护验收监测报告，</w:t>
            </w:r>
            <w:r>
              <w:rPr>
                <w:rFonts w:hint="eastAsia"/>
                <w:color w:val="000000" w:themeColor="text1"/>
                <w:sz w:val="24"/>
                <w:szCs w:val="24"/>
                <w14:textFill>
                  <w14:solidFill>
                    <w14:schemeClr w14:val="tx1"/>
                  </w14:solidFill>
                </w14:textFill>
              </w:rPr>
              <w:t>废</w:t>
            </w:r>
            <w:r>
              <w:rPr>
                <w:rFonts w:hint="eastAsia"/>
                <w:color w:val="000000" w:themeColor="text1"/>
                <w:sz w:val="24"/>
                <w:szCs w:val="24"/>
                <w:lang w:val="en-US" w:eastAsia="zh-CN"/>
                <w14:textFill>
                  <w14:solidFill>
                    <w14:schemeClr w14:val="tx1"/>
                  </w14:solidFill>
                </w14:textFill>
              </w:rPr>
              <w:t>水、废气、噪声</w:t>
            </w:r>
            <w:r>
              <w:rPr>
                <w:rFonts w:hint="eastAsia"/>
                <w:color w:val="000000" w:themeColor="text1"/>
                <w:sz w:val="24"/>
                <w:szCs w:val="24"/>
                <w14:textFill>
                  <w14:solidFill>
                    <w14:schemeClr w14:val="tx1"/>
                  </w14:solidFill>
                </w14:textFill>
              </w:rPr>
              <w:t>排放情况详细见下列各表</w:t>
            </w:r>
            <w:r>
              <w:rPr>
                <w:rFonts w:hint="eastAsia"/>
                <w:color w:val="000000" w:themeColor="text1"/>
                <w:sz w:val="24"/>
                <w:szCs w:val="24"/>
                <w:lang w:eastAsia="zh-CN"/>
                <w14:textFill>
                  <w14:solidFill>
                    <w14:schemeClr w14:val="tx1"/>
                  </w14:solidFill>
                </w14:textFill>
              </w:rPr>
              <w:t>。</w:t>
            </w:r>
          </w:p>
          <w:p w14:paraId="5A9BE18F">
            <w:pPr>
              <w:pStyle w:val="105"/>
              <w:keepNext w:val="0"/>
              <w:keepLines w:val="0"/>
              <w:pageBreakBefore w:val="0"/>
              <w:widowControl w:val="0"/>
              <w:kinsoku/>
              <w:wordWrap/>
              <w:overflowPunct w:val="0"/>
              <w:topLinePunct w:val="0"/>
              <w:autoSpaceDE w:val="0"/>
              <w:autoSpaceDN w:val="0"/>
              <w:bidi w:val="0"/>
              <w:adjustRightInd w:val="0"/>
              <w:snapToGrid w:val="0"/>
              <w:spacing w:before="0" w:beforeLines="0" w:line="240" w:lineRule="auto"/>
              <w:ind w:firstLine="482" w:firstLineChars="200"/>
              <w:textAlignment w:val="auto"/>
              <w:rPr>
                <w:rFonts w:hint="default" w:eastAsia="宋体"/>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pacing w:val="0"/>
                <w:w w:val="100"/>
                <w:position w:val="0"/>
                <w:sz w:val="24"/>
                <w:szCs w:val="24"/>
                <w14:textFill>
                  <w14:solidFill>
                    <w14:schemeClr w14:val="tx1"/>
                  </w14:solidFill>
                </w14:textFill>
              </w:rPr>
              <w:t>表2-</w:t>
            </w:r>
            <w:r>
              <w:rPr>
                <w:rFonts w:hint="eastAsia" w:cs="Times New Roman"/>
                <w:color w:val="000000" w:themeColor="text1"/>
                <w:spacing w:val="0"/>
                <w:w w:val="100"/>
                <w:position w:val="0"/>
                <w:sz w:val="24"/>
                <w:szCs w:val="24"/>
                <w:lang w:val="en-US" w:eastAsia="zh-CN"/>
                <w14:textFill>
                  <w14:solidFill>
                    <w14:schemeClr w14:val="tx1"/>
                  </w14:solidFill>
                </w14:textFill>
              </w:rPr>
              <w:t>11</w:t>
            </w:r>
            <w:r>
              <w:rPr>
                <w:rFonts w:hint="default" w:ascii="Times New Roman" w:hAnsi="Times New Roman" w:cs="Times New Roman"/>
                <w:color w:val="000000" w:themeColor="text1"/>
                <w:spacing w:val="0"/>
                <w:w w:val="100"/>
                <w:position w:val="0"/>
                <w:sz w:val="24"/>
                <w:szCs w:val="24"/>
                <w:lang w:val="en-US" w:eastAsia="zh-CN"/>
                <w14:textFill>
                  <w14:solidFill>
                    <w14:schemeClr w14:val="tx1"/>
                  </w14:solidFill>
                </w14:textFill>
              </w:rPr>
              <w:t xml:space="preserve">  </w:t>
            </w:r>
            <w:r>
              <w:rPr>
                <w:rFonts w:hint="eastAsia" w:ascii="Times New Roman" w:hAnsi="Times New Roman" w:cs="Times New Roman"/>
                <w:color w:val="000000" w:themeColor="text1"/>
                <w:spacing w:val="0"/>
                <w:w w:val="100"/>
                <w:position w:val="0"/>
                <w:sz w:val="24"/>
                <w:szCs w:val="24"/>
                <w:lang w:val="en-US" w:eastAsia="zh-CN"/>
                <w14:textFill>
                  <w14:solidFill>
                    <w14:schemeClr w14:val="tx1"/>
                  </w14:solidFill>
                </w14:textFill>
              </w:rPr>
              <w:t>现有</w:t>
            </w:r>
            <w:r>
              <w:rPr>
                <w:rFonts w:hint="default" w:ascii="Times New Roman" w:hAnsi="Times New Roman" w:cs="Times New Roman"/>
                <w:color w:val="000000" w:themeColor="text1"/>
                <w:spacing w:val="0"/>
                <w:w w:val="100"/>
                <w:position w:val="0"/>
                <w:sz w:val="24"/>
                <w:szCs w:val="24"/>
                <w14:textFill>
                  <w14:solidFill>
                    <w14:schemeClr w14:val="tx1"/>
                  </w14:solidFill>
                </w14:textFill>
              </w:rPr>
              <w:t>项目</w:t>
            </w:r>
            <w:r>
              <w:rPr>
                <w:rFonts w:hint="eastAsia" w:cs="Times New Roman"/>
                <w:color w:val="000000" w:themeColor="text1"/>
                <w:spacing w:val="0"/>
                <w:w w:val="100"/>
                <w:position w:val="0"/>
                <w:sz w:val="24"/>
                <w:szCs w:val="24"/>
                <w:lang w:val="en-US" w:eastAsia="zh-CN"/>
                <w14:textFill>
                  <w14:solidFill>
                    <w14:schemeClr w14:val="tx1"/>
                  </w14:solidFill>
                </w14:textFill>
              </w:rPr>
              <w:t>验收期间废水监测数据</w:t>
            </w:r>
          </w:p>
          <w:tbl>
            <w:tblPr>
              <w:tblStyle w:val="2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
              <w:gridCol w:w="1344"/>
              <w:gridCol w:w="1683"/>
              <w:gridCol w:w="1057"/>
              <w:gridCol w:w="1160"/>
              <w:gridCol w:w="1110"/>
              <w:gridCol w:w="969"/>
            </w:tblGrid>
            <w:tr w14:paraId="7AAAB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trPr>
              <w:tc>
                <w:tcPr>
                  <w:tcW w:w="464" w:type="pct"/>
                  <w:vMerge w:val="restart"/>
                  <w:vAlign w:val="center"/>
                </w:tcPr>
                <w:p w14:paraId="4F0755C5">
                  <w:pPr>
                    <w:autoSpaceDE w:val="0"/>
                    <w:autoSpaceDN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监测点位</w:t>
                  </w:r>
                </w:p>
              </w:tc>
              <w:tc>
                <w:tcPr>
                  <w:tcW w:w="832" w:type="pct"/>
                  <w:vMerge w:val="restart"/>
                  <w:vAlign w:val="center"/>
                </w:tcPr>
                <w:p w14:paraId="6411CA76">
                  <w:pPr>
                    <w:autoSpaceDE w:val="0"/>
                    <w:autoSpaceDN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监测项目</w:t>
                  </w:r>
                </w:p>
              </w:tc>
              <w:tc>
                <w:tcPr>
                  <w:tcW w:w="1042" w:type="pct"/>
                  <w:vMerge w:val="restart"/>
                  <w:vAlign w:val="center"/>
                </w:tcPr>
                <w:p w14:paraId="33DDAA48">
                  <w:pPr>
                    <w:autoSpaceDE w:val="0"/>
                    <w:autoSpaceDN w:val="0"/>
                    <w:spacing w:line="240" w:lineRule="auto"/>
                    <w:ind w:firstLine="0" w:firstLineChars="0"/>
                    <w:jc w:val="center"/>
                    <w:rPr>
                      <w:rFonts w:hint="eastAsia" w:eastAsia="宋体"/>
                      <w:color w:val="000000" w:themeColor="text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监测日期</w:t>
                  </w:r>
                </w:p>
              </w:tc>
              <w:tc>
                <w:tcPr>
                  <w:tcW w:w="1372" w:type="pct"/>
                  <w:gridSpan w:val="2"/>
                  <w:vAlign w:val="center"/>
                </w:tcPr>
                <w:p w14:paraId="6D3F3EDC">
                  <w:pPr>
                    <w:autoSpaceDE w:val="0"/>
                    <w:autoSpaceDN w:val="0"/>
                    <w:spacing w:line="240" w:lineRule="auto"/>
                    <w:ind w:firstLine="0" w:firstLineChars="0"/>
                    <w:jc w:val="center"/>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监测结果</w:t>
                  </w:r>
                </w:p>
              </w:tc>
              <w:tc>
                <w:tcPr>
                  <w:tcW w:w="687" w:type="pct"/>
                  <w:vMerge w:val="restart"/>
                  <w:vAlign w:val="center"/>
                </w:tcPr>
                <w:p w14:paraId="647CBC89">
                  <w:pPr>
                    <w:autoSpaceDE w:val="0"/>
                    <w:autoSpaceDN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执行标准</w:t>
                  </w:r>
                </w:p>
              </w:tc>
              <w:tc>
                <w:tcPr>
                  <w:tcW w:w="600" w:type="pct"/>
                  <w:vMerge w:val="restart"/>
                  <w:vAlign w:val="center"/>
                </w:tcPr>
                <w:p w14:paraId="17D42631">
                  <w:pPr>
                    <w:autoSpaceDE w:val="0"/>
                    <w:autoSpaceDN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结论</w:t>
                  </w:r>
                </w:p>
              </w:tc>
            </w:tr>
            <w:tr w14:paraId="0107E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trPr>
              <w:tc>
                <w:tcPr>
                  <w:tcW w:w="464" w:type="pct"/>
                  <w:vMerge w:val="continue"/>
                  <w:vAlign w:val="center"/>
                </w:tcPr>
                <w:p w14:paraId="093A2FC9">
                  <w:pPr>
                    <w:autoSpaceDE w:val="0"/>
                    <w:autoSpaceDN w:val="0"/>
                    <w:spacing w:line="240" w:lineRule="auto"/>
                    <w:ind w:firstLine="0" w:firstLineChars="0"/>
                    <w:jc w:val="center"/>
                    <w:rPr>
                      <w:color w:val="000000" w:themeColor="text1"/>
                      <w14:textFill>
                        <w14:solidFill>
                          <w14:schemeClr w14:val="tx1"/>
                        </w14:solidFill>
                      </w14:textFill>
                    </w:rPr>
                  </w:pPr>
                </w:p>
              </w:tc>
              <w:tc>
                <w:tcPr>
                  <w:tcW w:w="832" w:type="pct"/>
                  <w:vMerge w:val="continue"/>
                  <w:vAlign w:val="center"/>
                </w:tcPr>
                <w:p w14:paraId="3B7A26A4">
                  <w:pPr>
                    <w:autoSpaceDE w:val="0"/>
                    <w:autoSpaceDN w:val="0"/>
                    <w:spacing w:line="240" w:lineRule="auto"/>
                    <w:ind w:firstLine="0" w:firstLineChars="0"/>
                    <w:jc w:val="center"/>
                    <w:rPr>
                      <w:color w:val="000000" w:themeColor="text1"/>
                      <w14:textFill>
                        <w14:solidFill>
                          <w14:schemeClr w14:val="tx1"/>
                        </w14:solidFill>
                      </w14:textFill>
                    </w:rPr>
                  </w:pPr>
                </w:p>
              </w:tc>
              <w:tc>
                <w:tcPr>
                  <w:tcW w:w="1042" w:type="pct"/>
                  <w:vMerge w:val="continue"/>
                  <w:vAlign w:val="center"/>
                </w:tcPr>
                <w:p w14:paraId="2A6396AA">
                  <w:pPr>
                    <w:autoSpaceDE w:val="0"/>
                    <w:autoSpaceDN w:val="0"/>
                    <w:spacing w:line="240" w:lineRule="auto"/>
                    <w:ind w:firstLine="0" w:firstLineChars="0"/>
                    <w:jc w:val="center"/>
                    <w:rPr>
                      <w:rFonts w:hint="eastAsia" w:eastAsia="宋体"/>
                      <w:color w:val="000000" w:themeColor="text1"/>
                      <w:lang w:val="en-US" w:eastAsia="zh-CN"/>
                      <w14:textFill>
                        <w14:solidFill>
                          <w14:schemeClr w14:val="tx1"/>
                        </w14:solidFill>
                      </w14:textFill>
                    </w:rPr>
                  </w:pPr>
                </w:p>
              </w:tc>
              <w:tc>
                <w:tcPr>
                  <w:tcW w:w="654" w:type="pct"/>
                  <w:vAlign w:val="center"/>
                </w:tcPr>
                <w:p w14:paraId="3C327E0F">
                  <w:pPr>
                    <w:autoSpaceDE w:val="0"/>
                    <w:autoSpaceDN w:val="0"/>
                    <w:spacing w:line="240" w:lineRule="auto"/>
                    <w:ind w:firstLine="0" w:firstLineChars="0"/>
                    <w:jc w:val="center"/>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上午</w:t>
                  </w:r>
                </w:p>
              </w:tc>
              <w:tc>
                <w:tcPr>
                  <w:tcW w:w="718" w:type="pct"/>
                  <w:vAlign w:val="center"/>
                </w:tcPr>
                <w:p w14:paraId="71C6C692">
                  <w:pPr>
                    <w:autoSpaceDE w:val="0"/>
                    <w:autoSpaceDN w:val="0"/>
                    <w:spacing w:line="240" w:lineRule="auto"/>
                    <w:ind w:firstLine="0" w:firstLineChars="0"/>
                    <w:jc w:val="center"/>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下午</w:t>
                  </w:r>
                </w:p>
              </w:tc>
              <w:tc>
                <w:tcPr>
                  <w:tcW w:w="687" w:type="pct"/>
                  <w:vMerge w:val="continue"/>
                  <w:vAlign w:val="center"/>
                </w:tcPr>
                <w:p w14:paraId="3584C187">
                  <w:pPr>
                    <w:autoSpaceDE w:val="0"/>
                    <w:autoSpaceDN w:val="0"/>
                    <w:spacing w:line="240" w:lineRule="auto"/>
                    <w:ind w:firstLine="0" w:firstLineChars="0"/>
                    <w:jc w:val="center"/>
                    <w:rPr>
                      <w:rFonts w:hint="eastAsia"/>
                      <w:color w:val="000000" w:themeColor="text1"/>
                      <w:lang w:val="en-US" w:eastAsia="zh-CN"/>
                      <w14:textFill>
                        <w14:solidFill>
                          <w14:schemeClr w14:val="tx1"/>
                        </w14:solidFill>
                      </w14:textFill>
                    </w:rPr>
                  </w:pPr>
                </w:p>
              </w:tc>
              <w:tc>
                <w:tcPr>
                  <w:tcW w:w="600" w:type="pct"/>
                  <w:vMerge w:val="continue"/>
                  <w:vAlign w:val="center"/>
                </w:tcPr>
                <w:p w14:paraId="701FB8B6">
                  <w:pPr>
                    <w:autoSpaceDE w:val="0"/>
                    <w:autoSpaceDN w:val="0"/>
                    <w:spacing w:line="240" w:lineRule="auto"/>
                    <w:ind w:firstLine="0" w:firstLineChars="0"/>
                    <w:jc w:val="center"/>
                    <w:rPr>
                      <w:rFonts w:hint="eastAsia"/>
                      <w:color w:val="000000" w:themeColor="text1"/>
                      <w:lang w:val="en-US" w:eastAsia="zh-CN"/>
                      <w14:textFill>
                        <w14:solidFill>
                          <w14:schemeClr w14:val="tx1"/>
                        </w14:solidFill>
                      </w14:textFill>
                    </w:rPr>
                  </w:pPr>
                </w:p>
              </w:tc>
            </w:tr>
            <w:tr w14:paraId="005AC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 w:hRule="atLeast"/>
              </w:trPr>
              <w:tc>
                <w:tcPr>
                  <w:tcW w:w="464" w:type="pct"/>
                  <w:vMerge w:val="restart"/>
                  <w:vAlign w:val="center"/>
                </w:tcPr>
                <w:p w14:paraId="69774F1B">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废水</w:t>
                  </w:r>
                  <w:r>
                    <w:rPr>
                      <w:rFonts w:hint="eastAsia"/>
                      <w:color w:val="000000" w:themeColor="text1"/>
                      <w:sz w:val="21"/>
                      <w:szCs w:val="21"/>
                      <w:lang w:val="en-US" w:eastAsia="zh-CN"/>
                      <w14:textFill>
                        <w14:solidFill>
                          <w14:schemeClr w14:val="tx1"/>
                        </w14:solidFill>
                      </w14:textFill>
                    </w:rPr>
                    <w:t>出</w:t>
                  </w:r>
                  <w:r>
                    <w:rPr>
                      <w:rFonts w:hint="eastAsia"/>
                      <w:color w:val="000000" w:themeColor="text1"/>
                      <w:sz w:val="21"/>
                      <w:szCs w:val="21"/>
                      <w14:textFill>
                        <w14:solidFill>
                          <w14:schemeClr w14:val="tx1"/>
                        </w14:solidFill>
                      </w14:textFill>
                    </w:rPr>
                    <w:t>口</w:t>
                  </w:r>
                </w:p>
              </w:tc>
              <w:tc>
                <w:tcPr>
                  <w:tcW w:w="832" w:type="pct"/>
                  <w:vMerge w:val="restart"/>
                  <w:vAlign w:val="center"/>
                </w:tcPr>
                <w:p w14:paraId="4DA1E5DE">
                  <w:pPr>
                    <w:autoSpaceDE w:val="0"/>
                    <w:autoSpaceDN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14:textFill>
                        <w14:solidFill>
                          <w14:schemeClr w14:val="tx1"/>
                        </w14:solidFill>
                      </w14:textFill>
                    </w:rPr>
                    <w:t>рH</w:t>
                  </w:r>
                  <w:r>
                    <w:rPr>
                      <w:rFonts w:hint="eastAsia" w:ascii="Times New Roman" w:hAnsi="Times New Roman" w:cs="Times New Roman"/>
                      <w:b w:val="0"/>
                      <w:bCs w:val="0"/>
                      <w:color w:val="000000" w:themeColor="text1"/>
                      <w:sz w:val="21"/>
                      <w:szCs w:val="21"/>
                      <w:lang w:eastAsia="zh-CN"/>
                      <w14:textFill>
                        <w14:solidFill>
                          <w14:schemeClr w14:val="tx1"/>
                        </w14:solidFill>
                      </w14:textFill>
                    </w:rPr>
                    <w:t>（</w:t>
                  </w:r>
                  <w:r>
                    <w:rPr>
                      <w:rFonts w:hint="eastAsia" w:ascii="Times New Roman" w:hAnsi="Times New Roman" w:cs="Times New Roman"/>
                      <w:b w:val="0"/>
                      <w:bCs w:val="0"/>
                      <w:color w:val="000000" w:themeColor="text1"/>
                      <w:sz w:val="21"/>
                      <w:szCs w:val="21"/>
                      <w:lang w:val="en-US" w:eastAsia="zh-CN"/>
                      <w14:textFill>
                        <w14:solidFill>
                          <w14:schemeClr w14:val="tx1"/>
                        </w14:solidFill>
                      </w14:textFill>
                    </w:rPr>
                    <w:t>无量纲）</w:t>
                  </w:r>
                </w:p>
              </w:tc>
              <w:tc>
                <w:tcPr>
                  <w:tcW w:w="1042" w:type="pct"/>
                  <w:vAlign w:val="center"/>
                </w:tcPr>
                <w:p w14:paraId="5E4DC946">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2014.9.21</w:t>
                  </w:r>
                </w:p>
              </w:tc>
              <w:tc>
                <w:tcPr>
                  <w:tcW w:w="654" w:type="pct"/>
                  <w:vAlign w:val="center"/>
                </w:tcPr>
                <w:p w14:paraId="138FCBCA">
                  <w:pPr>
                    <w:autoSpaceDE w:val="0"/>
                    <w:autoSpaceDN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6. 96</w:t>
                  </w:r>
                </w:p>
              </w:tc>
              <w:tc>
                <w:tcPr>
                  <w:tcW w:w="718" w:type="pct"/>
                  <w:vAlign w:val="center"/>
                </w:tcPr>
                <w:p w14:paraId="71438378">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6.87</w:t>
                  </w:r>
                </w:p>
              </w:tc>
              <w:tc>
                <w:tcPr>
                  <w:tcW w:w="687" w:type="pct"/>
                  <w:vMerge w:val="restart"/>
                  <w:vAlign w:val="center"/>
                </w:tcPr>
                <w:p w14:paraId="2885E35B">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6~9</w:t>
                  </w:r>
                </w:p>
              </w:tc>
              <w:tc>
                <w:tcPr>
                  <w:tcW w:w="600" w:type="pct"/>
                  <w:vMerge w:val="restart"/>
                  <w:vAlign w:val="center"/>
                </w:tcPr>
                <w:p w14:paraId="3E0C6DF5">
                  <w:pPr>
                    <w:autoSpaceDE w:val="0"/>
                    <w:autoSpaceDN w:val="0"/>
                    <w:spacing w:line="240" w:lineRule="auto"/>
                    <w:ind w:firstLine="0" w:firstLineChars="0"/>
                    <w:jc w:val="center"/>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合格</w:t>
                  </w:r>
                </w:p>
              </w:tc>
            </w:tr>
            <w:tr w14:paraId="7E6DE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64" w:type="pct"/>
                  <w:vMerge w:val="continue"/>
                  <w:vAlign w:val="center"/>
                </w:tcPr>
                <w:p w14:paraId="5FCFD975">
                  <w:pPr>
                    <w:autoSpaceDE w:val="0"/>
                    <w:autoSpaceDN w:val="0"/>
                    <w:spacing w:line="240" w:lineRule="auto"/>
                    <w:ind w:firstLine="0" w:firstLineChars="0"/>
                    <w:jc w:val="center"/>
                    <w:rPr>
                      <w:color w:val="000000" w:themeColor="text1"/>
                      <w14:textFill>
                        <w14:solidFill>
                          <w14:schemeClr w14:val="tx1"/>
                        </w14:solidFill>
                      </w14:textFill>
                    </w:rPr>
                  </w:pPr>
                </w:p>
              </w:tc>
              <w:tc>
                <w:tcPr>
                  <w:tcW w:w="832" w:type="pct"/>
                  <w:vMerge w:val="continue"/>
                  <w:vAlign w:val="center"/>
                </w:tcPr>
                <w:p w14:paraId="7F280787">
                  <w:pPr>
                    <w:autoSpaceDE w:val="0"/>
                    <w:autoSpaceDN w:val="0"/>
                    <w:spacing w:line="240" w:lineRule="auto"/>
                    <w:ind w:firstLine="0" w:firstLineChars="0"/>
                    <w:jc w:val="center"/>
                    <w:rPr>
                      <w:color w:val="000000" w:themeColor="text1"/>
                      <w14:textFill>
                        <w14:solidFill>
                          <w14:schemeClr w14:val="tx1"/>
                        </w14:solidFill>
                      </w14:textFill>
                    </w:rPr>
                  </w:pPr>
                </w:p>
              </w:tc>
              <w:tc>
                <w:tcPr>
                  <w:tcW w:w="1042" w:type="pct"/>
                  <w:vAlign w:val="center"/>
                </w:tcPr>
                <w:p w14:paraId="15F8D4D4">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2014.9.22</w:t>
                  </w:r>
                </w:p>
              </w:tc>
              <w:tc>
                <w:tcPr>
                  <w:tcW w:w="654" w:type="pct"/>
                  <w:vAlign w:val="center"/>
                </w:tcPr>
                <w:p w14:paraId="1823E255">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6.90</w:t>
                  </w:r>
                </w:p>
              </w:tc>
              <w:tc>
                <w:tcPr>
                  <w:tcW w:w="718" w:type="pct"/>
                  <w:vAlign w:val="center"/>
                </w:tcPr>
                <w:p w14:paraId="1470590E">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6.94</w:t>
                  </w:r>
                </w:p>
              </w:tc>
              <w:tc>
                <w:tcPr>
                  <w:tcW w:w="687" w:type="pct"/>
                  <w:vMerge w:val="continue"/>
                  <w:vAlign w:val="center"/>
                </w:tcPr>
                <w:p w14:paraId="4B581482">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p>
              </w:tc>
              <w:tc>
                <w:tcPr>
                  <w:tcW w:w="600" w:type="pct"/>
                  <w:vMerge w:val="continue"/>
                  <w:vAlign w:val="center"/>
                </w:tcPr>
                <w:p w14:paraId="1792E1CA">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p>
              </w:tc>
            </w:tr>
            <w:tr w14:paraId="3E4C7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 w:hRule="atLeast"/>
              </w:trPr>
              <w:tc>
                <w:tcPr>
                  <w:tcW w:w="464" w:type="pct"/>
                  <w:vMerge w:val="continue"/>
                  <w:vAlign w:val="center"/>
                </w:tcPr>
                <w:p w14:paraId="08CCEA00">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p>
              </w:tc>
              <w:tc>
                <w:tcPr>
                  <w:tcW w:w="832" w:type="pct"/>
                  <w:vMerge w:val="continue"/>
                  <w:vAlign w:val="center"/>
                </w:tcPr>
                <w:p w14:paraId="2A3709A3">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p>
              </w:tc>
              <w:tc>
                <w:tcPr>
                  <w:tcW w:w="1042" w:type="pct"/>
                  <w:vAlign w:val="center"/>
                </w:tcPr>
                <w:p w14:paraId="2BEBBD55">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2014. 9.23</w:t>
                  </w:r>
                </w:p>
              </w:tc>
              <w:tc>
                <w:tcPr>
                  <w:tcW w:w="654" w:type="pct"/>
                  <w:vAlign w:val="center"/>
                </w:tcPr>
                <w:p w14:paraId="4C7983FA">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6.88</w:t>
                  </w:r>
                </w:p>
              </w:tc>
              <w:tc>
                <w:tcPr>
                  <w:tcW w:w="718" w:type="pct"/>
                  <w:vAlign w:val="center"/>
                </w:tcPr>
                <w:p w14:paraId="56E40621">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6.79</w:t>
                  </w:r>
                </w:p>
              </w:tc>
              <w:tc>
                <w:tcPr>
                  <w:tcW w:w="687" w:type="pct"/>
                  <w:vMerge w:val="continue"/>
                  <w:vAlign w:val="center"/>
                </w:tcPr>
                <w:p w14:paraId="2EF49CD6">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p>
              </w:tc>
              <w:tc>
                <w:tcPr>
                  <w:tcW w:w="600" w:type="pct"/>
                  <w:vMerge w:val="continue"/>
                  <w:vAlign w:val="center"/>
                </w:tcPr>
                <w:p w14:paraId="25EAC94C">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p>
              </w:tc>
            </w:tr>
            <w:tr w14:paraId="178FA6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 w:hRule="atLeast"/>
              </w:trPr>
              <w:tc>
                <w:tcPr>
                  <w:tcW w:w="464" w:type="pct"/>
                  <w:vMerge w:val="continue"/>
                  <w:vAlign w:val="center"/>
                </w:tcPr>
                <w:p w14:paraId="72FA9D50">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p>
              </w:tc>
              <w:tc>
                <w:tcPr>
                  <w:tcW w:w="832" w:type="pct"/>
                  <w:vMerge w:val="restart"/>
                  <w:vAlign w:val="center"/>
                </w:tcPr>
                <w:p w14:paraId="66C87286">
                  <w:pPr>
                    <w:autoSpaceDE w:val="0"/>
                    <w:autoSpaceDN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悬浮物(mg/L)</w:t>
                  </w:r>
                </w:p>
              </w:tc>
              <w:tc>
                <w:tcPr>
                  <w:tcW w:w="1042" w:type="pct"/>
                  <w:vAlign w:val="center"/>
                </w:tcPr>
                <w:p w14:paraId="24560A0C">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2014.9.21</w:t>
                  </w:r>
                </w:p>
              </w:tc>
              <w:tc>
                <w:tcPr>
                  <w:tcW w:w="654" w:type="pct"/>
                  <w:vAlign w:val="center"/>
                </w:tcPr>
                <w:p w14:paraId="31168173">
                  <w:pPr>
                    <w:autoSpaceDE w:val="0"/>
                    <w:autoSpaceDN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27.3</w:t>
                  </w:r>
                </w:p>
              </w:tc>
              <w:tc>
                <w:tcPr>
                  <w:tcW w:w="718" w:type="pct"/>
                  <w:vAlign w:val="center"/>
                </w:tcPr>
                <w:p w14:paraId="7FFA1763">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30.0</w:t>
                  </w:r>
                </w:p>
              </w:tc>
              <w:tc>
                <w:tcPr>
                  <w:tcW w:w="687" w:type="pct"/>
                  <w:vMerge w:val="restart"/>
                  <w:vAlign w:val="center"/>
                </w:tcPr>
                <w:p w14:paraId="50FB6419">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70</w:t>
                  </w:r>
                </w:p>
              </w:tc>
              <w:tc>
                <w:tcPr>
                  <w:tcW w:w="600" w:type="pct"/>
                  <w:vMerge w:val="restart"/>
                  <w:vAlign w:val="center"/>
                </w:tcPr>
                <w:p w14:paraId="7B943088">
                  <w:pPr>
                    <w:autoSpaceDE w:val="0"/>
                    <w:autoSpaceDN w:val="0"/>
                    <w:spacing w:line="240" w:lineRule="auto"/>
                    <w:ind w:firstLine="0" w:firstLineChars="0"/>
                    <w:jc w:val="center"/>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合格</w:t>
                  </w:r>
                </w:p>
              </w:tc>
            </w:tr>
            <w:tr w14:paraId="29590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 w:hRule="atLeast"/>
              </w:trPr>
              <w:tc>
                <w:tcPr>
                  <w:tcW w:w="464" w:type="pct"/>
                  <w:vMerge w:val="continue"/>
                  <w:vAlign w:val="center"/>
                </w:tcPr>
                <w:p w14:paraId="24F2E8B8">
                  <w:pPr>
                    <w:autoSpaceDE w:val="0"/>
                    <w:autoSpaceDN w:val="0"/>
                    <w:spacing w:line="240" w:lineRule="auto"/>
                    <w:ind w:firstLine="0" w:firstLineChars="0"/>
                    <w:jc w:val="center"/>
                    <w:rPr>
                      <w:color w:val="000000" w:themeColor="text1"/>
                      <w14:textFill>
                        <w14:solidFill>
                          <w14:schemeClr w14:val="tx1"/>
                        </w14:solidFill>
                      </w14:textFill>
                    </w:rPr>
                  </w:pPr>
                </w:p>
              </w:tc>
              <w:tc>
                <w:tcPr>
                  <w:tcW w:w="832" w:type="pct"/>
                  <w:vMerge w:val="continue"/>
                  <w:vAlign w:val="center"/>
                </w:tcPr>
                <w:p w14:paraId="1C0F33DF">
                  <w:pPr>
                    <w:autoSpaceDE w:val="0"/>
                    <w:autoSpaceDN w:val="0"/>
                    <w:spacing w:line="240" w:lineRule="auto"/>
                    <w:ind w:firstLine="0" w:firstLineChars="0"/>
                    <w:jc w:val="center"/>
                    <w:rPr>
                      <w:color w:val="000000" w:themeColor="text1"/>
                      <w14:textFill>
                        <w14:solidFill>
                          <w14:schemeClr w14:val="tx1"/>
                        </w14:solidFill>
                      </w14:textFill>
                    </w:rPr>
                  </w:pPr>
                </w:p>
              </w:tc>
              <w:tc>
                <w:tcPr>
                  <w:tcW w:w="1042" w:type="pct"/>
                  <w:vAlign w:val="center"/>
                </w:tcPr>
                <w:p w14:paraId="3D1221C0">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2014.9.22</w:t>
                  </w:r>
                </w:p>
              </w:tc>
              <w:tc>
                <w:tcPr>
                  <w:tcW w:w="654" w:type="pct"/>
                  <w:vAlign w:val="center"/>
                </w:tcPr>
                <w:p w14:paraId="383560EE">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26.4</w:t>
                  </w:r>
                </w:p>
              </w:tc>
              <w:tc>
                <w:tcPr>
                  <w:tcW w:w="718" w:type="pct"/>
                  <w:vAlign w:val="center"/>
                </w:tcPr>
                <w:p w14:paraId="25F40486">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28.2</w:t>
                  </w:r>
                </w:p>
              </w:tc>
              <w:tc>
                <w:tcPr>
                  <w:tcW w:w="687" w:type="pct"/>
                  <w:vMerge w:val="continue"/>
                  <w:vAlign w:val="center"/>
                </w:tcPr>
                <w:p w14:paraId="2A0B3323">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p>
              </w:tc>
              <w:tc>
                <w:tcPr>
                  <w:tcW w:w="600" w:type="pct"/>
                  <w:vMerge w:val="continue"/>
                  <w:vAlign w:val="center"/>
                </w:tcPr>
                <w:p w14:paraId="2A305FF3">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p>
              </w:tc>
            </w:tr>
            <w:tr w14:paraId="4CC51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 w:hRule="atLeast"/>
              </w:trPr>
              <w:tc>
                <w:tcPr>
                  <w:tcW w:w="464" w:type="pct"/>
                  <w:vMerge w:val="continue"/>
                  <w:vAlign w:val="center"/>
                </w:tcPr>
                <w:p w14:paraId="40425B7D">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p>
              </w:tc>
              <w:tc>
                <w:tcPr>
                  <w:tcW w:w="832" w:type="pct"/>
                  <w:vMerge w:val="continue"/>
                  <w:vAlign w:val="center"/>
                </w:tcPr>
                <w:p w14:paraId="79346345">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p>
              </w:tc>
              <w:tc>
                <w:tcPr>
                  <w:tcW w:w="1042" w:type="pct"/>
                  <w:vAlign w:val="center"/>
                </w:tcPr>
                <w:p w14:paraId="28DBF0B2">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2014. 9.23</w:t>
                  </w:r>
                </w:p>
              </w:tc>
              <w:tc>
                <w:tcPr>
                  <w:tcW w:w="654" w:type="pct"/>
                  <w:vAlign w:val="center"/>
                </w:tcPr>
                <w:p w14:paraId="4500C9D2">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24.6</w:t>
                  </w:r>
                </w:p>
              </w:tc>
              <w:tc>
                <w:tcPr>
                  <w:tcW w:w="718" w:type="pct"/>
                  <w:vAlign w:val="center"/>
                </w:tcPr>
                <w:p w14:paraId="41D3A32D">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14:textFill>
                        <w14:solidFill>
                          <w14:schemeClr w14:val="tx1"/>
                        </w14:solidFill>
                      </w14:textFill>
                    </w:rPr>
                    <w:t>25.8</w:t>
                  </w:r>
                </w:p>
              </w:tc>
              <w:tc>
                <w:tcPr>
                  <w:tcW w:w="687" w:type="pct"/>
                  <w:vMerge w:val="continue"/>
                  <w:vAlign w:val="center"/>
                </w:tcPr>
                <w:p w14:paraId="6679470C">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p>
              </w:tc>
              <w:tc>
                <w:tcPr>
                  <w:tcW w:w="600" w:type="pct"/>
                  <w:vMerge w:val="continue"/>
                  <w:vAlign w:val="center"/>
                </w:tcPr>
                <w:p w14:paraId="048036F3">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p>
              </w:tc>
            </w:tr>
            <w:tr w14:paraId="688EB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 w:hRule="atLeast"/>
              </w:trPr>
              <w:tc>
                <w:tcPr>
                  <w:tcW w:w="464" w:type="pct"/>
                  <w:vMerge w:val="continue"/>
                  <w:vAlign w:val="center"/>
                </w:tcPr>
                <w:p w14:paraId="5536FFBB">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p>
              </w:tc>
              <w:tc>
                <w:tcPr>
                  <w:tcW w:w="832" w:type="pct"/>
                  <w:vMerge w:val="restart"/>
                  <w:vAlign w:val="center"/>
                </w:tcPr>
                <w:p w14:paraId="60EF0ED5">
                  <w:pPr>
                    <w:autoSpaceDE w:val="0"/>
                    <w:autoSpaceDN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化学需氧量(mg/L)</w:t>
                  </w:r>
                </w:p>
              </w:tc>
              <w:tc>
                <w:tcPr>
                  <w:tcW w:w="1042" w:type="pct"/>
                  <w:vAlign w:val="center"/>
                </w:tcPr>
                <w:p w14:paraId="3124E323">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2014.9.21</w:t>
                  </w:r>
                </w:p>
              </w:tc>
              <w:tc>
                <w:tcPr>
                  <w:tcW w:w="654" w:type="pct"/>
                  <w:vAlign w:val="center"/>
                </w:tcPr>
                <w:p w14:paraId="6EA479C9">
                  <w:pPr>
                    <w:autoSpaceDE w:val="0"/>
                    <w:autoSpaceDN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86.8</w:t>
                  </w:r>
                </w:p>
              </w:tc>
              <w:tc>
                <w:tcPr>
                  <w:tcW w:w="718" w:type="pct"/>
                  <w:vAlign w:val="center"/>
                </w:tcPr>
                <w:p w14:paraId="47E52BEE">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88. 1</w:t>
                  </w:r>
                </w:p>
              </w:tc>
              <w:tc>
                <w:tcPr>
                  <w:tcW w:w="687" w:type="pct"/>
                  <w:vMerge w:val="restart"/>
                  <w:vAlign w:val="center"/>
                </w:tcPr>
                <w:p w14:paraId="434025A1">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100</w:t>
                  </w:r>
                </w:p>
              </w:tc>
              <w:tc>
                <w:tcPr>
                  <w:tcW w:w="600" w:type="pct"/>
                  <w:vMerge w:val="restart"/>
                  <w:vAlign w:val="center"/>
                </w:tcPr>
                <w:p w14:paraId="7F1BE6DD">
                  <w:pPr>
                    <w:autoSpaceDE w:val="0"/>
                    <w:autoSpaceDN w:val="0"/>
                    <w:spacing w:line="240" w:lineRule="auto"/>
                    <w:ind w:firstLine="0" w:firstLineChars="0"/>
                    <w:jc w:val="center"/>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合格</w:t>
                  </w:r>
                </w:p>
              </w:tc>
            </w:tr>
            <w:tr w14:paraId="20936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464" w:type="pct"/>
                  <w:vMerge w:val="continue"/>
                  <w:vAlign w:val="center"/>
                </w:tcPr>
                <w:p w14:paraId="01128408">
                  <w:pPr>
                    <w:autoSpaceDE w:val="0"/>
                    <w:autoSpaceDN w:val="0"/>
                    <w:spacing w:line="240" w:lineRule="auto"/>
                    <w:ind w:firstLine="0" w:firstLineChars="0"/>
                    <w:jc w:val="center"/>
                    <w:rPr>
                      <w:color w:val="000000" w:themeColor="text1"/>
                      <w14:textFill>
                        <w14:solidFill>
                          <w14:schemeClr w14:val="tx1"/>
                        </w14:solidFill>
                      </w14:textFill>
                    </w:rPr>
                  </w:pPr>
                </w:p>
              </w:tc>
              <w:tc>
                <w:tcPr>
                  <w:tcW w:w="832" w:type="pct"/>
                  <w:vMerge w:val="continue"/>
                  <w:vAlign w:val="center"/>
                </w:tcPr>
                <w:p w14:paraId="5C5E9ECF">
                  <w:pPr>
                    <w:autoSpaceDE w:val="0"/>
                    <w:autoSpaceDN w:val="0"/>
                    <w:spacing w:line="240" w:lineRule="auto"/>
                    <w:ind w:firstLine="0" w:firstLineChars="0"/>
                    <w:jc w:val="center"/>
                    <w:rPr>
                      <w:color w:val="000000" w:themeColor="text1"/>
                      <w14:textFill>
                        <w14:solidFill>
                          <w14:schemeClr w14:val="tx1"/>
                        </w14:solidFill>
                      </w14:textFill>
                    </w:rPr>
                  </w:pPr>
                </w:p>
              </w:tc>
              <w:tc>
                <w:tcPr>
                  <w:tcW w:w="1042" w:type="pct"/>
                  <w:vAlign w:val="center"/>
                </w:tcPr>
                <w:p w14:paraId="172CA93B">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2014.9.22</w:t>
                  </w:r>
                </w:p>
              </w:tc>
              <w:tc>
                <w:tcPr>
                  <w:tcW w:w="654" w:type="pct"/>
                  <w:vAlign w:val="center"/>
                </w:tcPr>
                <w:p w14:paraId="664723C0">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87.4</w:t>
                  </w:r>
                </w:p>
              </w:tc>
              <w:tc>
                <w:tcPr>
                  <w:tcW w:w="718" w:type="pct"/>
                  <w:vAlign w:val="center"/>
                </w:tcPr>
                <w:p w14:paraId="6493A432">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86.2</w:t>
                  </w:r>
                </w:p>
              </w:tc>
              <w:tc>
                <w:tcPr>
                  <w:tcW w:w="687" w:type="pct"/>
                  <w:vMerge w:val="continue"/>
                  <w:vAlign w:val="center"/>
                </w:tcPr>
                <w:p w14:paraId="4BC7675C">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p>
              </w:tc>
              <w:tc>
                <w:tcPr>
                  <w:tcW w:w="600" w:type="pct"/>
                  <w:vMerge w:val="continue"/>
                  <w:vAlign w:val="center"/>
                </w:tcPr>
                <w:p w14:paraId="25A7BA34">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p>
              </w:tc>
            </w:tr>
            <w:tr w14:paraId="468C0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 w:hRule="atLeast"/>
              </w:trPr>
              <w:tc>
                <w:tcPr>
                  <w:tcW w:w="464" w:type="pct"/>
                  <w:vMerge w:val="continue"/>
                  <w:vAlign w:val="center"/>
                </w:tcPr>
                <w:p w14:paraId="64598640">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p>
              </w:tc>
              <w:tc>
                <w:tcPr>
                  <w:tcW w:w="832" w:type="pct"/>
                  <w:vMerge w:val="continue"/>
                  <w:vAlign w:val="center"/>
                </w:tcPr>
                <w:p w14:paraId="005D3221">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p>
              </w:tc>
              <w:tc>
                <w:tcPr>
                  <w:tcW w:w="1042" w:type="pct"/>
                  <w:vAlign w:val="center"/>
                </w:tcPr>
                <w:p w14:paraId="497964DA">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2014. 9.23</w:t>
                  </w:r>
                </w:p>
              </w:tc>
              <w:tc>
                <w:tcPr>
                  <w:tcW w:w="654" w:type="pct"/>
                  <w:vAlign w:val="center"/>
                </w:tcPr>
                <w:p w14:paraId="4742D4CD">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88.3</w:t>
                  </w:r>
                </w:p>
              </w:tc>
              <w:tc>
                <w:tcPr>
                  <w:tcW w:w="718" w:type="pct"/>
                  <w:vAlign w:val="center"/>
                </w:tcPr>
                <w:p w14:paraId="1B101FF4">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14:textFill>
                        <w14:solidFill>
                          <w14:schemeClr w14:val="tx1"/>
                        </w14:solidFill>
                      </w14:textFill>
                    </w:rPr>
                    <w:t>87.6</w:t>
                  </w:r>
                </w:p>
              </w:tc>
              <w:tc>
                <w:tcPr>
                  <w:tcW w:w="687" w:type="pct"/>
                  <w:vMerge w:val="continue"/>
                  <w:vAlign w:val="center"/>
                </w:tcPr>
                <w:p w14:paraId="4F9CFFDD">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p>
              </w:tc>
              <w:tc>
                <w:tcPr>
                  <w:tcW w:w="600" w:type="pct"/>
                  <w:vMerge w:val="continue"/>
                  <w:vAlign w:val="center"/>
                </w:tcPr>
                <w:p w14:paraId="5D198422">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p>
              </w:tc>
            </w:tr>
            <w:tr w14:paraId="10C49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 w:hRule="atLeast"/>
              </w:trPr>
              <w:tc>
                <w:tcPr>
                  <w:tcW w:w="464" w:type="pct"/>
                  <w:vMerge w:val="continue"/>
                  <w:vAlign w:val="center"/>
                </w:tcPr>
                <w:p w14:paraId="5CDBA02B">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p>
              </w:tc>
              <w:tc>
                <w:tcPr>
                  <w:tcW w:w="832" w:type="pct"/>
                  <w:vMerge w:val="restart"/>
                  <w:vAlign w:val="center"/>
                </w:tcPr>
                <w:p w14:paraId="6525135D">
                  <w:pPr>
                    <w:autoSpaceDE w:val="0"/>
                    <w:autoSpaceDN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生化需氧量(mg/L)</w:t>
                  </w:r>
                </w:p>
              </w:tc>
              <w:tc>
                <w:tcPr>
                  <w:tcW w:w="1042" w:type="pct"/>
                  <w:vAlign w:val="center"/>
                </w:tcPr>
                <w:p w14:paraId="6D46DD21">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2014.9.21</w:t>
                  </w:r>
                </w:p>
              </w:tc>
              <w:tc>
                <w:tcPr>
                  <w:tcW w:w="654" w:type="pct"/>
                  <w:vAlign w:val="center"/>
                </w:tcPr>
                <w:p w14:paraId="258188F6">
                  <w:pPr>
                    <w:autoSpaceDE w:val="0"/>
                    <w:autoSpaceDN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12.4</w:t>
                  </w:r>
                </w:p>
              </w:tc>
              <w:tc>
                <w:tcPr>
                  <w:tcW w:w="718" w:type="pct"/>
                  <w:vAlign w:val="center"/>
                </w:tcPr>
                <w:p w14:paraId="1F609C74">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10.6</w:t>
                  </w:r>
                </w:p>
              </w:tc>
              <w:tc>
                <w:tcPr>
                  <w:tcW w:w="687" w:type="pct"/>
                  <w:vMerge w:val="restart"/>
                  <w:vAlign w:val="center"/>
                </w:tcPr>
                <w:p w14:paraId="6A1622F1">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20</w:t>
                  </w:r>
                </w:p>
              </w:tc>
              <w:tc>
                <w:tcPr>
                  <w:tcW w:w="600" w:type="pct"/>
                  <w:vMerge w:val="restart"/>
                  <w:vAlign w:val="center"/>
                </w:tcPr>
                <w:p w14:paraId="412D0932">
                  <w:pPr>
                    <w:autoSpaceDE w:val="0"/>
                    <w:autoSpaceDN w:val="0"/>
                    <w:spacing w:line="240" w:lineRule="auto"/>
                    <w:ind w:firstLine="0" w:firstLineChars="0"/>
                    <w:jc w:val="center"/>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合格</w:t>
                  </w:r>
                </w:p>
              </w:tc>
            </w:tr>
            <w:tr w14:paraId="5E47D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 w:hRule="atLeast"/>
              </w:trPr>
              <w:tc>
                <w:tcPr>
                  <w:tcW w:w="464" w:type="pct"/>
                  <w:vMerge w:val="continue"/>
                  <w:vAlign w:val="center"/>
                </w:tcPr>
                <w:p w14:paraId="723D4389">
                  <w:pPr>
                    <w:autoSpaceDE w:val="0"/>
                    <w:autoSpaceDN w:val="0"/>
                    <w:spacing w:line="240" w:lineRule="auto"/>
                    <w:ind w:firstLine="0" w:firstLineChars="0"/>
                    <w:jc w:val="center"/>
                    <w:rPr>
                      <w:color w:val="000000" w:themeColor="text1"/>
                      <w14:textFill>
                        <w14:solidFill>
                          <w14:schemeClr w14:val="tx1"/>
                        </w14:solidFill>
                      </w14:textFill>
                    </w:rPr>
                  </w:pPr>
                </w:p>
              </w:tc>
              <w:tc>
                <w:tcPr>
                  <w:tcW w:w="832" w:type="pct"/>
                  <w:vMerge w:val="continue"/>
                  <w:vAlign w:val="center"/>
                </w:tcPr>
                <w:p w14:paraId="5E5E7600">
                  <w:pPr>
                    <w:autoSpaceDE w:val="0"/>
                    <w:autoSpaceDN w:val="0"/>
                    <w:spacing w:line="240" w:lineRule="auto"/>
                    <w:ind w:firstLine="0" w:firstLineChars="0"/>
                    <w:jc w:val="center"/>
                    <w:rPr>
                      <w:color w:val="000000" w:themeColor="text1"/>
                      <w14:textFill>
                        <w14:solidFill>
                          <w14:schemeClr w14:val="tx1"/>
                        </w14:solidFill>
                      </w14:textFill>
                    </w:rPr>
                  </w:pPr>
                </w:p>
              </w:tc>
              <w:tc>
                <w:tcPr>
                  <w:tcW w:w="1042" w:type="pct"/>
                  <w:vAlign w:val="center"/>
                </w:tcPr>
                <w:p w14:paraId="5661753D">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2014.9.22</w:t>
                  </w:r>
                </w:p>
              </w:tc>
              <w:tc>
                <w:tcPr>
                  <w:tcW w:w="654" w:type="pct"/>
                  <w:vAlign w:val="center"/>
                </w:tcPr>
                <w:p w14:paraId="1DA2DE59">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18. 5</w:t>
                  </w:r>
                </w:p>
              </w:tc>
              <w:tc>
                <w:tcPr>
                  <w:tcW w:w="718" w:type="pct"/>
                  <w:vAlign w:val="center"/>
                </w:tcPr>
                <w:p w14:paraId="7F8D52F9">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16.3</w:t>
                  </w:r>
                </w:p>
              </w:tc>
              <w:tc>
                <w:tcPr>
                  <w:tcW w:w="687" w:type="pct"/>
                  <w:vMerge w:val="continue"/>
                  <w:vAlign w:val="center"/>
                </w:tcPr>
                <w:p w14:paraId="4AB56FC0">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p>
              </w:tc>
              <w:tc>
                <w:tcPr>
                  <w:tcW w:w="600" w:type="pct"/>
                  <w:vMerge w:val="continue"/>
                  <w:vAlign w:val="center"/>
                </w:tcPr>
                <w:p w14:paraId="3AADAC0D">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p>
              </w:tc>
            </w:tr>
            <w:tr w14:paraId="0D7DE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 w:hRule="atLeast"/>
              </w:trPr>
              <w:tc>
                <w:tcPr>
                  <w:tcW w:w="464" w:type="pct"/>
                  <w:vMerge w:val="continue"/>
                  <w:vAlign w:val="center"/>
                </w:tcPr>
                <w:p w14:paraId="2D23F412">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p>
              </w:tc>
              <w:tc>
                <w:tcPr>
                  <w:tcW w:w="832" w:type="pct"/>
                  <w:vMerge w:val="continue"/>
                  <w:vAlign w:val="center"/>
                </w:tcPr>
                <w:p w14:paraId="0B0A1ECF">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p>
              </w:tc>
              <w:tc>
                <w:tcPr>
                  <w:tcW w:w="1042" w:type="pct"/>
                  <w:vAlign w:val="center"/>
                </w:tcPr>
                <w:p w14:paraId="7079FC48">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2014. 9.23</w:t>
                  </w:r>
                </w:p>
              </w:tc>
              <w:tc>
                <w:tcPr>
                  <w:tcW w:w="654" w:type="pct"/>
                  <w:vAlign w:val="center"/>
                </w:tcPr>
                <w:p w14:paraId="591D5B59">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10.1</w:t>
                  </w:r>
                </w:p>
              </w:tc>
              <w:tc>
                <w:tcPr>
                  <w:tcW w:w="718" w:type="pct"/>
                  <w:vAlign w:val="center"/>
                </w:tcPr>
                <w:p w14:paraId="70C14024">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9.3</w:t>
                  </w:r>
                </w:p>
              </w:tc>
              <w:tc>
                <w:tcPr>
                  <w:tcW w:w="687" w:type="pct"/>
                  <w:vMerge w:val="continue"/>
                  <w:vAlign w:val="center"/>
                </w:tcPr>
                <w:p w14:paraId="6BA0220E">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p>
              </w:tc>
              <w:tc>
                <w:tcPr>
                  <w:tcW w:w="600" w:type="pct"/>
                  <w:vMerge w:val="continue"/>
                  <w:vAlign w:val="center"/>
                </w:tcPr>
                <w:p w14:paraId="33C2FE37">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p>
              </w:tc>
            </w:tr>
            <w:tr w14:paraId="626A0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 w:hRule="atLeast"/>
              </w:trPr>
              <w:tc>
                <w:tcPr>
                  <w:tcW w:w="464" w:type="pct"/>
                  <w:vMerge w:val="continue"/>
                  <w:vAlign w:val="center"/>
                </w:tcPr>
                <w:p w14:paraId="602F4071">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p>
              </w:tc>
              <w:tc>
                <w:tcPr>
                  <w:tcW w:w="832" w:type="pct"/>
                  <w:vMerge w:val="restart"/>
                  <w:vAlign w:val="center"/>
                </w:tcPr>
                <w:p w14:paraId="67486DE0">
                  <w:pPr>
                    <w:autoSpaceDE w:val="0"/>
                    <w:autoSpaceDN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氨氮(mg/L)</w:t>
                  </w:r>
                </w:p>
              </w:tc>
              <w:tc>
                <w:tcPr>
                  <w:tcW w:w="1042" w:type="pct"/>
                  <w:vAlign w:val="center"/>
                </w:tcPr>
                <w:p w14:paraId="037CE74F">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2014.9.21</w:t>
                  </w:r>
                </w:p>
              </w:tc>
              <w:tc>
                <w:tcPr>
                  <w:tcW w:w="654" w:type="pct"/>
                  <w:vAlign w:val="center"/>
                </w:tcPr>
                <w:p w14:paraId="3920A47E">
                  <w:pPr>
                    <w:autoSpaceDE w:val="0"/>
                    <w:autoSpaceDN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9.14</w:t>
                  </w:r>
                </w:p>
              </w:tc>
              <w:tc>
                <w:tcPr>
                  <w:tcW w:w="718" w:type="pct"/>
                  <w:vAlign w:val="center"/>
                </w:tcPr>
                <w:p w14:paraId="1BC0CD94">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10.58</w:t>
                  </w:r>
                </w:p>
              </w:tc>
              <w:tc>
                <w:tcPr>
                  <w:tcW w:w="687" w:type="pct"/>
                  <w:vMerge w:val="restart"/>
                  <w:vAlign w:val="center"/>
                </w:tcPr>
                <w:p w14:paraId="43EA0ACA">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15</w:t>
                  </w:r>
                </w:p>
              </w:tc>
              <w:tc>
                <w:tcPr>
                  <w:tcW w:w="600" w:type="pct"/>
                  <w:vMerge w:val="restart"/>
                  <w:vAlign w:val="center"/>
                </w:tcPr>
                <w:p w14:paraId="6243C6DC">
                  <w:pPr>
                    <w:autoSpaceDE w:val="0"/>
                    <w:autoSpaceDN w:val="0"/>
                    <w:spacing w:line="240" w:lineRule="auto"/>
                    <w:ind w:firstLine="0" w:firstLineChars="0"/>
                    <w:jc w:val="center"/>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合格</w:t>
                  </w:r>
                </w:p>
              </w:tc>
            </w:tr>
            <w:tr w14:paraId="46403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64" w:type="pct"/>
                  <w:vMerge w:val="continue"/>
                  <w:vAlign w:val="center"/>
                </w:tcPr>
                <w:p w14:paraId="2EBDA01D">
                  <w:pPr>
                    <w:autoSpaceDE w:val="0"/>
                    <w:autoSpaceDN w:val="0"/>
                    <w:spacing w:line="240" w:lineRule="auto"/>
                    <w:ind w:firstLine="0" w:firstLineChars="0"/>
                    <w:jc w:val="center"/>
                    <w:rPr>
                      <w:color w:val="000000" w:themeColor="text1"/>
                      <w14:textFill>
                        <w14:solidFill>
                          <w14:schemeClr w14:val="tx1"/>
                        </w14:solidFill>
                      </w14:textFill>
                    </w:rPr>
                  </w:pPr>
                </w:p>
              </w:tc>
              <w:tc>
                <w:tcPr>
                  <w:tcW w:w="832" w:type="pct"/>
                  <w:vMerge w:val="continue"/>
                  <w:vAlign w:val="center"/>
                </w:tcPr>
                <w:p w14:paraId="728DDA4C">
                  <w:pPr>
                    <w:autoSpaceDE w:val="0"/>
                    <w:autoSpaceDN w:val="0"/>
                    <w:spacing w:line="240" w:lineRule="auto"/>
                    <w:ind w:firstLine="0" w:firstLineChars="0"/>
                    <w:jc w:val="center"/>
                    <w:rPr>
                      <w:color w:val="000000" w:themeColor="text1"/>
                      <w14:textFill>
                        <w14:solidFill>
                          <w14:schemeClr w14:val="tx1"/>
                        </w14:solidFill>
                      </w14:textFill>
                    </w:rPr>
                  </w:pPr>
                </w:p>
              </w:tc>
              <w:tc>
                <w:tcPr>
                  <w:tcW w:w="1042" w:type="pct"/>
                  <w:vAlign w:val="center"/>
                </w:tcPr>
                <w:p w14:paraId="028B82B2">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2014.9.22</w:t>
                  </w:r>
                </w:p>
              </w:tc>
              <w:tc>
                <w:tcPr>
                  <w:tcW w:w="654" w:type="pct"/>
                  <w:vAlign w:val="center"/>
                </w:tcPr>
                <w:p w14:paraId="10CD26D6">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8.00</w:t>
                  </w:r>
                </w:p>
              </w:tc>
              <w:tc>
                <w:tcPr>
                  <w:tcW w:w="718" w:type="pct"/>
                  <w:vAlign w:val="center"/>
                </w:tcPr>
                <w:p w14:paraId="73A8BFB6">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14:textFill>
                        <w14:solidFill>
                          <w14:schemeClr w14:val="tx1"/>
                        </w14:solidFill>
                      </w14:textFill>
                    </w:rPr>
                    <w:t>11.44</w:t>
                  </w:r>
                </w:p>
              </w:tc>
              <w:tc>
                <w:tcPr>
                  <w:tcW w:w="687" w:type="pct"/>
                  <w:vMerge w:val="continue"/>
                  <w:vAlign w:val="center"/>
                </w:tcPr>
                <w:p w14:paraId="7D63C2EF">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p>
              </w:tc>
              <w:tc>
                <w:tcPr>
                  <w:tcW w:w="600" w:type="pct"/>
                  <w:vMerge w:val="continue"/>
                  <w:vAlign w:val="center"/>
                </w:tcPr>
                <w:p w14:paraId="00A551A1">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p>
              </w:tc>
            </w:tr>
            <w:tr w14:paraId="171A2C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 w:hRule="atLeast"/>
              </w:trPr>
              <w:tc>
                <w:tcPr>
                  <w:tcW w:w="464" w:type="pct"/>
                  <w:vMerge w:val="continue"/>
                  <w:vAlign w:val="center"/>
                </w:tcPr>
                <w:p w14:paraId="00D31D57">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p>
              </w:tc>
              <w:tc>
                <w:tcPr>
                  <w:tcW w:w="832" w:type="pct"/>
                  <w:vMerge w:val="continue"/>
                  <w:vAlign w:val="center"/>
                </w:tcPr>
                <w:p w14:paraId="2AD9C46D">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p>
              </w:tc>
              <w:tc>
                <w:tcPr>
                  <w:tcW w:w="1042" w:type="pct"/>
                  <w:vAlign w:val="center"/>
                </w:tcPr>
                <w:p w14:paraId="0F60C95C">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2014. 9.23</w:t>
                  </w:r>
                </w:p>
              </w:tc>
              <w:tc>
                <w:tcPr>
                  <w:tcW w:w="654" w:type="pct"/>
                  <w:vAlign w:val="center"/>
                </w:tcPr>
                <w:p w14:paraId="209498C1">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7. 13</w:t>
                  </w:r>
                </w:p>
              </w:tc>
              <w:tc>
                <w:tcPr>
                  <w:tcW w:w="718" w:type="pct"/>
                  <w:vAlign w:val="center"/>
                </w:tcPr>
                <w:p w14:paraId="0D78A83A">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14:textFill>
                        <w14:solidFill>
                          <w14:schemeClr w14:val="tx1"/>
                        </w14:solidFill>
                      </w14:textFill>
                    </w:rPr>
                    <w:t>12.30</w:t>
                  </w:r>
                </w:p>
              </w:tc>
              <w:tc>
                <w:tcPr>
                  <w:tcW w:w="687" w:type="pct"/>
                  <w:vMerge w:val="continue"/>
                  <w:vAlign w:val="center"/>
                </w:tcPr>
                <w:p w14:paraId="232720C0">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p>
              </w:tc>
              <w:tc>
                <w:tcPr>
                  <w:tcW w:w="600" w:type="pct"/>
                  <w:vMerge w:val="continue"/>
                  <w:vAlign w:val="center"/>
                </w:tcPr>
                <w:p w14:paraId="31709DA5">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p>
              </w:tc>
            </w:tr>
            <w:tr w14:paraId="1B463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64" w:type="pct"/>
                  <w:vMerge w:val="continue"/>
                  <w:vAlign w:val="center"/>
                </w:tcPr>
                <w:p w14:paraId="1F304B73">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p>
              </w:tc>
              <w:tc>
                <w:tcPr>
                  <w:tcW w:w="832" w:type="pct"/>
                  <w:vMerge w:val="restart"/>
                  <w:vAlign w:val="center"/>
                </w:tcPr>
                <w:p w14:paraId="429DE0D3">
                  <w:pPr>
                    <w:autoSpaceDE w:val="0"/>
                    <w:autoSpaceDN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动植物油(mg/L)</w:t>
                  </w:r>
                </w:p>
              </w:tc>
              <w:tc>
                <w:tcPr>
                  <w:tcW w:w="1042" w:type="pct"/>
                  <w:vAlign w:val="center"/>
                </w:tcPr>
                <w:p w14:paraId="2832DBF3">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2014.9.21</w:t>
                  </w:r>
                </w:p>
              </w:tc>
              <w:tc>
                <w:tcPr>
                  <w:tcW w:w="654" w:type="pct"/>
                  <w:vAlign w:val="center"/>
                </w:tcPr>
                <w:p w14:paraId="5E84695C">
                  <w:pPr>
                    <w:autoSpaceDE w:val="0"/>
                    <w:autoSpaceDN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0.173</w:t>
                  </w:r>
                </w:p>
              </w:tc>
              <w:tc>
                <w:tcPr>
                  <w:tcW w:w="718" w:type="pct"/>
                  <w:vAlign w:val="center"/>
                </w:tcPr>
                <w:p w14:paraId="3DCCF6C0">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0.157</w:t>
                  </w:r>
                </w:p>
              </w:tc>
              <w:tc>
                <w:tcPr>
                  <w:tcW w:w="687" w:type="pct"/>
                  <w:vMerge w:val="restart"/>
                  <w:vAlign w:val="center"/>
                </w:tcPr>
                <w:p w14:paraId="518E6119">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10</w:t>
                  </w:r>
                </w:p>
              </w:tc>
              <w:tc>
                <w:tcPr>
                  <w:tcW w:w="600" w:type="pct"/>
                  <w:vMerge w:val="restart"/>
                  <w:vAlign w:val="center"/>
                </w:tcPr>
                <w:p w14:paraId="06EEA917">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合格</w:t>
                  </w:r>
                </w:p>
              </w:tc>
            </w:tr>
            <w:tr w14:paraId="7AF1B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64" w:type="pct"/>
                  <w:vMerge w:val="continue"/>
                  <w:vAlign w:val="center"/>
                </w:tcPr>
                <w:p w14:paraId="01F61E89">
                  <w:pPr>
                    <w:autoSpaceDE w:val="0"/>
                    <w:autoSpaceDN w:val="0"/>
                    <w:spacing w:line="240" w:lineRule="auto"/>
                    <w:ind w:firstLine="0" w:firstLineChars="0"/>
                    <w:jc w:val="center"/>
                    <w:rPr>
                      <w:color w:val="000000" w:themeColor="text1"/>
                      <w14:textFill>
                        <w14:solidFill>
                          <w14:schemeClr w14:val="tx1"/>
                        </w14:solidFill>
                      </w14:textFill>
                    </w:rPr>
                  </w:pPr>
                </w:p>
              </w:tc>
              <w:tc>
                <w:tcPr>
                  <w:tcW w:w="832" w:type="pct"/>
                  <w:vMerge w:val="continue"/>
                  <w:vAlign w:val="center"/>
                </w:tcPr>
                <w:p w14:paraId="376DE3DA">
                  <w:pPr>
                    <w:autoSpaceDE w:val="0"/>
                    <w:autoSpaceDN w:val="0"/>
                    <w:spacing w:line="240" w:lineRule="auto"/>
                    <w:ind w:firstLine="0" w:firstLineChars="0"/>
                    <w:jc w:val="center"/>
                    <w:rPr>
                      <w:color w:val="000000" w:themeColor="text1"/>
                      <w14:textFill>
                        <w14:solidFill>
                          <w14:schemeClr w14:val="tx1"/>
                        </w14:solidFill>
                      </w14:textFill>
                    </w:rPr>
                  </w:pPr>
                </w:p>
              </w:tc>
              <w:tc>
                <w:tcPr>
                  <w:tcW w:w="1042" w:type="pct"/>
                  <w:vAlign w:val="center"/>
                </w:tcPr>
                <w:p w14:paraId="6209B4EF">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2014.9.22</w:t>
                  </w:r>
                </w:p>
              </w:tc>
              <w:tc>
                <w:tcPr>
                  <w:tcW w:w="654" w:type="pct"/>
                  <w:vAlign w:val="center"/>
                </w:tcPr>
                <w:p w14:paraId="007F6CFB">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0.167</w:t>
                  </w:r>
                </w:p>
              </w:tc>
              <w:tc>
                <w:tcPr>
                  <w:tcW w:w="718" w:type="pct"/>
                  <w:vAlign w:val="center"/>
                </w:tcPr>
                <w:p w14:paraId="562F7870">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14:textFill>
                        <w14:solidFill>
                          <w14:schemeClr w14:val="tx1"/>
                        </w14:solidFill>
                      </w14:textFill>
                    </w:rPr>
                    <w:t>0.155</w:t>
                  </w:r>
                </w:p>
              </w:tc>
              <w:tc>
                <w:tcPr>
                  <w:tcW w:w="687" w:type="pct"/>
                  <w:vMerge w:val="continue"/>
                  <w:vAlign w:val="center"/>
                </w:tcPr>
                <w:p w14:paraId="25477C90">
                  <w:pPr>
                    <w:autoSpaceDE w:val="0"/>
                    <w:autoSpaceDN w:val="0"/>
                    <w:spacing w:line="240" w:lineRule="auto"/>
                    <w:ind w:firstLine="0" w:firstLineChars="0"/>
                    <w:jc w:val="center"/>
                    <w:rPr>
                      <w:rFonts w:hint="eastAsia"/>
                      <w:color w:val="000000" w:themeColor="text1"/>
                      <w14:textFill>
                        <w14:solidFill>
                          <w14:schemeClr w14:val="tx1"/>
                        </w14:solidFill>
                      </w14:textFill>
                    </w:rPr>
                  </w:pPr>
                </w:p>
              </w:tc>
              <w:tc>
                <w:tcPr>
                  <w:tcW w:w="600" w:type="pct"/>
                  <w:vMerge w:val="continue"/>
                  <w:vAlign w:val="center"/>
                </w:tcPr>
                <w:p w14:paraId="19DD6FA9">
                  <w:pPr>
                    <w:autoSpaceDE w:val="0"/>
                    <w:autoSpaceDN w:val="0"/>
                    <w:spacing w:line="240" w:lineRule="auto"/>
                    <w:ind w:firstLine="0" w:firstLineChars="0"/>
                    <w:jc w:val="center"/>
                    <w:rPr>
                      <w:rFonts w:hint="eastAsia"/>
                      <w:color w:val="000000" w:themeColor="text1"/>
                      <w14:textFill>
                        <w14:solidFill>
                          <w14:schemeClr w14:val="tx1"/>
                        </w14:solidFill>
                      </w14:textFill>
                    </w:rPr>
                  </w:pPr>
                </w:p>
              </w:tc>
            </w:tr>
            <w:tr w14:paraId="7AFBE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64" w:type="pct"/>
                  <w:vMerge w:val="continue"/>
                  <w:vAlign w:val="center"/>
                </w:tcPr>
                <w:p w14:paraId="0FF21EEB">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p>
              </w:tc>
              <w:tc>
                <w:tcPr>
                  <w:tcW w:w="832" w:type="pct"/>
                  <w:vMerge w:val="continue"/>
                  <w:vAlign w:val="center"/>
                </w:tcPr>
                <w:p w14:paraId="4E1CB483">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p>
              </w:tc>
              <w:tc>
                <w:tcPr>
                  <w:tcW w:w="1042" w:type="pct"/>
                  <w:vAlign w:val="center"/>
                </w:tcPr>
                <w:p w14:paraId="0FBCC797">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2014. 9.23</w:t>
                  </w:r>
                </w:p>
              </w:tc>
              <w:tc>
                <w:tcPr>
                  <w:tcW w:w="654" w:type="pct"/>
                  <w:vAlign w:val="center"/>
                </w:tcPr>
                <w:p w14:paraId="771C0536">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0.185</w:t>
                  </w:r>
                </w:p>
              </w:tc>
              <w:tc>
                <w:tcPr>
                  <w:tcW w:w="718" w:type="pct"/>
                  <w:vAlign w:val="center"/>
                </w:tcPr>
                <w:p w14:paraId="2A378019">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0.164</w:t>
                  </w:r>
                </w:p>
              </w:tc>
              <w:tc>
                <w:tcPr>
                  <w:tcW w:w="687" w:type="pct"/>
                  <w:vMerge w:val="continue"/>
                  <w:vAlign w:val="center"/>
                </w:tcPr>
                <w:p w14:paraId="441A6EEC">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p>
              </w:tc>
              <w:tc>
                <w:tcPr>
                  <w:tcW w:w="600" w:type="pct"/>
                  <w:vMerge w:val="continue"/>
                  <w:vAlign w:val="center"/>
                </w:tcPr>
                <w:p w14:paraId="3FB97280">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p>
              </w:tc>
            </w:tr>
          </w:tbl>
          <w:p w14:paraId="7F09AF90">
            <w:pPr>
              <w:pStyle w:val="105"/>
              <w:keepNext w:val="0"/>
              <w:keepLines w:val="0"/>
              <w:pageBreakBefore w:val="0"/>
              <w:widowControl w:val="0"/>
              <w:kinsoku/>
              <w:wordWrap/>
              <w:overflowPunct w:val="0"/>
              <w:topLinePunct w:val="0"/>
              <w:autoSpaceDE w:val="0"/>
              <w:autoSpaceDN w:val="0"/>
              <w:bidi w:val="0"/>
              <w:adjustRightInd w:val="0"/>
              <w:snapToGrid w:val="0"/>
              <w:spacing w:before="0" w:beforeLines="0" w:line="240" w:lineRule="auto"/>
              <w:ind w:firstLine="482" w:firstLineChars="200"/>
              <w:textAlignment w:val="auto"/>
              <w:rPr>
                <w:rFonts w:hint="default" w:eastAsia="宋体"/>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pacing w:val="0"/>
                <w:w w:val="100"/>
                <w:position w:val="0"/>
                <w:sz w:val="24"/>
                <w:szCs w:val="24"/>
                <w14:textFill>
                  <w14:solidFill>
                    <w14:schemeClr w14:val="tx1"/>
                  </w14:solidFill>
                </w14:textFill>
              </w:rPr>
              <w:t>表2-</w:t>
            </w:r>
            <w:r>
              <w:rPr>
                <w:rFonts w:hint="eastAsia" w:cs="Times New Roman"/>
                <w:color w:val="000000" w:themeColor="text1"/>
                <w:spacing w:val="0"/>
                <w:w w:val="100"/>
                <w:position w:val="0"/>
                <w:sz w:val="24"/>
                <w:szCs w:val="24"/>
                <w:lang w:val="en-US" w:eastAsia="zh-CN"/>
                <w14:textFill>
                  <w14:solidFill>
                    <w14:schemeClr w14:val="tx1"/>
                  </w14:solidFill>
                </w14:textFill>
              </w:rPr>
              <w:t>12</w:t>
            </w:r>
            <w:r>
              <w:rPr>
                <w:rFonts w:hint="default" w:ascii="Times New Roman" w:hAnsi="Times New Roman" w:cs="Times New Roman"/>
                <w:color w:val="000000" w:themeColor="text1"/>
                <w:spacing w:val="0"/>
                <w:w w:val="100"/>
                <w:position w:val="0"/>
                <w:sz w:val="24"/>
                <w:szCs w:val="24"/>
                <w:lang w:val="en-US" w:eastAsia="zh-CN"/>
                <w14:textFill>
                  <w14:solidFill>
                    <w14:schemeClr w14:val="tx1"/>
                  </w14:solidFill>
                </w14:textFill>
              </w:rPr>
              <w:t xml:space="preserve">  </w:t>
            </w:r>
            <w:r>
              <w:rPr>
                <w:rFonts w:hint="eastAsia" w:ascii="Times New Roman" w:hAnsi="Times New Roman" w:cs="Times New Roman"/>
                <w:color w:val="000000" w:themeColor="text1"/>
                <w:spacing w:val="0"/>
                <w:w w:val="100"/>
                <w:position w:val="0"/>
                <w:sz w:val="24"/>
                <w:szCs w:val="24"/>
                <w:lang w:val="en-US" w:eastAsia="zh-CN"/>
                <w14:textFill>
                  <w14:solidFill>
                    <w14:schemeClr w14:val="tx1"/>
                  </w14:solidFill>
                </w14:textFill>
              </w:rPr>
              <w:t>现有</w:t>
            </w:r>
            <w:r>
              <w:rPr>
                <w:rFonts w:hint="default" w:ascii="Times New Roman" w:hAnsi="Times New Roman" w:cs="Times New Roman"/>
                <w:color w:val="000000" w:themeColor="text1"/>
                <w:spacing w:val="0"/>
                <w:w w:val="100"/>
                <w:position w:val="0"/>
                <w:sz w:val="24"/>
                <w:szCs w:val="24"/>
                <w14:textFill>
                  <w14:solidFill>
                    <w14:schemeClr w14:val="tx1"/>
                  </w14:solidFill>
                </w14:textFill>
              </w:rPr>
              <w:t>项目</w:t>
            </w:r>
            <w:r>
              <w:rPr>
                <w:rFonts w:hint="eastAsia" w:cs="Times New Roman"/>
                <w:color w:val="000000" w:themeColor="text1"/>
                <w:spacing w:val="0"/>
                <w:w w:val="100"/>
                <w:position w:val="0"/>
                <w:sz w:val="24"/>
                <w:szCs w:val="24"/>
                <w:lang w:val="en-US" w:eastAsia="zh-CN"/>
                <w14:textFill>
                  <w14:solidFill>
                    <w14:schemeClr w14:val="tx1"/>
                  </w14:solidFill>
                </w14:textFill>
              </w:rPr>
              <w:t>验收期间工艺废气监测数据</w:t>
            </w:r>
          </w:p>
          <w:tbl>
            <w:tblPr>
              <w:tblStyle w:val="2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1"/>
              <w:gridCol w:w="1121"/>
              <w:gridCol w:w="1454"/>
              <w:gridCol w:w="1057"/>
              <w:gridCol w:w="1160"/>
              <w:gridCol w:w="1110"/>
              <w:gridCol w:w="970"/>
            </w:tblGrid>
            <w:tr w14:paraId="362E6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743" w:type="pct"/>
                  <w:vAlign w:val="center"/>
                </w:tcPr>
                <w:p w14:paraId="11E0E1DC">
                  <w:pPr>
                    <w:autoSpaceDE w:val="0"/>
                    <w:autoSpaceDN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监测点位</w:t>
                  </w:r>
                </w:p>
              </w:tc>
              <w:tc>
                <w:tcPr>
                  <w:tcW w:w="694" w:type="pct"/>
                  <w:vAlign w:val="center"/>
                </w:tcPr>
                <w:p w14:paraId="73065732">
                  <w:pPr>
                    <w:autoSpaceDE w:val="0"/>
                    <w:autoSpaceDN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监测项目</w:t>
                  </w:r>
                </w:p>
              </w:tc>
              <w:tc>
                <w:tcPr>
                  <w:tcW w:w="900" w:type="pct"/>
                  <w:vAlign w:val="center"/>
                </w:tcPr>
                <w:p w14:paraId="65B5B12F">
                  <w:pPr>
                    <w:autoSpaceDE w:val="0"/>
                    <w:autoSpaceDN w:val="0"/>
                    <w:spacing w:line="240" w:lineRule="auto"/>
                    <w:ind w:firstLine="0" w:firstLineChars="0"/>
                    <w:jc w:val="center"/>
                    <w:rPr>
                      <w:rFonts w:hint="eastAsia" w:eastAsia="宋体"/>
                      <w:color w:val="000000" w:themeColor="text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监测时间</w:t>
                  </w:r>
                </w:p>
              </w:tc>
              <w:tc>
                <w:tcPr>
                  <w:tcW w:w="654" w:type="pct"/>
                  <w:vAlign w:val="center"/>
                </w:tcPr>
                <w:p w14:paraId="1D541C31">
                  <w:pPr>
                    <w:autoSpaceDE w:val="0"/>
                    <w:autoSpaceDN w:val="0"/>
                    <w:spacing w:line="240" w:lineRule="auto"/>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烟气量(Nm</w:t>
                  </w:r>
                  <w:r>
                    <w:rPr>
                      <w:rFonts w:hint="eastAsia"/>
                      <w:color w:val="000000" w:themeColor="text1"/>
                      <w:vertAlign w:val="superscript"/>
                      <w:lang w:val="en-US" w:eastAsia="zh-CN"/>
                      <w14:textFill>
                        <w14:solidFill>
                          <w14:schemeClr w14:val="tx1"/>
                        </w14:solidFill>
                      </w14:textFill>
                    </w:rPr>
                    <w:t>3</w:t>
                  </w:r>
                  <w:r>
                    <w:rPr>
                      <w:rFonts w:hint="eastAsia"/>
                      <w:color w:val="000000" w:themeColor="text1"/>
                      <w14:textFill>
                        <w14:solidFill>
                          <w14:schemeClr w14:val="tx1"/>
                        </w14:solidFill>
                      </w14:textFill>
                    </w:rPr>
                    <w:t>/h)</w:t>
                  </w:r>
                </w:p>
              </w:tc>
              <w:tc>
                <w:tcPr>
                  <w:tcW w:w="718" w:type="pct"/>
                  <w:vAlign w:val="center"/>
                </w:tcPr>
                <w:p w14:paraId="3DB5A9ED">
                  <w:pPr>
                    <w:autoSpaceDE w:val="0"/>
                    <w:autoSpaceDN w:val="0"/>
                    <w:spacing w:line="240" w:lineRule="auto"/>
                    <w:ind w:firstLine="0" w:firstLineChars="0"/>
                    <w:jc w:val="center"/>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排放浓度</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mg/</w:t>
                  </w:r>
                  <w:r>
                    <w:rPr>
                      <w:rFonts w:hint="eastAsia"/>
                      <w:color w:val="000000" w:themeColor="text1"/>
                      <w14:textFill>
                        <w14:solidFill>
                          <w14:schemeClr w14:val="tx1"/>
                        </w14:solidFill>
                      </w14:textFill>
                    </w:rPr>
                    <w:t>m</w:t>
                  </w:r>
                  <w:r>
                    <w:rPr>
                      <w:rFonts w:hint="eastAsia"/>
                      <w:color w:val="000000" w:themeColor="text1"/>
                      <w:vertAlign w:val="superscript"/>
                      <w:lang w:val="en-US" w:eastAsia="zh-CN"/>
                      <w14:textFill>
                        <w14:solidFill>
                          <w14:schemeClr w14:val="tx1"/>
                        </w14:solidFill>
                      </w14:textFill>
                    </w:rPr>
                    <w:t>3</w:t>
                  </w:r>
                  <w:r>
                    <w:rPr>
                      <w:rFonts w:hint="eastAsia"/>
                      <w:color w:val="000000" w:themeColor="text1"/>
                      <w14:textFill>
                        <w14:solidFill>
                          <w14:schemeClr w14:val="tx1"/>
                        </w14:solidFill>
                      </w14:textFill>
                    </w:rPr>
                    <w:t>)</w:t>
                  </w:r>
                </w:p>
              </w:tc>
              <w:tc>
                <w:tcPr>
                  <w:tcW w:w="687" w:type="pct"/>
                  <w:vAlign w:val="center"/>
                </w:tcPr>
                <w:p w14:paraId="7479077B">
                  <w:pPr>
                    <w:autoSpaceDE w:val="0"/>
                    <w:autoSpaceDN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排放标准</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mg/</w:t>
                  </w:r>
                  <w:r>
                    <w:rPr>
                      <w:rFonts w:hint="eastAsia"/>
                      <w:color w:val="000000" w:themeColor="text1"/>
                      <w14:textFill>
                        <w14:solidFill>
                          <w14:schemeClr w14:val="tx1"/>
                        </w14:solidFill>
                      </w14:textFill>
                    </w:rPr>
                    <w:t>m</w:t>
                  </w:r>
                  <w:r>
                    <w:rPr>
                      <w:rFonts w:hint="eastAsia"/>
                      <w:color w:val="000000" w:themeColor="text1"/>
                      <w:vertAlign w:val="superscript"/>
                      <w:lang w:val="en-US" w:eastAsia="zh-CN"/>
                      <w14:textFill>
                        <w14:solidFill>
                          <w14:schemeClr w14:val="tx1"/>
                        </w14:solidFill>
                      </w14:textFill>
                    </w:rPr>
                    <w:t>3</w:t>
                  </w:r>
                  <w:r>
                    <w:rPr>
                      <w:rFonts w:hint="eastAsia"/>
                      <w:color w:val="000000" w:themeColor="text1"/>
                      <w14:textFill>
                        <w14:solidFill>
                          <w14:schemeClr w14:val="tx1"/>
                        </w14:solidFill>
                      </w14:textFill>
                    </w:rPr>
                    <w:t>)</w:t>
                  </w:r>
                </w:p>
              </w:tc>
              <w:tc>
                <w:tcPr>
                  <w:tcW w:w="600" w:type="pct"/>
                  <w:vAlign w:val="center"/>
                </w:tcPr>
                <w:p w14:paraId="2200C690">
                  <w:pPr>
                    <w:autoSpaceDE w:val="0"/>
                    <w:autoSpaceDN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结论</w:t>
                  </w:r>
                </w:p>
              </w:tc>
            </w:tr>
            <w:tr w14:paraId="57F5B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 w:hRule="atLeast"/>
              </w:trPr>
              <w:tc>
                <w:tcPr>
                  <w:tcW w:w="743" w:type="pct"/>
                  <w:vMerge w:val="restart"/>
                  <w:vAlign w:val="center"/>
                </w:tcPr>
                <w:p w14:paraId="27849AF0">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车间工艺废气处理设施排口</w:t>
                  </w:r>
                </w:p>
              </w:tc>
              <w:tc>
                <w:tcPr>
                  <w:tcW w:w="694" w:type="pct"/>
                  <w:vMerge w:val="restart"/>
                  <w:vAlign w:val="center"/>
                </w:tcPr>
                <w:p w14:paraId="5B3FF3F6">
                  <w:pPr>
                    <w:autoSpaceDE w:val="0"/>
                    <w:autoSpaceDN w:val="0"/>
                    <w:spacing w:line="240" w:lineRule="auto"/>
                    <w:ind w:firstLine="0" w:firstLineChars="0"/>
                    <w:jc w:val="center"/>
                    <w:rPr>
                      <w:rFonts w:hint="eastAsia" w:eastAsia="宋体"/>
                      <w:color w:val="000000" w:themeColor="text1"/>
                      <w:sz w:val="21"/>
                      <w:szCs w:val="21"/>
                      <w:lang w:val="en-US" w:eastAsia="zh-CN"/>
                      <w14:textFill>
                        <w14:solidFill>
                          <w14:schemeClr w14:val="tx1"/>
                        </w14:solidFill>
                      </w14:textFill>
                    </w:rPr>
                  </w:pPr>
                  <w:r>
                    <w:rPr>
                      <w:rFonts w:hint="eastAsia" w:cs="Times New Roman"/>
                      <w:b w:val="0"/>
                      <w:bCs w:val="0"/>
                      <w:color w:val="000000" w:themeColor="text1"/>
                      <w:sz w:val="21"/>
                      <w:szCs w:val="21"/>
                      <w:lang w:val="en-US" w:eastAsia="zh-CN"/>
                      <w14:textFill>
                        <w14:solidFill>
                          <w14:schemeClr w14:val="tx1"/>
                        </w14:solidFill>
                      </w14:textFill>
                    </w:rPr>
                    <w:t>粉尘</w:t>
                  </w:r>
                </w:p>
              </w:tc>
              <w:tc>
                <w:tcPr>
                  <w:tcW w:w="900" w:type="pct"/>
                  <w:vAlign w:val="center"/>
                </w:tcPr>
                <w:p w14:paraId="3CF8CFFA">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2014.9.22</w:t>
                  </w:r>
                </w:p>
              </w:tc>
              <w:tc>
                <w:tcPr>
                  <w:tcW w:w="654" w:type="pct"/>
                  <w:vAlign w:val="center"/>
                </w:tcPr>
                <w:p w14:paraId="27136B7C">
                  <w:pPr>
                    <w:autoSpaceDE w:val="0"/>
                    <w:autoSpaceDN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5611</w:t>
                  </w:r>
                </w:p>
              </w:tc>
              <w:tc>
                <w:tcPr>
                  <w:tcW w:w="718" w:type="pct"/>
                  <w:vAlign w:val="center"/>
                </w:tcPr>
                <w:p w14:paraId="43D4E103">
                  <w:pPr>
                    <w:autoSpaceDE w:val="0"/>
                    <w:autoSpaceDN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10.6</w:t>
                  </w:r>
                </w:p>
              </w:tc>
              <w:tc>
                <w:tcPr>
                  <w:tcW w:w="687" w:type="pct"/>
                  <w:vMerge w:val="restart"/>
                  <w:vAlign w:val="center"/>
                </w:tcPr>
                <w:p w14:paraId="5C055554">
                  <w:pPr>
                    <w:autoSpaceDE w:val="0"/>
                    <w:autoSpaceDN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120</w:t>
                  </w:r>
                </w:p>
              </w:tc>
              <w:tc>
                <w:tcPr>
                  <w:tcW w:w="600" w:type="pct"/>
                  <w:vMerge w:val="restart"/>
                  <w:vAlign w:val="center"/>
                </w:tcPr>
                <w:p w14:paraId="605C7F99">
                  <w:pPr>
                    <w:autoSpaceDE w:val="0"/>
                    <w:autoSpaceDN w:val="0"/>
                    <w:spacing w:line="240" w:lineRule="auto"/>
                    <w:ind w:firstLine="0" w:firstLineChars="0"/>
                    <w:jc w:val="center"/>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合格</w:t>
                  </w:r>
                </w:p>
              </w:tc>
            </w:tr>
            <w:tr w14:paraId="46037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43" w:type="pct"/>
                  <w:vMerge w:val="continue"/>
                  <w:vAlign w:val="center"/>
                </w:tcPr>
                <w:p w14:paraId="19FC0586">
                  <w:pPr>
                    <w:autoSpaceDE w:val="0"/>
                    <w:autoSpaceDN w:val="0"/>
                    <w:spacing w:line="240" w:lineRule="auto"/>
                    <w:ind w:firstLine="0" w:firstLineChars="0"/>
                    <w:jc w:val="center"/>
                    <w:rPr>
                      <w:color w:val="000000" w:themeColor="text1"/>
                      <w14:textFill>
                        <w14:solidFill>
                          <w14:schemeClr w14:val="tx1"/>
                        </w14:solidFill>
                      </w14:textFill>
                    </w:rPr>
                  </w:pPr>
                </w:p>
              </w:tc>
              <w:tc>
                <w:tcPr>
                  <w:tcW w:w="694" w:type="pct"/>
                  <w:vMerge w:val="continue"/>
                  <w:vAlign w:val="center"/>
                </w:tcPr>
                <w:p w14:paraId="69FCB5A9">
                  <w:pPr>
                    <w:autoSpaceDE w:val="0"/>
                    <w:autoSpaceDN w:val="0"/>
                    <w:spacing w:line="240" w:lineRule="auto"/>
                    <w:ind w:firstLine="0" w:firstLineChars="0"/>
                    <w:jc w:val="center"/>
                    <w:rPr>
                      <w:color w:val="000000" w:themeColor="text1"/>
                      <w14:textFill>
                        <w14:solidFill>
                          <w14:schemeClr w14:val="tx1"/>
                        </w14:solidFill>
                      </w14:textFill>
                    </w:rPr>
                  </w:pPr>
                </w:p>
              </w:tc>
              <w:tc>
                <w:tcPr>
                  <w:tcW w:w="900" w:type="pct"/>
                  <w:vAlign w:val="center"/>
                </w:tcPr>
                <w:p w14:paraId="0BB9E6EE">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2014. 9.23</w:t>
                  </w:r>
                </w:p>
              </w:tc>
              <w:tc>
                <w:tcPr>
                  <w:tcW w:w="654" w:type="pct"/>
                  <w:vAlign w:val="center"/>
                </w:tcPr>
                <w:p w14:paraId="72B40270">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5588</w:t>
                  </w:r>
                </w:p>
              </w:tc>
              <w:tc>
                <w:tcPr>
                  <w:tcW w:w="718" w:type="pct"/>
                  <w:vAlign w:val="center"/>
                </w:tcPr>
                <w:p w14:paraId="59F8AB5C">
                  <w:pPr>
                    <w:autoSpaceDE w:val="0"/>
                    <w:autoSpaceDN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9.8</w:t>
                  </w:r>
                </w:p>
              </w:tc>
              <w:tc>
                <w:tcPr>
                  <w:tcW w:w="687" w:type="pct"/>
                  <w:vMerge w:val="continue"/>
                  <w:vAlign w:val="center"/>
                </w:tcPr>
                <w:p w14:paraId="71A0F8D4">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p>
              </w:tc>
              <w:tc>
                <w:tcPr>
                  <w:tcW w:w="600" w:type="pct"/>
                  <w:vMerge w:val="continue"/>
                  <w:vAlign w:val="center"/>
                </w:tcPr>
                <w:p w14:paraId="50CFD9D0">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p>
              </w:tc>
            </w:tr>
          </w:tbl>
          <w:p w14:paraId="79BD25A9">
            <w:pPr>
              <w:pStyle w:val="105"/>
              <w:keepNext w:val="0"/>
              <w:keepLines w:val="0"/>
              <w:pageBreakBefore w:val="0"/>
              <w:widowControl w:val="0"/>
              <w:kinsoku/>
              <w:wordWrap/>
              <w:overflowPunct w:val="0"/>
              <w:topLinePunct w:val="0"/>
              <w:autoSpaceDE w:val="0"/>
              <w:autoSpaceDN w:val="0"/>
              <w:bidi w:val="0"/>
              <w:adjustRightInd w:val="0"/>
              <w:snapToGrid w:val="0"/>
              <w:spacing w:before="0" w:beforeLines="0" w:line="240" w:lineRule="auto"/>
              <w:ind w:firstLine="482" w:firstLineChars="200"/>
              <w:textAlignment w:val="auto"/>
              <w:rPr>
                <w:rFonts w:hint="eastAsia"/>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pacing w:val="0"/>
                <w:w w:val="100"/>
                <w:position w:val="0"/>
                <w:sz w:val="24"/>
                <w:szCs w:val="24"/>
                <w14:textFill>
                  <w14:solidFill>
                    <w14:schemeClr w14:val="tx1"/>
                  </w14:solidFill>
                </w14:textFill>
              </w:rPr>
              <w:t>表2-</w:t>
            </w:r>
            <w:r>
              <w:rPr>
                <w:rFonts w:hint="eastAsia" w:ascii="Times New Roman" w:hAnsi="Times New Roman" w:cs="Times New Roman"/>
                <w:color w:val="000000" w:themeColor="text1"/>
                <w:spacing w:val="0"/>
                <w:w w:val="100"/>
                <w:position w:val="0"/>
                <w:sz w:val="24"/>
                <w:szCs w:val="24"/>
                <w:lang w:val="en-US" w:eastAsia="zh-CN"/>
                <w14:textFill>
                  <w14:solidFill>
                    <w14:schemeClr w14:val="tx1"/>
                  </w14:solidFill>
                </w14:textFill>
              </w:rPr>
              <w:t>1</w:t>
            </w:r>
            <w:r>
              <w:rPr>
                <w:rFonts w:hint="eastAsia" w:cs="Times New Roman"/>
                <w:color w:val="000000" w:themeColor="text1"/>
                <w:spacing w:val="0"/>
                <w:w w:val="100"/>
                <w:position w:val="0"/>
                <w:sz w:val="24"/>
                <w:szCs w:val="24"/>
                <w:lang w:val="en-US" w:eastAsia="zh-CN"/>
                <w14:textFill>
                  <w14:solidFill>
                    <w14:schemeClr w14:val="tx1"/>
                  </w14:solidFill>
                </w14:textFill>
              </w:rPr>
              <w:t>3</w:t>
            </w:r>
            <w:r>
              <w:rPr>
                <w:rFonts w:hint="default" w:ascii="Times New Roman" w:hAnsi="Times New Roman" w:cs="Times New Roman"/>
                <w:color w:val="000000" w:themeColor="text1"/>
                <w:spacing w:val="0"/>
                <w:w w:val="100"/>
                <w:position w:val="0"/>
                <w:sz w:val="24"/>
                <w:szCs w:val="24"/>
                <w:lang w:val="en-US" w:eastAsia="zh-CN"/>
                <w14:textFill>
                  <w14:solidFill>
                    <w14:schemeClr w14:val="tx1"/>
                  </w14:solidFill>
                </w14:textFill>
              </w:rPr>
              <w:t xml:space="preserve">  </w:t>
            </w:r>
            <w:r>
              <w:rPr>
                <w:rFonts w:hint="eastAsia" w:ascii="Times New Roman" w:hAnsi="Times New Roman" w:cs="Times New Roman"/>
                <w:color w:val="000000" w:themeColor="text1"/>
                <w:spacing w:val="0"/>
                <w:w w:val="100"/>
                <w:position w:val="0"/>
                <w:sz w:val="24"/>
                <w:szCs w:val="24"/>
                <w:lang w:val="en-US" w:eastAsia="zh-CN"/>
                <w14:textFill>
                  <w14:solidFill>
                    <w14:schemeClr w14:val="tx1"/>
                  </w14:solidFill>
                </w14:textFill>
              </w:rPr>
              <w:t>现有</w:t>
            </w:r>
            <w:r>
              <w:rPr>
                <w:rFonts w:hint="default" w:ascii="Times New Roman" w:hAnsi="Times New Roman" w:cs="Times New Roman"/>
                <w:color w:val="000000" w:themeColor="text1"/>
                <w:spacing w:val="0"/>
                <w:w w:val="100"/>
                <w:position w:val="0"/>
                <w:sz w:val="24"/>
                <w:szCs w:val="24"/>
                <w14:textFill>
                  <w14:solidFill>
                    <w14:schemeClr w14:val="tx1"/>
                  </w14:solidFill>
                </w14:textFill>
              </w:rPr>
              <w:t>项目</w:t>
            </w:r>
            <w:r>
              <w:rPr>
                <w:rFonts w:hint="eastAsia" w:cs="Times New Roman"/>
                <w:color w:val="000000" w:themeColor="text1"/>
                <w:spacing w:val="0"/>
                <w:w w:val="100"/>
                <w:position w:val="0"/>
                <w:sz w:val="24"/>
                <w:szCs w:val="24"/>
                <w:lang w:val="en-US" w:eastAsia="zh-CN"/>
                <w14:textFill>
                  <w14:solidFill>
                    <w14:schemeClr w14:val="tx1"/>
                  </w14:solidFill>
                </w14:textFill>
              </w:rPr>
              <w:t>验收期间锅炉烟气监测数据</w:t>
            </w:r>
          </w:p>
          <w:tbl>
            <w:tblPr>
              <w:tblStyle w:val="2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1076"/>
              <w:gridCol w:w="1136"/>
              <w:gridCol w:w="981"/>
              <w:gridCol w:w="1020"/>
              <w:gridCol w:w="1021"/>
              <w:gridCol w:w="1044"/>
              <w:gridCol w:w="740"/>
            </w:tblGrid>
            <w:tr w14:paraId="5D17C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653" w:type="pct"/>
                  <w:vAlign w:val="center"/>
                </w:tcPr>
                <w:p w14:paraId="540036DC">
                  <w:pPr>
                    <w:autoSpaceDE w:val="0"/>
                    <w:autoSpaceDN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监测点位</w:t>
                  </w:r>
                </w:p>
              </w:tc>
              <w:tc>
                <w:tcPr>
                  <w:tcW w:w="666" w:type="pct"/>
                  <w:vAlign w:val="center"/>
                </w:tcPr>
                <w:p w14:paraId="7ACBA312">
                  <w:pPr>
                    <w:autoSpaceDE w:val="0"/>
                    <w:autoSpaceDN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监测项目</w:t>
                  </w:r>
                </w:p>
              </w:tc>
              <w:tc>
                <w:tcPr>
                  <w:tcW w:w="703" w:type="pct"/>
                  <w:vAlign w:val="center"/>
                </w:tcPr>
                <w:p w14:paraId="0BBA2D0B">
                  <w:pPr>
                    <w:autoSpaceDE w:val="0"/>
                    <w:autoSpaceDN w:val="0"/>
                    <w:spacing w:line="240" w:lineRule="auto"/>
                    <w:ind w:firstLine="0" w:firstLineChars="0"/>
                    <w:jc w:val="center"/>
                    <w:rPr>
                      <w:rFonts w:hint="eastAsia" w:eastAsia="宋体"/>
                      <w:color w:val="000000" w:themeColor="text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监测时间</w:t>
                  </w:r>
                </w:p>
              </w:tc>
              <w:tc>
                <w:tcPr>
                  <w:tcW w:w="607" w:type="pct"/>
                  <w:vAlign w:val="center"/>
                </w:tcPr>
                <w:p w14:paraId="05180888">
                  <w:pPr>
                    <w:autoSpaceDE w:val="0"/>
                    <w:autoSpaceDN w:val="0"/>
                    <w:spacing w:line="240" w:lineRule="auto"/>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烟气量(Nm</w:t>
                  </w:r>
                  <w:r>
                    <w:rPr>
                      <w:rFonts w:hint="eastAsia"/>
                      <w:color w:val="000000" w:themeColor="text1"/>
                      <w:vertAlign w:val="superscript"/>
                      <w:lang w:val="en-US" w:eastAsia="zh-CN"/>
                      <w14:textFill>
                        <w14:solidFill>
                          <w14:schemeClr w14:val="tx1"/>
                        </w14:solidFill>
                      </w14:textFill>
                    </w:rPr>
                    <w:t>3</w:t>
                  </w:r>
                  <w:r>
                    <w:rPr>
                      <w:rFonts w:hint="eastAsia"/>
                      <w:color w:val="000000" w:themeColor="text1"/>
                      <w14:textFill>
                        <w14:solidFill>
                          <w14:schemeClr w14:val="tx1"/>
                        </w14:solidFill>
                      </w14:textFill>
                    </w:rPr>
                    <w:t>/h)</w:t>
                  </w:r>
                </w:p>
              </w:tc>
              <w:tc>
                <w:tcPr>
                  <w:tcW w:w="631" w:type="pct"/>
                  <w:vAlign w:val="center"/>
                </w:tcPr>
                <w:p w14:paraId="16940E30">
                  <w:pPr>
                    <w:autoSpaceDE w:val="0"/>
                    <w:autoSpaceDN w:val="0"/>
                    <w:spacing w:line="240" w:lineRule="auto"/>
                    <w:ind w:firstLine="0" w:firstLineChars="0"/>
                    <w:jc w:val="center"/>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实测浓度</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mg/</w:t>
                  </w:r>
                  <w:r>
                    <w:rPr>
                      <w:rFonts w:hint="eastAsia"/>
                      <w:color w:val="000000" w:themeColor="text1"/>
                      <w14:textFill>
                        <w14:solidFill>
                          <w14:schemeClr w14:val="tx1"/>
                        </w14:solidFill>
                      </w14:textFill>
                    </w:rPr>
                    <w:t>m</w:t>
                  </w:r>
                  <w:r>
                    <w:rPr>
                      <w:rFonts w:hint="eastAsia"/>
                      <w:color w:val="000000" w:themeColor="text1"/>
                      <w:vertAlign w:val="superscript"/>
                      <w:lang w:val="en-US" w:eastAsia="zh-CN"/>
                      <w14:textFill>
                        <w14:solidFill>
                          <w14:schemeClr w14:val="tx1"/>
                        </w14:solidFill>
                      </w14:textFill>
                    </w:rPr>
                    <w:t>3</w:t>
                  </w:r>
                  <w:r>
                    <w:rPr>
                      <w:rFonts w:hint="eastAsia"/>
                      <w:color w:val="000000" w:themeColor="text1"/>
                      <w14:textFill>
                        <w14:solidFill>
                          <w14:schemeClr w14:val="tx1"/>
                        </w14:solidFill>
                      </w14:textFill>
                    </w:rPr>
                    <w:t>)</w:t>
                  </w:r>
                </w:p>
              </w:tc>
              <w:tc>
                <w:tcPr>
                  <w:tcW w:w="632" w:type="pct"/>
                  <w:vAlign w:val="center"/>
                </w:tcPr>
                <w:p w14:paraId="34778B14">
                  <w:pPr>
                    <w:autoSpaceDE w:val="0"/>
                    <w:autoSpaceDN w:val="0"/>
                    <w:spacing w:line="240" w:lineRule="auto"/>
                    <w:ind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排放浓度</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mg/</w:t>
                  </w:r>
                  <w:r>
                    <w:rPr>
                      <w:rFonts w:hint="eastAsia"/>
                      <w:color w:val="000000" w:themeColor="text1"/>
                      <w14:textFill>
                        <w14:solidFill>
                          <w14:schemeClr w14:val="tx1"/>
                        </w14:solidFill>
                      </w14:textFill>
                    </w:rPr>
                    <w:t>m</w:t>
                  </w:r>
                  <w:r>
                    <w:rPr>
                      <w:rFonts w:hint="eastAsia"/>
                      <w:color w:val="000000" w:themeColor="text1"/>
                      <w:vertAlign w:val="superscript"/>
                      <w:lang w:val="en-US" w:eastAsia="zh-CN"/>
                      <w14:textFill>
                        <w14:solidFill>
                          <w14:schemeClr w14:val="tx1"/>
                        </w14:solidFill>
                      </w14:textFill>
                    </w:rPr>
                    <w:t>3</w:t>
                  </w:r>
                  <w:r>
                    <w:rPr>
                      <w:rFonts w:hint="eastAsia"/>
                      <w:color w:val="000000" w:themeColor="text1"/>
                      <w14:textFill>
                        <w14:solidFill>
                          <w14:schemeClr w14:val="tx1"/>
                        </w14:solidFill>
                      </w14:textFill>
                    </w:rPr>
                    <w:t>)</w:t>
                  </w:r>
                </w:p>
              </w:tc>
              <w:tc>
                <w:tcPr>
                  <w:tcW w:w="646" w:type="pct"/>
                  <w:vAlign w:val="center"/>
                </w:tcPr>
                <w:p w14:paraId="45EAB19D">
                  <w:pPr>
                    <w:autoSpaceDE w:val="0"/>
                    <w:autoSpaceDN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排放标准</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mg/</w:t>
                  </w:r>
                  <w:r>
                    <w:rPr>
                      <w:rFonts w:hint="eastAsia"/>
                      <w:color w:val="000000" w:themeColor="text1"/>
                      <w14:textFill>
                        <w14:solidFill>
                          <w14:schemeClr w14:val="tx1"/>
                        </w14:solidFill>
                      </w14:textFill>
                    </w:rPr>
                    <w:t>m</w:t>
                  </w:r>
                  <w:r>
                    <w:rPr>
                      <w:rFonts w:hint="eastAsia"/>
                      <w:color w:val="000000" w:themeColor="text1"/>
                      <w:vertAlign w:val="superscript"/>
                      <w:lang w:val="en-US" w:eastAsia="zh-CN"/>
                      <w14:textFill>
                        <w14:solidFill>
                          <w14:schemeClr w14:val="tx1"/>
                        </w14:solidFill>
                      </w14:textFill>
                    </w:rPr>
                    <w:t>3</w:t>
                  </w:r>
                  <w:r>
                    <w:rPr>
                      <w:rFonts w:hint="eastAsia"/>
                      <w:color w:val="000000" w:themeColor="text1"/>
                      <w14:textFill>
                        <w14:solidFill>
                          <w14:schemeClr w14:val="tx1"/>
                        </w14:solidFill>
                      </w14:textFill>
                    </w:rPr>
                    <w:t>)</w:t>
                  </w:r>
                </w:p>
              </w:tc>
              <w:tc>
                <w:tcPr>
                  <w:tcW w:w="458" w:type="pct"/>
                  <w:vAlign w:val="center"/>
                </w:tcPr>
                <w:p w14:paraId="7AA7F7E0">
                  <w:pPr>
                    <w:autoSpaceDE w:val="0"/>
                    <w:autoSpaceDN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结论</w:t>
                  </w:r>
                </w:p>
              </w:tc>
            </w:tr>
            <w:tr w14:paraId="76316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 w:hRule="atLeast"/>
              </w:trPr>
              <w:tc>
                <w:tcPr>
                  <w:tcW w:w="653" w:type="pct"/>
                  <w:vMerge w:val="restart"/>
                  <w:vAlign w:val="center"/>
                </w:tcPr>
                <w:p w14:paraId="046824A7">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废气处理设施排口</w:t>
                  </w:r>
                </w:p>
              </w:tc>
              <w:tc>
                <w:tcPr>
                  <w:tcW w:w="666" w:type="pct"/>
                  <w:vMerge w:val="restart"/>
                  <w:vAlign w:val="center"/>
                </w:tcPr>
                <w:p w14:paraId="4DFFA818">
                  <w:pPr>
                    <w:autoSpaceDE w:val="0"/>
                    <w:autoSpaceDN w:val="0"/>
                    <w:spacing w:line="240" w:lineRule="auto"/>
                    <w:ind w:firstLine="0" w:firstLineChars="0"/>
                    <w:jc w:val="center"/>
                    <w:rPr>
                      <w:rFonts w:hint="eastAsia" w:eastAsia="宋体"/>
                      <w:color w:val="000000" w:themeColor="text1"/>
                      <w:sz w:val="21"/>
                      <w:szCs w:val="21"/>
                      <w:lang w:val="en-US" w:eastAsia="zh-CN"/>
                      <w14:textFill>
                        <w14:solidFill>
                          <w14:schemeClr w14:val="tx1"/>
                        </w14:solidFill>
                      </w14:textFill>
                    </w:rPr>
                  </w:pPr>
                  <w:r>
                    <w:rPr>
                      <w:rFonts w:hint="eastAsia" w:cs="Times New Roman"/>
                      <w:b w:val="0"/>
                      <w:bCs w:val="0"/>
                      <w:color w:val="000000" w:themeColor="text1"/>
                      <w:sz w:val="21"/>
                      <w:szCs w:val="21"/>
                      <w:lang w:val="en-US" w:eastAsia="zh-CN"/>
                      <w14:textFill>
                        <w14:solidFill>
                          <w14:schemeClr w14:val="tx1"/>
                        </w14:solidFill>
                      </w14:textFill>
                    </w:rPr>
                    <w:t>颗粒物</w:t>
                  </w:r>
                </w:p>
              </w:tc>
              <w:tc>
                <w:tcPr>
                  <w:tcW w:w="703" w:type="pct"/>
                  <w:vAlign w:val="center"/>
                </w:tcPr>
                <w:p w14:paraId="14334754">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2014.9.22</w:t>
                  </w:r>
                </w:p>
              </w:tc>
              <w:tc>
                <w:tcPr>
                  <w:tcW w:w="607" w:type="pct"/>
                  <w:vAlign w:val="center"/>
                </w:tcPr>
                <w:p w14:paraId="17EEA926">
                  <w:pPr>
                    <w:autoSpaceDE w:val="0"/>
                    <w:autoSpaceDN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9446</w:t>
                  </w:r>
                </w:p>
              </w:tc>
              <w:tc>
                <w:tcPr>
                  <w:tcW w:w="631" w:type="pct"/>
                  <w:vAlign w:val="center"/>
                </w:tcPr>
                <w:p w14:paraId="42DFDCB3">
                  <w:pPr>
                    <w:autoSpaceDE w:val="0"/>
                    <w:autoSpaceDN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40.2</w:t>
                  </w:r>
                </w:p>
              </w:tc>
              <w:tc>
                <w:tcPr>
                  <w:tcW w:w="632" w:type="pct"/>
                  <w:vAlign w:val="center"/>
                </w:tcPr>
                <w:p w14:paraId="58F32F44">
                  <w:pPr>
                    <w:autoSpaceDE w:val="0"/>
                    <w:autoSpaceDN w:val="0"/>
                    <w:spacing w:line="240" w:lineRule="auto"/>
                    <w:ind w:firstLine="0" w:firstLineChars="0"/>
                    <w:jc w:val="center"/>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61.1</w:t>
                  </w:r>
                </w:p>
              </w:tc>
              <w:tc>
                <w:tcPr>
                  <w:tcW w:w="646" w:type="pct"/>
                  <w:vMerge w:val="restart"/>
                  <w:vAlign w:val="center"/>
                </w:tcPr>
                <w:p w14:paraId="0FE6F43A">
                  <w:pPr>
                    <w:autoSpaceDE w:val="0"/>
                    <w:autoSpaceDN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200</w:t>
                  </w:r>
                </w:p>
              </w:tc>
              <w:tc>
                <w:tcPr>
                  <w:tcW w:w="458" w:type="pct"/>
                  <w:vMerge w:val="restart"/>
                  <w:vAlign w:val="center"/>
                </w:tcPr>
                <w:p w14:paraId="5A4A9B69">
                  <w:pPr>
                    <w:autoSpaceDE w:val="0"/>
                    <w:autoSpaceDN w:val="0"/>
                    <w:spacing w:line="240" w:lineRule="auto"/>
                    <w:ind w:firstLine="0" w:firstLineChars="0"/>
                    <w:jc w:val="center"/>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合格</w:t>
                  </w:r>
                </w:p>
              </w:tc>
            </w:tr>
            <w:tr w14:paraId="67786C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53" w:type="pct"/>
                  <w:vMerge w:val="continue"/>
                  <w:vAlign w:val="center"/>
                </w:tcPr>
                <w:p w14:paraId="7D005DB4">
                  <w:pPr>
                    <w:autoSpaceDE w:val="0"/>
                    <w:autoSpaceDN w:val="0"/>
                    <w:spacing w:line="240" w:lineRule="auto"/>
                    <w:ind w:firstLine="0" w:firstLineChars="0"/>
                    <w:jc w:val="center"/>
                    <w:rPr>
                      <w:color w:val="000000" w:themeColor="text1"/>
                      <w14:textFill>
                        <w14:solidFill>
                          <w14:schemeClr w14:val="tx1"/>
                        </w14:solidFill>
                      </w14:textFill>
                    </w:rPr>
                  </w:pPr>
                </w:p>
              </w:tc>
              <w:tc>
                <w:tcPr>
                  <w:tcW w:w="666" w:type="pct"/>
                  <w:vMerge w:val="continue"/>
                  <w:vAlign w:val="center"/>
                </w:tcPr>
                <w:p w14:paraId="253C3D33">
                  <w:pPr>
                    <w:autoSpaceDE w:val="0"/>
                    <w:autoSpaceDN w:val="0"/>
                    <w:spacing w:line="240" w:lineRule="auto"/>
                    <w:ind w:firstLine="0" w:firstLineChars="0"/>
                    <w:jc w:val="center"/>
                    <w:rPr>
                      <w:color w:val="000000" w:themeColor="text1"/>
                      <w14:textFill>
                        <w14:solidFill>
                          <w14:schemeClr w14:val="tx1"/>
                        </w14:solidFill>
                      </w14:textFill>
                    </w:rPr>
                  </w:pPr>
                </w:p>
              </w:tc>
              <w:tc>
                <w:tcPr>
                  <w:tcW w:w="703" w:type="pct"/>
                  <w:vAlign w:val="center"/>
                </w:tcPr>
                <w:p w14:paraId="714D3AE9">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2014. 9.23</w:t>
                  </w:r>
                </w:p>
              </w:tc>
              <w:tc>
                <w:tcPr>
                  <w:tcW w:w="607" w:type="pct"/>
                  <w:vAlign w:val="center"/>
                </w:tcPr>
                <w:p w14:paraId="5405FF11">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9486</w:t>
                  </w:r>
                </w:p>
              </w:tc>
              <w:tc>
                <w:tcPr>
                  <w:tcW w:w="631" w:type="pct"/>
                  <w:vAlign w:val="center"/>
                </w:tcPr>
                <w:p w14:paraId="4FAFD445">
                  <w:pPr>
                    <w:autoSpaceDE w:val="0"/>
                    <w:autoSpaceDN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35.7</w:t>
                  </w:r>
                </w:p>
              </w:tc>
              <w:tc>
                <w:tcPr>
                  <w:tcW w:w="632" w:type="pct"/>
                  <w:vAlign w:val="center"/>
                </w:tcPr>
                <w:p w14:paraId="115453C8">
                  <w:pPr>
                    <w:autoSpaceDE w:val="0"/>
                    <w:autoSpaceDN w:val="0"/>
                    <w:spacing w:line="240" w:lineRule="auto"/>
                    <w:ind w:firstLine="0" w:firstLineChars="0"/>
                    <w:jc w:val="center"/>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54.2</w:t>
                  </w:r>
                </w:p>
              </w:tc>
              <w:tc>
                <w:tcPr>
                  <w:tcW w:w="646" w:type="pct"/>
                  <w:vMerge w:val="continue"/>
                  <w:vAlign w:val="center"/>
                </w:tcPr>
                <w:p w14:paraId="7211D204">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p>
              </w:tc>
              <w:tc>
                <w:tcPr>
                  <w:tcW w:w="458" w:type="pct"/>
                  <w:vMerge w:val="continue"/>
                  <w:vAlign w:val="center"/>
                </w:tcPr>
                <w:p w14:paraId="2054D16B">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p>
              </w:tc>
            </w:tr>
            <w:tr w14:paraId="6366B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53" w:type="pct"/>
                  <w:vMerge w:val="continue"/>
                  <w:vAlign w:val="center"/>
                </w:tcPr>
                <w:p w14:paraId="730EB9CC">
                  <w:pPr>
                    <w:autoSpaceDE w:val="0"/>
                    <w:autoSpaceDN w:val="0"/>
                    <w:spacing w:line="240" w:lineRule="auto"/>
                    <w:ind w:firstLine="0" w:firstLineChars="0"/>
                    <w:jc w:val="center"/>
                    <w:rPr>
                      <w:color w:val="000000" w:themeColor="text1"/>
                      <w14:textFill>
                        <w14:solidFill>
                          <w14:schemeClr w14:val="tx1"/>
                        </w14:solidFill>
                      </w14:textFill>
                    </w:rPr>
                  </w:pPr>
                </w:p>
              </w:tc>
              <w:tc>
                <w:tcPr>
                  <w:tcW w:w="666" w:type="pct"/>
                  <w:vMerge w:val="restart"/>
                  <w:vAlign w:val="center"/>
                </w:tcPr>
                <w:p w14:paraId="64A69F38">
                  <w:pPr>
                    <w:autoSpaceDE w:val="0"/>
                    <w:autoSpaceDN w:val="0"/>
                    <w:spacing w:line="240" w:lineRule="auto"/>
                    <w:ind w:firstLine="0" w:firstLineChars="0"/>
                    <w:jc w:val="center"/>
                    <w:rPr>
                      <w:rFonts w:hint="default" w:eastAsia="宋体"/>
                      <w:color w:val="000000" w:themeColor="text1"/>
                      <w:lang w:val="en-US" w:eastAsia="zh-CN"/>
                      <w14:textFill>
                        <w14:solidFill>
                          <w14:schemeClr w14:val="tx1"/>
                        </w14:solidFill>
                      </w14:textFill>
                    </w:rPr>
                  </w:pPr>
                  <w:r>
                    <w:rPr>
                      <w:rFonts w:hint="eastAsia"/>
                      <w:color w:val="FF0000"/>
                      <w:lang w:val="en-US" w:eastAsia="zh-CN"/>
                    </w:rPr>
                    <w:t>氮</w:t>
                  </w:r>
                  <w:r>
                    <w:rPr>
                      <w:rFonts w:hint="eastAsia"/>
                      <w:color w:val="000000" w:themeColor="text1"/>
                      <w:lang w:val="en-US" w:eastAsia="zh-CN"/>
                      <w14:textFill>
                        <w14:solidFill>
                          <w14:schemeClr w14:val="tx1"/>
                        </w14:solidFill>
                      </w14:textFill>
                    </w:rPr>
                    <w:t>氧化物</w:t>
                  </w:r>
                </w:p>
              </w:tc>
              <w:tc>
                <w:tcPr>
                  <w:tcW w:w="703" w:type="pct"/>
                  <w:vAlign w:val="center"/>
                </w:tcPr>
                <w:p w14:paraId="156A1D24">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2014.9.22</w:t>
                  </w:r>
                </w:p>
              </w:tc>
              <w:tc>
                <w:tcPr>
                  <w:tcW w:w="607" w:type="pct"/>
                  <w:vAlign w:val="center"/>
                </w:tcPr>
                <w:p w14:paraId="79ADDE8E">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9446</w:t>
                  </w:r>
                </w:p>
              </w:tc>
              <w:tc>
                <w:tcPr>
                  <w:tcW w:w="631" w:type="pct"/>
                  <w:vAlign w:val="center"/>
                </w:tcPr>
                <w:p w14:paraId="71C87FA0">
                  <w:pPr>
                    <w:autoSpaceDE w:val="0"/>
                    <w:autoSpaceDN w:val="0"/>
                    <w:spacing w:line="240" w:lineRule="auto"/>
                    <w:ind w:firstLine="0" w:firstLineChars="0"/>
                    <w:jc w:val="center"/>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8.2</w:t>
                  </w:r>
                </w:p>
              </w:tc>
              <w:tc>
                <w:tcPr>
                  <w:tcW w:w="632" w:type="pct"/>
                  <w:vAlign w:val="center"/>
                </w:tcPr>
                <w:p w14:paraId="2D8AC31F">
                  <w:pPr>
                    <w:autoSpaceDE w:val="0"/>
                    <w:autoSpaceDN w:val="0"/>
                    <w:spacing w:line="240" w:lineRule="auto"/>
                    <w:ind w:firstLine="0" w:firstLineChars="0"/>
                    <w:jc w:val="center"/>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12.5</w:t>
                  </w:r>
                </w:p>
              </w:tc>
              <w:tc>
                <w:tcPr>
                  <w:tcW w:w="646" w:type="pct"/>
                  <w:vMerge w:val="restart"/>
                  <w:vAlign w:val="center"/>
                </w:tcPr>
                <w:p w14:paraId="4CD8D91C">
                  <w:pPr>
                    <w:autoSpaceDE w:val="0"/>
                    <w:autoSpaceDN w:val="0"/>
                    <w:spacing w:line="240" w:lineRule="auto"/>
                    <w:ind w:firstLine="0" w:firstLineChars="0"/>
                    <w:jc w:val="center"/>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458" w:type="pct"/>
                  <w:vMerge w:val="restart"/>
                  <w:vAlign w:val="center"/>
                </w:tcPr>
                <w:p w14:paraId="1687A734">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合格</w:t>
                  </w:r>
                </w:p>
              </w:tc>
            </w:tr>
            <w:tr w14:paraId="0A473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53" w:type="pct"/>
                  <w:vMerge w:val="continue"/>
                  <w:vAlign w:val="center"/>
                </w:tcPr>
                <w:p w14:paraId="0EBA9991">
                  <w:pPr>
                    <w:autoSpaceDE w:val="0"/>
                    <w:autoSpaceDN w:val="0"/>
                    <w:spacing w:line="240" w:lineRule="auto"/>
                    <w:ind w:firstLine="0" w:firstLineChars="0"/>
                    <w:jc w:val="center"/>
                    <w:rPr>
                      <w:color w:val="000000" w:themeColor="text1"/>
                      <w14:textFill>
                        <w14:solidFill>
                          <w14:schemeClr w14:val="tx1"/>
                        </w14:solidFill>
                      </w14:textFill>
                    </w:rPr>
                  </w:pPr>
                </w:p>
              </w:tc>
              <w:tc>
                <w:tcPr>
                  <w:tcW w:w="666" w:type="pct"/>
                  <w:vMerge w:val="continue"/>
                  <w:vAlign w:val="center"/>
                </w:tcPr>
                <w:p w14:paraId="1AD5741C">
                  <w:pPr>
                    <w:autoSpaceDE w:val="0"/>
                    <w:autoSpaceDN w:val="0"/>
                    <w:spacing w:line="240" w:lineRule="auto"/>
                    <w:ind w:firstLine="0" w:firstLineChars="0"/>
                    <w:jc w:val="center"/>
                    <w:rPr>
                      <w:color w:val="000000" w:themeColor="text1"/>
                      <w14:textFill>
                        <w14:solidFill>
                          <w14:schemeClr w14:val="tx1"/>
                        </w14:solidFill>
                      </w14:textFill>
                    </w:rPr>
                  </w:pPr>
                </w:p>
              </w:tc>
              <w:tc>
                <w:tcPr>
                  <w:tcW w:w="703" w:type="pct"/>
                  <w:vAlign w:val="center"/>
                </w:tcPr>
                <w:p w14:paraId="71D2FB1D">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2014. 9.23</w:t>
                  </w:r>
                </w:p>
              </w:tc>
              <w:tc>
                <w:tcPr>
                  <w:tcW w:w="607" w:type="pct"/>
                  <w:vAlign w:val="center"/>
                </w:tcPr>
                <w:p w14:paraId="4F27C706">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9486</w:t>
                  </w:r>
                </w:p>
              </w:tc>
              <w:tc>
                <w:tcPr>
                  <w:tcW w:w="631" w:type="pct"/>
                  <w:vAlign w:val="center"/>
                </w:tcPr>
                <w:p w14:paraId="4EF4239E">
                  <w:pPr>
                    <w:autoSpaceDE w:val="0"/>
                    <w:autoSpaceDN w:val="0"/>
                    <w:spacing w:line="240" w:lineRule="auto"/>
                    <w:ind w:firstLine="0" w:firstLineChars="0"/>
                    <w:jc w:val="center"/>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5.5</w:t>
                  </w:r>
                </w:p>
              </w:tc>
              <w:tc>
                <w:tcPr>
                  <w:tcW w:w="632" w:type="pct"/>
                  <w:vAlign w:val="center"/>
                </w:tcPr>
                <w:p w14:paraId="3CBDEEEE">
                  <w:pPr>
                    <w:autoSpaceDE w:val="0"/>
                    <w:autoSpaceDN w:val="0"/>
                    <w:spacing w:line="240" w:lineRule="auto"/>
                    <w:ind w:firstLine="0" w:firstLineChars="0"/>
                    <w:jc w:val="center"/>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8.3</w:t>
                  </w:r>
                </w:p>
              </w:tc>
              <w:tc>
                <w:tcPr>
                  <w:tcW w:w="646" w:type="pct"/>
                  <w:vMerge w:val="continue"/>
                  <w:vAlign w:val="center"/>
                </w:tcPr>
                <w:p w14:paraId="6A855C47">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p>
              </w:tc>
              <w:tc>
                <w:tcPr>
                  <w:tcW w:w="458" w:type="pct"/>
                  <w:vMerge w:val="continue"/>
                  <w:vAlign w:val="center"/>
                </w:tcPr>
                <w:p w14:paraId="1180DBAA">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p>
              </w:tc>
            </w:tr>
          </w:tbl>
          <w:p w14:paraId="1D1D419E">
            <w:pPr>
              <w:jc w:val="center"/>
              <w:rPr>
                <w:rFonts w:hint="eastAsia"/>
                <w:b/>
                <w:bCs/>
                <w:color w:val="000000" w:themeColor="text1"/>
                <w:sz w:val="24"/>
                <w:szCs w:val="24"/>
                <w:lang w:val="en-US" w:eastAsia="zh-CN"/>
                <w14:textFill>
                  <w14:solidFill>
                    <w14:schemeClr w14:val="tx1"/>
                  </w14:solidFill>
                </w14:textFill>
              </w:rPr>
            </w:pPr>
            <w:r>
              <w:rPr>
                <w:rFonts w:hint="default" w:ascii="Times New Roman" w:hAnsi="Times New Roman" w:cs="Times New Roman"/>
                <w:b/>
                <w:bCs/>
                <w:color w:val="000000" w:themeColor="text1"/>
                <w:spacing w:val="0"/>
                <w:w w:val="100"/>
                <w:position w:val="0"/>
                <w:sz w:val="24"/>
                <w:szCs w:val="24"/>
                <w14:textFill>
                  <w14:solidFill>
                    <w14:schemeClr w14:val="tx1"/>
                  </w14:solidFill>
                </w14:textFill>
              </w:rPr>
              <w:t>表2-</w:t>
            </w:r>
            <w:r>
              <w:rPr>
                <w:rFonts w:hint="eastAsia" w:cs="Times New Roman"/>
                <w:b/>
                <w:bCs/>
                <w:color w:val="000000" w:themeColor="text1"/>
                <w:spacing w:val="0"/>
                <w:w w:val="100"/>
                <w:position w:val="0"/>
                <w:sz w:val="24"/>
                <w:szCs w:val="24"/>
                <w:lang w:val="en-US" w:eastAsia="zh-CN"/>
                <w14:textFill>
                  <w14:solidFill>
                    <w14:schemeClr w14:val="tx1"/>
                  </w14:solidFill>
                </w14:textFill>
              </w:rPr>
              <w:t>14</w:t>
            </w:r>
            <w:r>
              <w:rPr>
                <w:rFonts w:hint="default" w:ascii="Times New Roman" w:hAnsi="Times New Roman" w:cs="Times New Roman"/>
                <w:b/>
                <w:bCs/>
                <w:color w:val="000000" w:themeColor="text1"/>
                <w:spacing w:val="0"/>
                <w:w w:val="100"/>
                <w:position w:val="0"/>
                <w:sz w:val="24"/>
                <w:szCs w:val="24"/>
                <w:lang w:val="en-US" w:eastAsia="zh-CN"/>
                <w14:textFill>
                  <w14:solidFill>
                    <w14:schemeClr w14:val="tx1"/>
                  </w14:solidFill>
                </w14:textFill>
              </w:rPr>
              <w:t xml:space="preserve">  </w:t>
            </w:r>
            <w:r>
              <w:rPr>
                <w:rFonts w:hint="eastAsia" w:ascii="Times New Roman" w:hAnsi="Times New Roman" w:cs="Times New Roman"/>
                <w:b/>
                <w:bCs/>
                <w:color w:val="000000" w:themeColor="text1"/>
                <w:spacing w:val="0"/>
                <w:w w:val="100"/>
                <w:position w:val="0"/>
                <w:sz w:val="24"/>
                <w:szCs w:val="24"/>
                <w:lang w:val="en-US" w:eastAsia="zh-CN"/>
                <w14:textFill>
                  <w14:solidFill>
                    <w14:schemeClr w14:val="tx1"/>
                  </w14:solidFill>
                </w14:textFill>
              </w:rPr>
              <w:t>现有</w:t>
            </w:r>
            <w:r>
              <w:rPr>
                <w:rFonts w:hint="default" w:ascii="Times New Roman" w:hAnsi="Times New Roman" w:cs="Times New Roman"/>
                <w:b/>
                <w:bCs/>
                <w:color w:val="000000" w:themeColor="text1"/>
                <w:spacing w:val="0"/>
                <w:w w:val="100"/>
                <w:position w:val="0"/>
                <w:sz w:val="24"/>
                <w:szCs w:val="24"/>
                <w14:textFill>
                  <w14:solidFill>
                    <w14:schemeClr w14:val="tx1"/>
                  </w14:solidFill>
                </w14:textFill>
              </w:rPr>
              <w:t>项目</w:t>
            </w:r>
            <w:r>
              <w:rPr>
                <w:rFonts w:hint="eastAsia" w:cs="Times New Roman"/>
                <w:b/>
                <w:bCs/>
                <w:color w:val="000000" w:themeColor="text1"/>
                <w:spacing w:val="0"/>
                <w:w w:val="100"/>
                <w:position w:val="0"/>
                <w:sz w:val="24"/>
                <w:szCs w:val="24"/>
                <w:lang w:val="en-US" w:eastAsia="zh-CN"/>
                <w14:textFill>
                  <w14:solidFill>
                    <w14:schemeClr w14:val="tx1"/>
                  </w14:solidFill>
                </w14:textFill>
              </w:rPr>
              <w:t xml:space="preserve">验收期间噪声监测数据 </w:t>
            </w:r>
            <w:r>
              <w:rPr>
                <w:rFonts w:hint="eastAsia" w:cs="Times New Roman"/>
                <w:b/>
                <w:bCs/>
                <w:color w:val="FF0000"/>
                <w:spacing w:val="0"/>
                <w:w w:val="100"/>
                <w:position w:val="0"/>
                <w:sz w:val="24"/>
                <w:szCs w:val="24"/>
                <w:lang w:val="en-US" w:eastAsia="zh-CN"/>
              </w:rPr>
              <w:t xml:space="preserve"> </w:t>
            </w:r>
            <w:r>
              <w:rPr>
                <w:b/>
                <w:bCs/>
                <w:color w:val="FF0000"/>
                <w:sz w:val="24"/>
              </w:rPr>
              <w:t>单位：dB（A）</w:t>
            </w:r>
          </w:p>
          <w:tbl>
            <w:tblPr>
              <w:tblStyle w:val="2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03"/>
              <w:gridCol w:w="2660"/>
              <w:gridCol w:w="2810"/>
            </w:tblGrid>
            <w:tr w14:paraId="7B6E9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1612" w:type="pct"/>
                  <w:vAlign w:val="center"/>
                </w:tcPr>
                <w:p w14:paraId="769D6A76">
                  <w:pPr>
                    <w:autoSpaceDE w:val="0"/>
                    <w:autoSpaceDN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监测时间</w:t>
                  </w:r>
                </w:p>
              </w:tc>
              <w:tc>
                <w:tcPr>
                  <w:tcW w:w="1646" w:type="pct"/>
                  <w:vAlign w:val="center"/>
                </w:tcPr>
                <w:p w14:paraId="12DDFD12">
                  <w:pPr>
                    <w:autoSpaceDE w:val="0"/>
                    <w:autoSpaceDN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监测点位</w:t>
                  </w:r>
                </w:p>
              </w:tc>
              <w:tc>
                <w:tcPr>
                  <w:tcW w:w="1740" w:type="pct"/>
                  <w:vAlign w:val="center"/>
                </w:tcPr>
                <w:p w14:paraId="6D96E4AE">
                  <w:pPr>
                    <w:autoSpaceDE w:val="0"/>
                    <w:autoSpaceDN w:val="0"/>
                    <w:spacing w:line="240" w:lineRule="auto"/>
                    <w:ind w:firstLine="0" w:firstLineChars="0"/>
                    <w:jc w:val="center"/>
                    <w:rPr>
                      <w:rFonts w:hint="default" w:eastAsia="宋体"/>
                      <w:color w:val="000000" w:themeColor="text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监测值</w:t>
                  </w:r>
                </w:p>
              </w:tc>
            </w:tr>
            <w:tr w14:paraId="1F78F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 w:hRule="atLeast"/>
              </w:trPr>
              <w:tc>
                <w:tcPr>
                  <w:tcW w:w="1612" w:type="pct"/>
                  <w:vMerge w:val="restart"/>
                  <w:vAlign w:val="center"/>
                </w:tcPr>
                <w:p w14:paraId="3BFE3A17">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2014.9.22</w:t>
                  </w:r>
                </w:p>
              </w:tc>
              <w:tc>
                <w:tcPr>
                  <w:tcW w:w="1646" w:type="pct"/>
                  <w:vAlign w:val="center"/>
                </w:tcPr>
                <w:p w14:paraId="44B2B405">
                  <w:pPr>
                    <w:autoSpaceDE w:val="0"/>
                    <w:autoSpaceDN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s="Times New Roman"/>
                      <w:b w:val="0"/>
                      <w:bCs w:val="0"/>
                      <w:color w:val="000000" w:themeColor="text1"/>
                      <w:sz w:val="21"/>
                      <w:szCs w:val="21"/>
                      <w:lang w:val="en-US" w:eastAsia="zh-CN"/>
                      <w14:textFill>
                        <w14:solidFill>
                          <w14:schemeClr w14:val="tx1"/>
                        </w14:solidFill>
                      </w14:textFill>
                    </w:rPr>
                    <w:t>厂界东面1m</w:t>
                  </w:r>
                </w:p>
              </w:tc>
              <w:tc>
                <w:tcPr>
                  <w:tcW w:w="1740" w:type="pct"/>
                  <w:vAlign w:val="center"/>
                </w:tcPr>
                <w:p w14:paraId="1507D370">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59.7</w:t>
                  </w:r>
                </w:p>
              </w:tc>
            </w:tr>
            <w:tr w14:paraId="10B67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12" w:type="pct"/>
                  <w:vMerge w:val="continue"/>
                  <w:vAlign w:val="center"/>
                </w:tcPr>
                <w:p w14:paraId="5AC050C1">
                  <w:pPr>
                    <w:autoSpaceDE w:val="0"/>
                    <w:autoSpaceDN w:val="0"/>
                    <w:spacing w:line="240" w:lineRule="auto"/>
                    <w:ind w:firstLine="0" w:firstLineChars="0"/>
                    <w:jc w:val="center"/>
                    <w:rPr>
                      <w:color w:val="000000" w:themeColor="text1"/>
                      <w14:textFill>
                        <w14:solidFill>
                          <w14:schemeClr w14:val="tx1"/>
                        </w14:solidFill>
                      </w14:textFill>
                    </w:rPr>
                  </w:pPr>
                </w:p>
              </w:tc>
              <w:tc>
                <w:tcPr>
                  <w:tcW w:w="1646" w:type="pct"/>
                  <w:vAlign w:val="center"/>
                </w:tcPr>
                <w:p w14:paraId="022CB460">
                  <w:pPr>
                    <w:autoSpaceDE w:val="0"/>
                    <w:autoSpaceDN w:val="0"/>
                    <w:spacing w:line="240" w:lineRule="auto"/>
                    <w:ind w:firstLine="0" w:firstLineChars="0"/>
                    <w:jc w:val="center"/>
                    <w:rPr>
                      <w:color w:val="000000" w:themeColor="text1"/>
                      <w14:textFill>
                        <w14:solidFill>
                          <w14:schemeClr w14:val="tx1"/>
                        </w14:solidFill>
                      </w14:textFill>
                    </w:rPr>
                  </w:pPr>
                  <w:r>
                    <w:rPr>
                      <w:rFonts w:hint="eastAsia" w:cs="Times New Roman"/>
                      <w:b w:val="0"/>
                      <w:bCs w:val="0"/>
                      <w:color w:val="000000" w:themeColor="text1"/>
                      <w:sz w:val="21"/>
                      <w:szCs w:val="21"/>
                      <w:lang w:val="en-US" w:eastAsia="zh-CN"/>
                      <w14:textFill>
                        <w14:solidFill>
                          <w14:schemeClr w14:val="tx1"/>
                        </w14:solidFill>
                      </w14:textFill>
                    </w:rPr>
                    <w:t>厂界南面1m</w:t>
                  </w:r>
                </w:p>
              </w:tc>
              <w:tc>
                <w:tcPr>
                  <w:tcW w:w="1740" w:type="pct"/>
                  <w:vAlign w:val="center"/>
                </w:tcPr>
                <w:p w14:paraId="0ED0DB62">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52.6</w:t>
                  </w:r>
                </w:p>
              </w:tc>
            </w:tr>
            <w:tr w14:paraId="220B9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12" w:type="pct"/>
                  <w:vMerge w:val="continue"/>
                  <w:vAlign w:val="center"/>
                </w:tcPr>
                <w:p w14:paraId="06F057BE">
                  <w:pPr>
                    <w:autoSpaceDE w:val="0"/>
                    <w:autoSpaceDN w:val="0"/>
                    <w:spacing w:line="240" w:lineRule="auto"/>
                    <w:ind w:firstLine="0" w:firstLineChars="0"/>
                    <w:jc w:val="center"/>
                    <w:rPr>
                      <w:color w:val="000000" w:themeColor="text1"/>
                      <w14:textFill>
                        <w14:solidFill>
                          <w14:schemeClr w14:val="tx1"/>
                        </w14:solidFill>
                      </w14:textFill>
                    </w:rPr>
                  </w:pPr>
                </w:p>
              </w:tc>
              <w:tc>
                <w:tcPr>
                  <w:tcW w:w="1646" w:type="pct"/>
                  <w:vAlign w:val="center"/>
                </w:tcPr>
                <w:p w14:paraId="16ED72EF">
                  <w:pPr>
                    <w:autoSpaceDE w:val="0"/>
                    <w:autoSpaceDN w:val="0"/>
                    <w:spacing w:line="240" w:lineRule="auto"/>
                    <w:ind w:firstLine="0" w:firstLineChars="0"/>
                    <w:jc w:val="center"/>
                    <w:rPr>
                      <w:rFonts w:hint="default" w:eastAsia="宋体"/>
                      <w:color w:val="000000" w:themeColor="text1"/>
                      <w:lang w:val="en-US" w:eastAsia="zh-CN"/>
                      <w14:textFill>
                        <w14:solidFill>
                          <w14:schemeClr w14:val="tx1"/>
                        </w14:solidFill>
                      </w14:textFill>
                    </w:rPr>
                  </w:pPr>
                  <w:r>
                    <w:rPr>
                      <w:rFonts w:hint="eastAsia" w:cs="Times New Roman"/>
                      <w:b w:val="0"/>
                      <w:bCs w:val="0"/>
                      <w:color w:val="000000" w:themeColor="text1"/>
                      <w:sz w:val="21"/>
                      <w:szCs w:val="21"/>
                      <w:lang w:val="en-US" w:eastAsia="zh-CN"/>
                      <w14:textFill>
                        <w14:solidFill>
                          <w14:schemeClr w14:val="tx1"/>
                        </w14:solidFill>
                      </w14:textFill>
                    </w:rPr>
                    <w:t>厂界西面1m</w:t>
                  </w:r>
                </w:p>
              </w:tc>
              <w:tc>
                <w:tcPr>
                  <w:tcW w:w="1740" w:type="pct"/>
                  <w:vAlign w:val="center"/>
                </w:tcPr>
                <w:p w14:paraId="73BD7014">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61.2</w:t>
                  </w:r>
                </w:p>
              </w:tc>
            </w:tr>
            <w:tr w14:paraId="0CCD4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12" w:type="pct"/>
                  <w:vMerge w:val="continue"/>
                  <w:vAlign w:val="center"/>
                </w:tcPr>
                <w:p w14:paraId="4DA53FD1">
                  <w:pPr>
                    <w:autoSpaceDE w:val="0"/>
                    <w:autoSpaceDN w:val="0"/>
                    <w:spacing w:line="240" w:lineRule="auto"/>
                    <w:ind w:firstLine="0" w:firstLineChars="0"/>
                    <w:jc w:val="center"/>
                    <w:rPr>
                      <w:color w:val="000000" w:themeColor="text1"/>
                      <w14:textFill>
                        <w14:solidFill>
                          <w14:schemeClr w14:val="tx1"/>
                        </w14:solidFill>
                      </w14:textFill>
                    </w:rPr>
                  </w:pPr>
                </w:p>
              </w:tc>
              <w:tc>
                <w:tcPr>
                  <w:tcW w:w="1646" w:type="pct"/>
                  <w:vAlign w:val="center"/>
                </w:tcPr>
                <w:p w14:paraId="176E4F90">
                  <w:pPr>
                    <w:autoSpaceDE w:val="0"/>
                    <w:autoSpaceDN w:val="0"/>
                    <w:spacing w:line="240" w:lineRule="auto"/>
                    <w:ind w:firstLine="0" w:firstLineChars="0"/>
                    <w:jc w:val="center"/>
                    <w:rPr>
                      <w:rFonts w:hint="eastAsia"/>
                      <w:color w:val="000000" w:themeColor="text1"/>
                      <w:lang w:val="en-US" w:eastAsia="zh-CN"/>
                      <w14:textFill>
                        <w14:solidFill>
                          <w14:schemeClr w14:val="tx1"/>
                        </w14:solidFill>
                      </w14:textFill>
                    </w:rPr>
                  </w:pPr>
                  <w:r>
                    <w:rPr>
                      <w:rFonts w:hint="eastAsia" w:cs="Times New Roman"/>
                      <w:b w:val="0"/>
                      <w:bCs w:val="0"/>
                      <w:color w:val="000000" w:themeColor="text1"/>
                      <w:sz w:val="21"/>
                      <w:szCs w:val="21"/>
                      <w:lang w:val="en-US" w:eastAsia="zh-CN"/>
                      <w14:textFill>
                        <w14:solidFill>
                          <w14:schemeClr w14:val="tx1"/>
                        </w14:solidFill>
                      </w14:textFill>
                    </w:rPr>
                    <w:t>厂界北面1m</w:t>
                  </w:r>
                </w:p>
              </w:tc>
              <w:tc>
                <w:tcPr>
                  <w:tcW w:w="1740" w:type="pct"/>
                  <w:vAlign w:val="center"/>
                </w:tcPr>
                <w:p w14:paraId="00A7E250">
                  <w:pPr>
                    <w:autoSpaceDE w:val="0"/>
                    <w:autoSpaceDN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57.2</w:t>
                  </w:r>
                </w:p>
              </w:tc>
            </w:tr>
            <w:tr w14:paraId="20F1B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59" w:type="pct"/>
                  <w:gridSpan w:val="2"/>
                  <w:vAlign w:val="center"/>
                </w:tcPr>
                <w:p w14:paraId="75060633">
                  <w:pPr>
                    <w:autoSpaceDE w:val="0"/>
                    <w:autoSpaceDN w:val="0"/>
                    <w:spacing w:line="240" w:lineRule="auto"/>
                    <w:ind w:firstLine="0" w:firstLineChars="0"/>
                    <w:jc w:val="center"/>
                    <w:rPr>
                      <w:rFonts w:hint="default" w:cs="Times New Roman"/>
                      <w:b w:val="0"/>
                      <w:bCs w:val="0"/>
                      <w:color w:val="000000" w:themeColor="text1"/>
                      <w:sz w:val="21"/>
                      <w:szCs w:val="21"/>
                      <w:lang w:val="en-US" w:eastAsia="zh-CN"/>
                      <w14:textFill>
                        <w14:solidFill>
                          <w14:schemeClr w14:val="tx1"/>
                        </w14:solidFill>
                      </w14:textFill>
                    </w:rPr>
                  </w:pPr>
                  <w:r>
                    <w:rPr>
                      <w:rFonts w:hint="eastAsia" w:cs="Times New Roman"/>
                      <w:b w:val="0"/>
                      <w:bCs w:val="0"/>
                      <w:color w:val="000000" w:themeColor="text1"/>
                      <w:sz w:val="21"/>
                      <w:szCs w:val="21"/>
                      <w:lang w:val="en-US" w:eastAsia="zh-CN"/>
                      <w14:textFill>
                        <w14:solidFill>
                          <w14:schemeClr w14:val="tx1"/>
                        </w14:solidFill>
                      </w14:textFill>
                    </w:rPr>
                    <w:t>执行标准</w:t>
                  </w:r>
                </w:p>
              </w:tc>
              <w:tc>
                <w:tcPr>
                  <w:tcW w:w="1740" w:type="pct"/>
                  <w:vAlign w:val="center"/>
                </w:tcPr>
                <w:p w14:paraId="05E3A54D">
                  <w:pPr>
                    <w:autoSpaceDE w:val="0"/>
                    <w:autoSpaceDN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65</w:t>
                  </w:r>
                </w:p>
              </w:tc>
            </w:tr>
          </w:tbl>
          <w:p w14:paraId="4D71B63C">
            <w:pPr>
              <w:spacing w:line="360" w:lineRule="auto"/>
              <w:ind w:firstLine="482" w:firstLineChars="200"/>
              <w:rPr>
                <w:rFonts w:hint="default" w:ascii="Times New Roman" w:hAnsi="Times New Roman" w:eastAsia="宋体" w:cs="Times New Roman"/>
                <w:b/>
                <w:bCs/>
                <w:color w:val="000000" w:themeColor="text1"/>
                <w:spacing w:val="0"/>
                <w:w w:val="100"/>
                <w:position w:val="0"/>
                <w:sz w:val="24"/>
                <w14:textFill>
                  <w14:solidFill>
                    <w14:schemeClr w14:val="tx1"/>
                  </w14:solidFill>
                </w14:textFill>
              </w:rPr>
            </w:pPr>
            <w:r>
              <w:rPr>
                <w:rFonts w:hint="eastAsia" w:cs="Times New Roman"/>
                <w:b/>
                <w:bCs/>
                <w:color w:val="000000" w:themeColor="text1"/>
                <w:spacing w:val="0"/>
                <w:w w:val="100"/>
                <w:position w:val="0"/>
                <w:sz w:val="24"/>
                <w:lang w:val="en-US" w:eastAsia="zh-CN"/>
                <w14:textFill>
                  <w14:solidFill>
                    <w14:schemeClr w14:val="tx1"/>
                  </w14:solidFill>
                </w14:textFill>
              </w:rPr>
              <w:t>四</w:t>
            </w:r>
            <w:r>
              <w:rPr>
                <w:rFonts w:hint="default" w:ascii="Times New Roman" w:hAnsi="Times New Roman" w:eastAsia="宋体" w:cs="Times New Roman"/>
                <w:b/>
                <w:bCs/>
                <w:color w:val="000000" w:themeColor="text1"/>
                <w:spacing w:val="0"/>
                <w:w w:val="100"/>
                <w:position w:val="0"/>
                <w:sz w:val="24"/>
                <w14:textFill>
                  <w14:solidFill>
                    <w14:schemeClr w14:val="tx1"/>
                  </w14:solidFill>
                </w14:textFill>
              </w:rPr>
              <w:t>、</w:t>
            </w:r>
            <w:r>
              <w:rPr>
                <w:rFonts w:hint="eastAsia" w:ascii="Times New Roman" w:hAnsi="Times New Roman" w:eastAsia="宋体" w:cs="Times New Roman"/>
                <w:b/>
                <w:bCs/>
                <w:color w:val="000000" w:themeColor="text1"/>
                <w:spacing w:val="0"/>
                <w:w w:val="100"/>
                <w:position w:val="0"/>
                <w:sz w:val="24"/>
                <w:lang w:val="en-US" w:eastAsia="zh-CN"/>
                <w14:textFill>
                  <w14:solidFill>
                    <w14:schemeClr w14:val="tx1"/>
                  </w14:solidFill>
                </w14:textFill>
              </w:rPr>
              <w:t>现有</w:t>
            </w:r>
            <w:r>
              <w:rPr>
                <w:rFonts w:hint="default" w:ascii="Times New Roman" w:hAnsi="Times New Roman" w:eastAsia="宋体" w:cs="Times New Roman"/>
                <w:b/>
                <w:bCs/>
                <w:color w:val="000000" w:themeColor="text1"/>
                <w:spacing w:val="0"/>
                <w:w w:val="100"/>
                <w:position w:val="0"/>
                <w:sz w:val="24"/>
                <w14:textFill>
                  <w14:solidFill>
                    <w14:schemeClr w14:val="tx1"/>
                  </w14:solidFill>
                </w14:textFill>
              </w:rPr>
              <w:t>工程污染物排</w:t>
            </w:r>
            <w:r>
              <w:rPr>
                <w:rFonts w:hint="eastAsia" w:cs="Times New Roman"/>
                <w:b/>
                <w:bCs/>
                <w:color w:val="000000" w:themeColor="text1"/>
                <w:spacing w:val="0"/>
                <w:w w:val="100"/>
                <w:position w:val="0"/>
                <w:sz w:val="24"/>
                <w:lang w:val="en-US" w:eastAsia="zh-CN"/>
                <w14:textFill>
                  <w14:solidFill>
                    <w14:schemeClr w14:val="tx1"/>
                  </w14:solidFill>
                </w14:textFill>
              </w:rPr>
              <w:t>放</w:t>
            </w:r>
            <w:r>
              <w:rPr>
                <w:rFonts w:hint="default" w:ascii="Times New Roman" w:hAnsi="Times New Roman" w:eastAsia="宋体" w:cs="Times New Roman"/>
                <w:b/>
                <w:bCs/>
                <w:color w:val="000000" w:themeColor="text1"/>
                <w:spacing w:val="0"/>
                <w:w w:val="100"/>
                <w:position w:val="0"/>
                <w:sz w:val="24"/>
                <w14:textFill>
                  <w14:solidFill>
                    <w14:schemeClr w14:val="tx1"/>
                  </w14:solidFill>
                </w14:textFill>
              </w:rPr>
              <w:t>情况</w:t>
            </w:r>
          </w:p>
          <w:p w14:paraId="7D6DED35">
            <w:pPr>
              <w:pStyle w:val="105"/>
              <w:keepNext w:val="0"/>
              <w:keepLines w:val="0"/>
              <w:pageBreakBefore w:val="0"/>
              <w:widowControl w:val="0"/>
              <w:kinsoku/>
              <w:wordWrap/>
              <w:overflowPunct w:val="0"/>
              <w:topLinePunct w:val="0"/>
              <w:autoSpaceDE w:val="0"/>
              <w:autoSpaceDN w:val="0"/>
              <w:bidi w:val="0"/>
              <w:adjustRightInd w:val="0"/>
              <w:snapToGrid w:val="0"/>
              <w:spacing w:before="0" w:beforeLines="0" w:line="360" w:lineRule="auto"/>
              <w:ind w:firstLine="482" w:firstLineChars="200"/>
              <w:jc w:val="both"/>
              <w:textAlignment w:val="auto"/>
              <w:rPr>
                <w:rFonts w:hint="default" w:ascii="Times New Roman" w:hAnsi="Times New Roman" w:cs="Times New Roman"/>
                <w:b/>
                <w:bCs w:val="0"/>
                <w:color w:val="000000" w:themeColor="text1"/>
                <w:spacing w:val="0"/>
                <w:w w:val="100"/>
                <w:position w:val="0"/>
                <w:sz w:val="24"/>
                <w:szCs w:val="24"/>
                <w14:textFill>
                  <w14:solidFill>
                    <w14:schemeClr w14:val="tx1"/>
                  </w14:solidFill>
                </w14:textFill>
              </w:rPr>
            </w:pPr>
            <w:r>
              <w:rPr>
                <w:rFonts w:hint="default" w:ascii="Times New Roman" w:hAnsi="Times New Roman" w:cs="Times New Roman"/>
                <w:b/>
                <w:bCs w:val="0"/>
                <w:color w:val="000000" w:themeColor="text1"/>
                <w:spacing w:val="0"/>
                <w:w w:val="100"/>
                <w:position w:val="0"/>
                <w:sz w:val="24"/>
                <w:szCs w:val="24"/>
                <w14:textFill>
                  <w14:solidFill>
                    <w14:schemeClr w14:val="tx1"/>
                  </w14:solidFill>
                </w14:textFill>
              </w:rPr>
              <w:t>1、现有污染</w:t>
            </w:r>
            <w:r>
              <w:rPr>
                <w:rFonts w:hint="eastAsia" w:cs="Times New Roman"/>
                <w:b/>
                <w:bCs w:val="0"/>
                <w:color w:val="000000" w:themeColor="text1"/>
                <w:spacing w:val="0"/>
                <w:w w:val="100"/>
                <w:position w:val="0"/>
                <w:sz w:val="24"/>
                <w:szCs w:val="24"/>
                <w:lang w:val="en-US" w:eastAsia="zh-CN"/>
                <w14:textFill>
                  <w14:solidFill>
                    <w14:schemeClr w14:val="tx1"/>
                  </w14:solidFill>
                </w14:textFill>
              </w:rPr>
              <w:t>物排放</w:t>
            </w:r>
            <w:r>
              <w:rPr>
                <w:rFonts w:hint="default" w:ascii="Times New Roman" w:hAnsi="Times New Roman" w:cs="Times New Roman"/>
                <w:b/>
                <w:bCs w:val="0"/>
                <w:color w:val="000000" w:themeColor="text1"/>
                <w:spacing w:val="0"/>
                <w:w w:val="100"/>
                <w:position w:val="0"/>
                <w:sz w:val="24"/>
                <w:szCs w:val="24"/>
                <w14:textFill>
                  <w14:solidFill>
                    <w14:schemeClr w14:val="tx1"/>
                  </w14:solidFill>
                </w14:textFill>
              </w:rPr>
              <w:t>汇总</w:t>
            </w:r>
          </w:p>
          <w:p w14:paraId="16ABA296">
            <w:pPr>
              <w:pStyle w:val="105"/>
              <w:keepNext w:val="0"/>
              <w:keepLines w:val="0"/>
              <w:pageBreakBefore w:val="0"/>
              <w:widowControl w:val="0"/>
              <w:kinsoku/>
              <w:wordWrap/>
              <w:overflowPunct w:val="0"/>
              <w:topLinePunct w:val="0"/>
              <w:autoSpaceDE w:val="0"/>
              <w:autoSpaceDN w:val="0"/>
              <w:bidi w:val="0"/>
              <w:adjustRightInd w:val="0"/>
              <w:snapToGrid w:val="0"/>
              <w:spacing w:before="0" w:beforeLines="0" w:line="360" w:lineRule="auto"/>
              <w:ind w:firstLine="480" w:firstLineChars="200"/>
              <w:jc w:val="both"/>
              <w:textAlignment w:val="auto"/>
              <w:rPr>
                <w:rFonts w:hint="default" w:ascii="Times New Roman" w:hAnsi="Times New Roman" w:cs="Times New Roman"/>
                <w:b w:val="0"/>
                <w:bCs/>
                <w:color w:val="000000" w:themeColor="text1"/>
                <w:spacing w:val="0"/>
                <w:w w:val="100"/>
                <w:position w:val="0"/>
                <w:sz w:val="24"/>
                <w:szCs w:val="24"/>
                <w14:textFill>
                  <w14:solidFill>
                    <w14:schemeClr w14:val="tx1"/>
                  </w14:solidFill>
                </w14:textFill>
              </w:rPr>
            </w:pPr>
            <w:r>
              <w:rPr>
                <w:rFonts w:hint="default" w:ascii="Times New Roman" w:hAnsi="Times New Roman" w:cs="Times New Roman"/>
                <w:b w:val="0"/>
                <w:bCs/>
                <w:color w:val="000000" w:themeColor="text1"/>
                <w:spacing w:val="0"/>
                <w:w w:val="100"/>
                <w:position w:val="0"/>
                <w:sz w:val="24"/>
                <w:szCs w:val="24"/>
                <w14:textFill>
                  <w14:solidFill>
                    <w14:schemeClr w14:val="tx1"/>
                  </w14:solidFill>
                </w14:textFill>
              </w:rPr>
              <w:t>现有项目污染物排放情况见表。</w:t>
            </w:r>
          </w:p>
          <w:p w14:paraId="3E2001BC">
            <w:pPr>
              <w:pStyle w:val="105"/>
              <w:keepNext w:val="0"/>
              <w:keepLines w:val="0"/>
              <w:pageBreakBefore w:val="0"/>
              <w:widowControl w:val="0"/>
              <w:kinsoku/>
              <w:wordWrap/>
              <w:overflowPunct w:val="0"/>
              <w:topLinePunct w:val="0"/>
              <w:autoSpaceDE w:val="0"/>
              <w:autoSpaceDN w:val="0"/>
              <w:bidi w:val="0"/>
              <w:adjustRightInd w:val="0"/>
              <w:snapToGrid w:val="0"/>
              <w:spacing w:before="0" w:beforeLines="0" w:line="240" w:lineRule="auto"/>
              <w:ind w:firstLine="482" w:firstLineChars="200"/>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pacing w:val="0"/>
                <w:w w:val="100"/>
                <w:position w:val="0"/>
                <w:sz w:val="24"/>
                <w:szCs w:val="24"/>
                <w14:textFill>
                  <w14:solidFill>
                    <w14:schemeClr w14:val="tx1"/>
                  </w14:solidFill>
                </w14:textFill>
              </w:rPr>
              <w:t>表2-</w:t>
            </w:r>
            <w:r>
              <w:rPr>
                <w:rFonts w:hint="eastAsia" w:cs="Times New Roman"/>
                <w:color w:val="000000" w:themeColor="text1"/>
                <w:spacing w:val="0"/>
                <w:w w:val="100"/>
                <w:position w:val="0"/>
                <w:sz w:val="24"/>
                <w:szCs w:val="24"/>
                <w:lang w:val="en-US" w:eastAsia="zh-CN"/>
                <w14:textFill>
                  <w14:solidFill>
                    <w14:schemeClr w14:val="tx1"/>
                  </w14:solidFill>
                </w14:textFill>
              </w:rPr>
              <w:t>15</w:t>
            </w:r>
            <w:r>
              <w:rPr>
                <w:rFonts w:hint="default" w:ascii="Times New Roman" w:hAnsi="Times New Roman" w:cs="Times New Roman"/>
                <w:color w:val="000000" w:themeColor="text1"/>
                <w:spacing w:val="0"/>
                <w:w w:val="100"/>
                <w:position w:val="0"/>
                <w:sz w:val="24"/>
                <w:szCs w:val="24"/>
                <w:lang w:val="en-US" w:eastAsia="zh-CN"/>
                <w14:textFill>
                  <w14:solidFill>
                    <w14:schemeClr w14:val="tx1"/>
                  </w14:solidFill>
                </w14:textFill>
              </w:rPr>
              <w:t xml:space="preserve">  </w:t>
            </w:r>
            <w:r>
              <w:rPr>
                <w:rFonts w:hint="eastAsia" w:ascii="Times New Roman" w:hAnsi="Times New Roman" w:cs="Times New Roman"/>
                <w:color w:val="000000" w:themeColor="text1"/>
                <w:spacing w:val="0"/>
                <w:w w:val="100"/>
                <w:position w:val="0"/>
                <w:sz w:val="24"/>
                <w:szCs w:val="24"/>
                <w:lang w:val="en-US" w:eastAsia="zh-CN"/>
                <w14:textFill>
                  <w14:solidFill>
                    <w14:schemeClr w14:val="tx1"/>
                  </w14:solidFill>
                </w14:textFill>
              </w:rPr>
              <w:t>现有</w:t>
            </w:r>
            <w:r>
              <w:rPr>
                <w:rFonts w:hint="default" w:ascii="Times New Roman" w:hAnsi="Times New Roman" w:cs="Times New Roman"/>
                <w:color w:val="000000" w:themeColor="text1"/>
                <w:spacing w:val="0"/>
                <w:w w:val="100"/>
                <w:position w:val="0"/>
                <w:sz w:val="24"/>
                <w:szCs w:val="24"/>
                <w14:textFill>
                  <w14:solidFill>
                    <w14:schemeClr w14:val="tx1"/>
                  </w14:solidFill>
                </w14:textFill>
              </w:rPr>
              <w:t>项目污染物排污情况一览表</w:t>
            </w:r>
          </w:p>
          <w:tbl>
            <w:tblPr>
              <w:tblStyle w:val="28"/>
              <w:tblW w:w="0" w:type="auto"/>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4366"/>
              <w:gridCol w:w="2549"/>
            </w:tblGrid>
            <w:tr w14:paraId="1E8A0C5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98" w:type="dxa"/>
                  <w:noWrap w:val="0"/>
                  <w:vAlign w:val="center"/>
                </w:tcPr>
                <w:p w14:paraId="13366F63">
                  <w:pPr>
                    <w:keepNext w:val="0"/>
                    <w:keepLines w:val="0"/>
                    <w:pageBreakBefore w:val="0"/>
                    <w:kinsoku/>
                    <w:wordWrap/>
                    <w:overflowPunct/>
                    <w:topLinePunct w:val="0"/>
                    <w:bidi w:val="0"/>
                    <w:ind w:firstLine="0" w:firstLineChars="0"/>
                    <w:jc w:val="center"/>
                    <w:textAlignment w:val="auto"/>
                    <w:rPr>
                      <w:rFonts w:hint="default" w:ascii="Times New Roman" w:hAnsi="Times New Roman" w:cs="Times New Roman"/>
                      <w:color w:val="000000" w:themeColor="text1"/>
                      <w:vertAlign w:val="baseline"/>
                      <w14:textFill>
                        <w14:solidFill>
                          <w14:schemeClr w14:val="tx1"/>
                        </w14:solidFill>
                      </w14:textFill>
                    </w:rPr>
                  </w:pPr>
                  <w:r>
                    <w:rPr>
                      <w:rFonts w:hint="default" w:ascii="Times New Roman" w:hAnsi="Times New Roman" w:eastAsia="宋体" w:cs="Times New Roman"/>
                      <w:b w:val="0"/>
                      <w:bCs/>
                      <w:color w:val="000000" w:themeColor="text1"/>
                      <w:spacing w:val="0"/>
                      <w:w w:val="100"/>
                      <w:position w:val="0"/>
                      <w:sz w:val="21"/>
                      <w:szCs w:val="21"/>
                      <w14:textFill>
                        <w14:solidFill>
                          <w14:schemeClr w14:val="tx1"/>
                        </w14:solidFill>
                      </w14:textFill>
                    </w:rPr>
                    <w:t>类型</w:t>
                  </w:r>
                </w:p>
              </w:tc>
              <w:tc>
                <w:tcPr>
                  <w:tcW w:w="4366" w:type="dxa"/>
                  <w:noWrap w:val="0"/>
                  <w:vAlign w:val="center"/>
                </w:tcPr>
                <w:p w14:paraId="6AF13467">
                  <w:pPr>
                    <w:keepNext w:val="0"/>
                    <w:keepLines w:val="0"/>
                    <w:pageBreakBefore w:val="0"/>
                    <w:kinsoku/>
                    <w:wordWrap/>
                    <w:overflowPunct/>
                    <w:topLinePunct w:val="0"/>
                    <w:bidi w:val="0"/>
                    <w:ind w:firstLine="0" w:firstLineChars="0"/>
                    <w:jc w:val="center"/>
                    <w:textAlignment w:val="auto"/>
                    <w:rPr>
                      <w:rFonts w:hint="default" w:ascii="Times New Roman" w:hAnsi="Times New Roman" w:cs="Times New Roman"/>
                      <w:color w:val="000000" w:themeColor="text1"/>
                      <w:vertAlign w:val="baseline"/>
                      <w14:textFill>
                        <w14:solidFill>
                          <w14:schemeClr w14:val="tx1"/>
                        </w14:solidFill>
                      </w14:textFill>
                    </w:rPr>
                  </w:pPr>
                  <w:r>
                    <w:rPr>
                      <w:rFonts w:hint="default" w:ascii="Times New Roman" w:hAnsi="Times New Roman" w:eastAsia="宋体" w:cs="Times New Roman"/>
                      <w:b w:val="0"/>
                      <w:bCs/>
                      <w:color w:val="000000" w:themeColor="text1"/>
                      <w:spacing w:val="0"/>
                      <w:w w:val="100"/>
                      <w:position w:val="0"/>
                      <w:sz w:val="21"/>
                      <w:szCs w:val="21"/>
                      <w14:textFill>
                        <w14:solidFill>
                          <w14:schemeClr w14:val="tx1"/>
                        </w14:solidFill>
                      </w14:textFill>
                    </w:rPr>
                    <w:t>项目</w:t>
                  </w:r>
                </w:p>
              </w:tc>
              <w:tc>
                <w:tcPr>
                  <w:tcW w:w="2549" w:type="dxa"/>
                  <w:noWrap w:val="0"/>
                  <w:vAlign w:val="center"/>
                </w:tcPr>
                <w:p w14:paraId="2E540B63">
                  <w:pPr>
                    <w:keepNext w:val="0"/>
                    <w:keepLines w:val="0"/>
                    <w:pageBreakBefore w:val="0"/>
                    <w:kinsoku/>
                    <w:wordWrap/>
                    <w:overflowPunct/>
                    <w:topLinePunct w:val="0"/>
                    <w:bidi w:val="0"/>
                    <w:ind w:firstLine="0" w:firstLineChars="0"/>
                    <w:jc w:val="center"/>
                    <w:textAlignment w:val="auto"/>
                    <w:rPr>
                      <w:rFonts w:hint="default" w:ascii="Times New Roman" w:hAnsi="Times New Roman" w:cs="Times New Roman"/>
                      <w:b w:val="0"/>
                      <w:bCs w:val="0"/>
                      <w:color w:val="000000" w:themeColor="text1"/>
                      <w:vertAlign w:val="baseline"/>
                      <w14:textFill>
                        <w14:solidFill>
                          <w14:schemeClr w14:val="tx1"/>
                        </w14:solidFill>
                      </w14:textFill>
                    </w:rPr>
                  </w:pPr>
                  <w:r>
                    <w:rPr>
                      <w:rFonts w:hint="default" w:ascii="Times New Roman" w:hAnsi="Times New Roman" w:eastAsia="宋体" w:cs="Times New Roman"/>
                      <w:b w:val="0"/>
                      <w:bCs w:val="0"/>
                      <w:color w:val="000000" w:themeColor="text1"/>
                      <w:spacing w:val="0"/>
                      <w:w w:val="100"/>
                      <w:position w:val="0"/>
                      <w:sz w:val="21"/>
                      <w:szCs w:val="21"/>
                      <w14:textFill>
                        <w14:solidFill>
                          <w14:schemeClr w14:val="tx1"/>
                        </w14:solidFill>
                      </w14:textFill>
                    </w:rPr>
                    <w:t>排放量</w:t>
                  </w:r>
                </w:p>
              </w:tc>
            </w:tr>
            <w:tr w14:paraId="5D7F917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98" w:type="dxa"/>
                  <w:vMerge w:val="restart"/>
                  <w:noWrap w:val="0"/>
                  <w:vAlign w:val="center"/>
                </w:tcPr>
                <w:p w14:paraId="5A4C70DE">
                  <w:pPr>
                    <w:pStyle w:val="107"/>
                    <w:keepNext w:val="0"/>
                    <w:keepLines w:val="0"/>
                    <w:pageBreakBefore w:val="0"/>
                    <w:kinsoku/>
                    <w:wordWrap/>
                    <w:overflowPunct/>
                    <w:topLinePunct w:val="0"/>
                    <w:bidi w:val="0"/>
                    <w:ind w:firstLine="0" w:firstLineChars="0"/>
                    <w:textAlignment w:val="auto"/>
                    <w:rPr>
                      <w:rFonts w:hint="eastAsia" w:ascii="Times New Roman" w:hAnsi="Times New Roman" w:eastAsia="宋体" w:cs="Times New Roman"/>
                      <w:color w:val="000000" w:themeColor="text1"/>
                      <w:spacing w:val="0"/>
                      <w:w w:val="100"/>
                      <w:position w:val="0"/>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pacing w:val="0"/>
                      <w:w w:val="100"/>
                      <w:position w:val="0"/>
                      <w:sz w:val="21"/>
                      <w:szCs w:val="21"/>
                      <w:lang w:val="en-US" w:eastAsia="zh-CN"/>
                      <w14:textFill>
                        <w14:solidFill>
                          <w14:schemeClr w14:val="tx1"/>
                        </w14:solidFill>
                      </w14:textFill>
                    </w:rPr>
                    <w:t>废气</w:t>
                  </w:r>
                </w:p>
              </w:tc>
              <w:tc>
                <w:tcPr>
                  <w:tcW w:w="4366" w:type="dxa"/>
                  <w:noWrap w:val="0"/>
                  <w:vAlign w:val="center"/>
                </w:tcPr>
                <w:p w14:paraId="325050D9">
                  <w:pPr>
                    <w:pStyle w:val="42"/>
                    <w:keepNext w:val="0"/>
                    <w:keepLines w:val="0"/>
                    <w:pageBreakBefore w:val="0"/>
                    <w:kinsoku/>
                    <w:wordWrap/>
                    <w:overflowPunct/>
                    <w:topLinePunct w:val="0"/>
                    <w:bidi w:val="0"/>
                    <w:spacing w:beforeLines="0" w:afterLines="0" w:line="240" w:lineRule="auto"/>
                    <w:ind w:firstLine="0" w:firstLineChars="0"/>
                    <w:textAlignment w:val="auto"/>
                    <w:rPr>
                      <w:rFonts w:hint="default" w:ascii="Times New Roman" w:hAnsi="Times New Roman" w:eastAsia="宋体" w:cs="Times New Roman"/>
                      <w:b w:val="0"/>
                      <w:bCs/>
                      <w:snapToGrid w:val="0"/>
                      <w:color w:val="000000" w:themeColor="text1"/>
                      <w:spacing w:val="0"/>
                      <w:w w:val="100"/>
                      <w:kern w:val="21"/>
                      <w:position w:val="0"/>
                      <w:sz w:val="21"/>
                      <w:szCs w:val="21"/>
                      <w:lang w:val="en-US" w:eastAsia="zh-CN"/>
                      <w14:textFill>
                        <w14:solidFill>
                          <w14:schemeClr w14:val="tx1"/>
                        </w14:solidFill>
                      </w14:textFill>
                    </w:rPr>
                  </w:pPr>
                  <w:r>
                    <w:rPr>
                      <w:rFonts w:hint="default" w:ascii="Times New Roman" w:hAnsi="Times New Roman" w:eastAsia="宋体" w:cs="Times New Roman"/>
                      <w:b w:val="0"/>
                      <w:bCs/>
                      <w:snapToGrid w:val="0"/>
                      <w:color w:val="000000" w:themeColor="text1"/>
                      <w:spacing w:val="0"/>
                      <w:w w:val="100"/>
                      <w:kern w:val="21"/>
                      <w:position w:val="0"/>
                      <w:sz w:val="21"/>
                      <w:szCs w:val="21"/>
                      <w:lang w:val="en-US" w:eastAsia="zh-CN"/>
                      <w14:textFill>
                        <w14:solidFill>
                          <w14:schemeClr w14:val="tx1"/>
                        </w14:solidFill>
                      </w14:textFill>
                    </w:rPr>
                    <w:t>颗粒物</w:t>
                  </w:r>
                </w:p>
              </w:tc>
              <w:tc>
                <w:tcPr>
                  <w:tcW w:w="2549" w:type="dxa"/>
                  <w:noWrap w:val="0"/>
                  <w:vAlign w:val="center"/>
                </w:tcPr>
                <w:p w14:paraId="4958055B">
                  <w:pPr>
                    <w:pStyle w:val="42"/>
                    <w:keepNext w:val="0"/>
                    <w:keepLines w:val="0"/>
                    <w:pageBreakBefore w:val="0"/>
                    <w:kinsoku/>
                    <w:wordWrap/>
                    <w:overflowPunct/>
                    <w:topLinePunct w:val="0"/>
                    <w:bidi w:val="0"/>
                    <w:spacing w:beforeLines="0" w:afterLines="0" w:line="240" w:lineRule="auto"/>
                    <w:ind w:firstLine="0" w:firstLineChars="0"/>
                    <w:textAlignment w:val="auto"/>
                    <w:rPr>
                      <w:rFonts w:hint="default" w:ascii="Times New Roman" w:hAnsi="Times New Roman" w:eastAsia="宋体" w:cs="Times New Roman"/>
                      <w:b w:val="0"/>
                      <w:bCs w:val="0"/>
                      <w:snapToGrid w:val="0"/>
                      <w:color w:val="000000" w:themeColor="text1"/>
                      <w:spacing w:val="0"/>
                      <w:w w:val="100"/>
                      <w:kern w:val="21"/>
                      <w:position w:val="0"/>
                      <w:sz w:val="21"/>
                      <w:szCs w:val="21"/>
                      <w:lang w:val="en-US" w:eastAsia="zh-CN"/>
                      <w14:textFill>
                        <w14:solidFill>
                          <w14:schemeClr w14:val="tx1"/>
                        </w14:solidFill>
                      </w14:textFill>
                    </w:rPr>
                  </w:pPr>
                  <w:r>
                    <w:rPr>
                      <w:rFonts w:hint="default" w:ascii="Times New Roman" w:hAnsi="Times New Roman" w:eastAsia="宋体" w:cs="Times New Roman"/>
                      <w:b w:val="0"/>
                      <w:bCs w:val="0"/>
                      <w:snapToGrid w:val="0"/>
                      <w:color w:val="000000" w:themeColor="text1"/>
                      <w:spacing w:val="0"/>
                      <w:w w:val="100"/>
                      <w:kern w:val="21"/>
                      <w:position w:val="0"/>
                      <w:sz w:val="21"/>
                      <w:szCs w:val="21"/>
                      <w:lang w:val="en-US" w:eastAsia="zh-CN"/>
                      <w14:textFill>
                        <w14:solidFill>
                          <w14:schemeClr w14:val="tx1"/>
                        </w14:solidFill>
                      </w14:textFill>
                    </w:rPr>
                    <w:t>3.2t/a</w:t>
                  </w:r>
                </w:p>
              </w:tc>
            </w:tr>
            <w:tr w14:paraId="2F0AF7D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1498" w:type="dxa"/>
                  <w:vMerge w:val="continue"/>
                  <w:noWrap w:val="0"/>
                  <w:vAlign w:val="center"/>
                </w:tcPr>
                <w:p w14:paraId="59023800">
                  <w:pPr>
                    <w:pStyle w:val="107"/>
                    <w:keepNext w:val="0"/>
                    <w:keepLines w:val="0"/>
                    <w:pageBreakBefore w:val="0"/>
                    <w:kinsoku/>
                    <w:wordWrap/>
                    <w:overflowPunct/>
                    <w:topLinePunct w:val="0"/>
                    <w:bidi w:val="0"/>
                    <w:ind w:firstLine="0" w:firstLineChars="0"/>
                    <w:textAlignment w:val="auto"/>
                    <w:rPr>
                      <w:rFonts w:hint="default" w:ascii="Times New Roman" w:hAnsi="Times New Roman" w:eastAsia="宋体" w:cs="Times New Roman"/>
                      <w:color w:val="000000" w:themeColor="text1"/>
                      <w:spacing w:val="0"/>
                      <w:w w:val="100"/>
                      <w:position w:val="0"/>
                      <w:sz w:val="21"/>
                      <w:szCs w:val="21"/>
                      <w14:textFill>
                        <w14:solidFill>
                          <w14:schemeClr w14:val="tx1"/>
                        </w14:solidFill>
                      </w14:textFill>
                    </w:rPr>
                  </w:pPr>
                </w:p>
              </w:tc>
              <w:tc>
                <w:tcPr>
                  <w:tcW w:w="4366" w:type="dxa"/>
                  <w:noWrap w:val="0"/>
                  <w:vAlign w:val="center"/>
                </w:tcPr>
                <w:p w14:paraId="226D4DAE">
                  <w:pPr>
                    <w:pStyle w:val="42"/>
                    <w:keepNext w:val="0"/>
                    <w:keepLines w:val="0"/>
                    <w:pageBreakBefore w:val="0"/>
                    <w:kinsoku/>
                    <w:wordWrap/>
                    <w:overflowPunct/>
                    <w:topLinePunct w:val="0"/>
                    <w:bidi w:val="0"/>
                    <w:spacing w:beforeLines="0" w:afterLines="0" w:line="240" w:lineRule="auto"/>
                    <w:ind w:firstLine="0" w:firstLineChars="0"/>
                    <w:textAlignment w:val="auto"/>
                    <w:rPr>
                      <w:rFonts w:hint="default" w:ascii="Times New Roman" w:hAnsi="Times New Roman" w:eastAsia="宋体" w:cs="Times New Roman"/>
                      <w:b w:val="0"/>
                      <w:bCs/>
                      <w:snapToGrid w:val="0"/>
                      <w:color w:val="000000" w:themeColor="text1"/>
                      <w:spacing w:val="0"/>
                      <w:w w:val="100"/>
                      <w:kern w:val="21"/>
                      <w:position w:val="0"/>
                      <w:sz w:val="21"/>
                      <w:szCs w:val="21"/>
                      <w:lang w:val="en-US" w:eastAsia="zh-CN"/>
                      <w14:textFill>
                        <w14:solidFill>
                          <w14:schemeClr w14:val="tx1"/>
                        </w14:solidFill>
                      </w14:textFill>
                    </w:rPr>
                  </w:pPr>
                  <w:r>
                    <w:rPr>
                      <w:rFonts w:hint="default" w:ascii="Times New Roman" w:hAnsi="Times New Roman" w:eastAsia="宋体" w:cs="Times New Roman"/>
                      <w:b w:val="0"/>
                      <w:bCs/>
                      <w:snapToGrid w:val="0"/>
                      <w:color w:val="000000" w:themeColor="text1"/>
                      <w:spacing w:val="0"/>
                      <w:w w:val="100"/>
                      <w:kern w:val="21"/>
                      <w:position w:val="0"/>
                      <w:sz w:val="21"/>
                      <w:szCs w:val="21"/>
                      <w:lang w:val="en-US" w:eastAsia="zh-CN"/>
                      <w14:textFill>
                        <w14:solidFill>
                          <w14:schemeClr w14:val="tx1"/>
                        </w14:solidFill>
                      </w14:textFill>
                    </w:rPr>
                    <w:t>SO</w:t>
                  </w:r>
                  <w:r>
                    <w:rPr>
                      <w:rFonts w:hint="default" w:ascii="Times New Roman" w:hAnsi="Times New Roman" w:eastAsia="宋体" w:cs="Times New Roman"/>
                      <w:b w:val="0"/>
                      <w:bCs/>
                      <w:snapToGrid w:val="0"/>
                      <w:color w:val="000000" w:themeColor="text1"/>
                      <w:spacing w:val="0"/>
                      <w:w w:val="100"/>
                      <w:kern w:val="21"/>
                      <w:position w:val="0"/>
                      <w:sz w:val="21"/>
                      <w:szCs w:val="21"/>
                      <w:vertAlign w:val="subscript"/>
                      <w:lang w:val="en-US" w:eastAsia="zh-CN"/>
                      <w14:textFill>
                        <w14:solidFill>
                          <w14:schemeClr w14:val="tx1"/>
                        </w14:solidFill>
                      </w14:textFill>
                    </w:rPr>
                    <w:t>2</w:t>
                  </w:r>
                </w:p>
              </w:tc>
              <w:tc>
                <w:tcPr>
                  <w:tcW w:w="2549" w:type="dxa"/>
                  <w:noWrap w:val="0"/>
                  <w:vAlign w:val="center"/>
                </w:tcPr>
                <w:p w14:paraId="64441777">
                  <w:pPr>
                    <w:pStyle w:val="42"/>
                    <w:keepNext w:val="0"/>
                    <w:keepLines w:val="0"/>
                    <w:pageBreakBefore w:val="0"/>
                    <w:kinsoku/>
                    <w:wordWrap/>
                    <w:overflowPunct/>
                    <w:topLinePunct w:val="0"/>
                    <w:bidi w:val="0"/>
                    <w:spacing w:beforeLines="0" w:afterLines="0" w:line="240" w:lineRule="auto"/>
                    <w:ind w:firstLine="0" w:firstLineChars="0"/>
                    <w:textAlignment w:val="auto"/>
                    <w:rPr>
                      <w:rFonts w:hint="default" w:ascii="Times New Roman" w:hAnsi="Times New Roman" w:eastAsia="宋体" w:cs="Times New Roman"/>
                      <w:b w:val="0"/>
                      <w:bCs w:val="0"/>
                      <w:snapToGrid w:val="0"/>
                      <w:color w:val="000000" w:themeColor="text1"/>
                      <w:spacing w:val="0"/>
                      <w:w w:val="100"/>
                      <w:kern w:val="21"/>
                      <w:position w:val="0"/>
                      <w:sz w:val="21"/>
                      <w:szCs w:val="21"/>
                      <w:lang w:val="en-US" w:eastAsia="zh-CN"/>
                      <w14:textFill>
                        <w14:solidFill>
                          <w14:schemeClr w14:val="tx1"/>
                        </w14:solidFill>
                      </w14:textFill>
                    </w:rPr>
                  </w:pPr>
                  <w:r>
                    <w:rPr>
                      <w:rFonts w:hint="eastAsia" w:ascii="Times New Roman" w:hAnsi="Times New Roman" w:cs="Times New Roman"/>
                      <w:b w:val="0"/>
                      <w:bCs w:val="0"/>
                      <w:color w:val="000000" w:themeColor="text1"/>
                      <w:sz w:val="21"/>
                      <w:szCs w:val="21"/>
                      <w:vertAlign w:val="baseline"/>
                      <w:lang w:val="en-US" w:eastAsia="zh-CN"/>
                      <w14:textFill>
                        <w14:solidFill>
                          <w14:schemeClr w14:val="tx1"/>
                        </w14:solidFill>
                      </w14:textFill>
                    </w:rPr>
                    <w:t>0.765</w:t>
                  </w:r>
                  <w:r>
                    <w:rPr>
                      <w:rFonts w:hint="default" w:ascii="Times New Roman" w:hAnsi="Times New Roman" w:eastAsia="宋体" w:cs="Times New Roman"/>
                      <w:b w:val="0"/>
                      <w:bCs w:val="0"/>
                      <w:snapToGrid w:val="0"/>
                      <w:color w:val="000000" w:themeColor="text1"/>
                      <w:spacing w:val="0"/>
                      <w:w w:val="100"/>
                      <w:kern w:val="21"/>
                      <w:position w:val="0"/>
                      <w:sz w:val="21"/>
                      <w:szCs w:val="21"/>
                      <w:lang w:val="en-US" w:eastAsia="zh-CN"/>
                      <w14:textFill>
                        <w14:solidFill>
                          <w14:schemeClr w14:val="tx1"/>
                        </w14:solidFill>
                      </w14:textFill>
                    </w:rPr>
                    <w:t>t/a</w:t>
                  </w:r>
                </w:p>
              </w:tc>
            </w:tr>
            <w:tr w14:paraId="2BDBF93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98" w:type="dxa"/>
                  <w:vMerge w:val="continue"/>
                  <w:noWrap w:val="0"/>
                  <w:vAlign w:val="center"/>
                </w:tcPr>
                <w:p w14:paraId="089EA5CC">
                  <w:pPr>
                    <w:pStyle w:val="107"/>
                    <w:keepNext w:val="0"/>
                    <w:keepLines w:val="0"/>
                    <w:pageBreakBefore w:val="0"/>
                    <w:kinsoku/>
                    <w:wordWrap/>
                    <w:overflowPunct/>
                    <w:topLinePunct w:val="0"/>
                    <w:bidi w:val="0"/>
                    <w:ind w:firstLine="0" w:firstLineChars="0"/>
                    <w:textAlignment w:val="auto"/>
                    <w:rPr>
                      <w:rFonts w:hint="default" w:ascii="Times New Roman" w:hAnsi="Times New Roman" w:eastAsia="宋体" w:cs="Times New Roman"/>
                      <w:color w:val="000000" w:themeColor="text1"/>
                      <w:spacing w:val="0"/>
                      <w:w w:val="100"/>
                      <w:position w:val="0"/>
                      <w:sz w:val="21"/>
                      <w:szCs w:val="21"/>
                      <w14:textFill>
                        <w14:solidFill>
                          <w14:schemeClr w14:val="tx1"/>
                        </w14:solidFill>
                      </w14:textFill>
                    </w:rPr>
                  </w:pPr>
                </w:p>
              </w:tc>
              <w:tc>
                <w:tcPr>
                  <w:tcW w:w="4366" w:type="dxa"/>
                  <w:noWrap w:val="0"/>
                  <w:vAlign w:val="center"/>
                </w:tcPr>
                <w:p w14:paraId="4EFBA7EF">
                  <w:pPr>
                    <w:pStyle w:val="42"/>
                    <w:keepNext w:val="0"/>
                    <w:keepLines w:val="0"/>
                    <w:pageBreakBefore w:val="0"/>
                    <w:kinsoku/>
                    <w:wordWrap/>
                    <w:overflowPunct/>
                    <w:topLinePunct w:val="0"/>
                    <w:bidi w:val="0"/>
                    <w:spacing w:beforeLines="0" w:afterLines="0" w:line="240" w:lineRule="auto"/>
                    <w:ind w:firstLine="0" w:firstLineChars="0"/>
                    <w:textAlignment w:val="auto"/>
                    <w:rPr>
                      <w:rFonts w:hint="default" w:ascii="Times New Roman" w:hAnsi="Times New Roman" w:eastAsia="宋体" w:cs="Times New Roman"/>
                      <w:b w:val="0"/>
                      <w:bCs/>
                      <w:snapToGrid w:val="0"/>
                      <w:color w:val="FF0000"/>
                      <w:spacing w:val="0"/>
                      <w:w w:val="100"/>
                      <w:kern w:val="21"/>
                      <w:position w:val="0"/>
                      <w:sz w:val="21"/>
                      <w:szCs w:val="21"/>
                      <w:lang w:val="en-US" w:eastAsia="zh-CN"/>
                    </w:rPr>
                  </w:pPr>
                  <w:r>
                    <w:rPr>
                      <w:rFonts w:hint="default" w:ascii="Times New Roman" w:hAnsi="Times New Roman" w:eastAsia="宋体" w:cs="Times New Roman"/>
                      <w:b w:val="0"/>
                      <w:bCs/>
                      <w:snapToGrid w:val="0"/>
                      <w:color w:val="FF0000"/>
                      <w:spacing w:val="0"/>
                      <w:w w:val="100"/>
                      <w:kern w:val="21"/>
                      <w:position w:val="0"/>
                      <w:sz w:val="21"/>
                      <w:szCs w:val="21"/>
                      <w:lang w:val="en-US" w:eastAsia="zh-CN"/>
                    </w:rPr>
                    <w:t>NO</w:t>
                  </w:r>
                  <w:r>
                    <w:rPr>
                      <w:rFonts w:hint="default" w:ascii="Times New Roman" w:hAnsi="Times New Roman" w:eastAsia="宋体" w:cs="Times New Roman"/>
                      <w:b w:val="0"/>
                      <w:bCs/>
                      <w:snapToGrid w:val="0"/>
                      <w:color w:val="FF0000"/>
                      <w:spacing w:val="0"/>
                      <w:w w:val="100"/>
                      <w:kern w:val="21"/>
                      <w:position w:val="0"/>
                      <w:sz w:val="21"/>
                      <w:szCs w:val="21"/>
                      <w:vertAlign w:val="subscript"/>
                      <w:lang w:val="en-US" w:eastAsia="zh-CN"/>
                    </w:rPr>
                    <w:t>X</w:t>
                  </w:r>
                </w:p>
              </w:tc>
              <w:tc>
                <w:tcPr>
                  <w:tcW w:w="2549" w:type="dxa"/>
                  <w:noWrap w:val="0"/>
                  <w:vAlign w:val="center"/>
                </w:tcPr>
                <w:p w14:paraId="59A65200">
                  <w:pPr>
                    <w:pStyle w:val="42"/>
                    <w:keepNext w:val="0"/>
                    <w:keepLines w:val="0"/>
                    <w:pageBreakBefore w:val="0"/>
                    <w:kinsoku/>
                    <w:wordWrap/>
                    <w:overflowPunct/>
                    <w:topLinePunct w:val="0"/>
                    <w:bidi w:val="0"/>
                    <w:spacing w:beforeLines="0" w:afterLines="0" w:line="240" w:lineRule="auto"/>
                    <w:ind w:firstLine="0" w:firstLineChars="0"/>
                    <w:textAlignment w:val="auto"/>
                    <w:rPr>
                      <w:rFonts w:hint="default" w:ascii="Times New Roman" w:hAnsi="Times New Roman" w:eastAsia="宋体" w:cs="Times New Roman"/>
                      <w:b w:val="0"/>
                      <w:bCs w:val="0"/>
                      <w:snapToGrid w:val="0"/>
                      <w:color w:val="FF0000"/>
                      <w:spacing w:val="0"/>
                      <w:w w:val="100"/>
                      <w:kern w:val="21"/>
                      <w:position w:val="0"/>
                      <w:sz w:val="21"/>
                      <w:szCs w:val="21"/>
                      <w:lang w:val="en-US" w:eastAsia="zh-CN"/>
                    </w:rPr>
                  </w:pPr>
                  <w:r>
                    <w:rPr>
                      <w:rFonts w:hint="eastAsia" w:ascii="Times New Roman" w:hAnsi="Times New Roman" w:eastAsia="宋体" w:cs="Times New Roman"/>
                      <w:b w:val="0"/>
                      <w:bCs w:val="0"/>
                      <w:snapToGrid w:val="0"/>
                      <w:color w:val="FF0000"/>
                      <w:spacing w:val="0"/>
                      <w:w w:val="100"/>
                      <w:kern w:val="21"/>
                      <w:position w:val="0"/>
                      <w:sz w:val="21"/>
                      <w:szCs w:val="21"/>
                      <w:lang w:val="en-US" w:eastAsia="zh-CN"/>
                    </w:rPr>
                    <w:t>4.59</w:t>
                  </w:r>
                  <w:r>
                    <w:rPr>
                      <w:rFonts w:hint="default" w:ascii="Times New Roman" w:hAnsi="Times New Roman" w:eastAsia="宋体" w:cs="Times New Roman"/>
                      <w:b w:val="0"/>
                      <w:bCs w:val="0"/>
                      <w:snapToGrid w:val="0"/>
                      <w:color w:val="FF0000"/>
                      <w:spacing w:val="0"/>
                      <w:w w:val="100"/>
                      <w:kern w:val="21"/>
                      <w:position w:val="0"/>
                      <w:sz w:val="21"/>
                      <w:szCs w:val="21"/>
                      <w:lang w:val="en-US" w:eastAsia="zh-CN"/>
                    </w:rPr>
                    <w:t>t/a</w:t>
                  </w:r>
                </w:p>
              </w:tc>
            </w:tr>
            <w:tr w14:paraId="00E5D66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98" w:type="dxa"/>
                  <w:vMerge w:val="continue"/>
                  <w:noWrap w:val="0"/>
                  <w:vAlign w:val="center"/>
                </w:tcPr>
                <w:p w14:paraId="3BF1214C">
                  <w:pPr>
                    <w:pStyle w:val="107"/>
                    <w:keepNext w:val="0"/>
                    <w:keepLines w:val="0"/>
                    <w:pageBreakBefore w:val="0"/>
                    <w:kinsoku/>
                    <w:wordWrap/>
                    <w:overflowPunct/>
                    <w:topLinePunct w:val="0"/>
                    <w:bidi w:val="0"/>
                    <w:ind w:firstLine="0" w:firstLineChars="0"/>
                    <w:textAlignment w:val="auto"/>
                    <w:rPr>
                      <w:rFonts w:hint="default" w:ascii="Times New Roman" w:hAnsi="Times New Roman" w:eastAsia="宋体" w:cs="Times New Roman"/>
                      <w:color w:val="000000" w:themeColor="text1"/>
                      <w:spacing w:val="0"/>
                      <w:w w:val="100"/>
                      <w:position w:val="0"/>
                      <w:sz w:val="21"/>
                      <w:szCs w:val="21"/>
                      <w14:textFill>
                        <w14:solidFill>
                          <w14:schemeClr w14:val="tx1"/>
                        </w14:solidFill>
                      </w14:textFill>
                    </w:rPr>
                  </w:pPr>
                </w:p>
              </w:tc>
              <w:tc>
                <w:tcPr>
                  <w:tcW w:w="4366" w:type="dxa"/>
                  <w:noWrap w:val="0"/>
                  <w:vAlign w:val="center"/>
                </w:tcPr>
                <w:p w14:paraId="747EB6B6">
                  <w:pPr>
                    <w:pStyle w:val="42"/>
                    <w:keepNext w:val="0"/>
                    <w:keepLines w:val="0"/>
                    <w:pageBreakBefore w:val="0"/>
                    <w:kinsoku/>
                    <w:wordWrap/>
                    <w:overflowPunct/>
                    <w:topLinePunct w:val="0"/>
                    <w:bidi w:val="0"/>
                    <w:spacing w:beforeLines="0" w:afterLines="0" w:line="240" w:lineRule="auto"/>
                    <w:ind w:firstLine="0" w:firstLineChars="0"/>
                    <w:textAlignment w:val="auto"/>
                    <w:rPr>
                      <w:rFonts w:hint="default" w:ascii="Times New Roman" w:hAnsi="Times New Roman" w:eastAsia="宋体" w:cs="Times New Roman"/>
                      <w:b w:val="0"/>
                      <w:bCs/>
                      <w:snapToGrid w:val="0"/>
                      <w:color w:val="000000" w:themeColor="text1"/>
                      <w:spacing w:val="0"/>
                      <w:w w:val="100"/>
                      <w:kern w:val="21"/>
                      <w:position w:val="0"/>
                      <w:sz w:val="21"/>
                      <w:szCs w:val="21"/>
                      <w:lang w:val="en-US" w:eastAsia="zh-CN"/>
                      <w14:textFill>
                        <w14:solidFill>
                          <w14:schemeClr w14:val="tx1"/>
                        </w14:solidFill>
                      </w14:textFill>
                    </w:rPr>
                  </w:pPr>
                  <w:r>
                    <w:rPr>
                      <w:rFonts w:hint="default" w:ascii="Times New Roman" w:hAnsi="Times New Roman" w:eastAsia="宋体" w:cs="Times New Roman"/>
                      <w:b w:val="0"/>
                      <w:bCs/>
                      <w:snapToGrid w:val="0"/>
                      <w:color w:val="000000" w:themeColor="text1"/>
                      <w:spacing w:val="0"/>
                      <w:w w:val="100"/>
                      <w:kern w:val="21"/>
                      <w:position w:val="0"/>
                      <w:sz w:val="21"/>
                      <w:szCs w:val="21"/>
                      <w:lang w:val="en-US" w:eastAsia="zh-CN"/>
                      <w14:textFill>
                        <w14:solidFill>
                          <w14:schemeClr w14:val="tx1"/>
                        </w14:solidFill>
                      </w14:textFill>
                    </w:rPr>
                    <w:t>粉尘</w:t>
                  </w:r>
                </w:p>
              </w:tc>
              <w:tc>
                <w:tcPr>
                  <w:tcW w:w="2549" w:type="dxa"/>
                  <w:noWrap w:val="0"/>
                  <w:vAlign w:val="center"/>
                </w:tcPr>
                <w:p w14:paraId="003CA86F">
                  <w:pPr>
                    <w:pStyle w:val="42"/>
                    <w:keepNext w:val="0"/>
                    <w:keepLines w:val="0"/>
                    <w:pageBreakBefore w:val="0"/>
                    <w:kinsoku/>
                    <w:wordWrap/>
                    <w:overflowPunct/>
                    <w:topLinePunct w:val="0"/>
                    <w:bidi w:val="0"/>
                    <w:spacing w:beforeLines="0" w:afterLines="0" w:line="240" w:lineRule="auto"/>
                    <w:ind w:firstLine="0" w:firstLineChars="0"/>
                    <w:textAlignment w:val="auto"/>
                    <w:rPr>
                      <w:rFonts w:hint="default" w:ascii="Times New Roman" w:hAnsi="Times New Roman" w:eastAsia="宋体" w:cs="Times New Roman"/>
                      <w:b w:val="0"/>
                      <w:bCs w:val="0"/>
                      <w:snapToGrid w:val="0"/>
                      <w:color w:val="000000" w:themeColor="text1"/>
                      <w:spacing w:val="0"/>
                      <w:w w:val="100"/>
                      <w:kern w:val="21"/>
                      <w:position w:val="0"/>
                      <w:sz w:val="21"/>
                      <w:szCs w:val="21"/>
                      <w:lang w:val="en-US" w:eastAsia="zh-CN"/>
                      <w14:textFill>
                        <w14:solidFill>
                          <w14:schemeClr w14:val="tx1"/>
                        </w14:solidFill>
                      </w14:textFill>
                    </w:rPr>
                  </w:pPr>
                  <w:r>
                    <w:rPr>
                      <w:rFonts w:hint="default" w:ascii="Times New Roman" w:hAnsi="Times New Roman" w:eastAsia="宋体" w:cs="Times New Roman"/>
                      <w:b w:val="0"/>
                      <w:bCs w:val="0"/>
                      <w:snapToGrid w:val="0"/>
                      <w:color w:val="000000" w:themeColor="text1"/>
                      <w:spacing w:val="0"/>
                      <w:w w:val="100"/>
                      <w:kern w:val="21"/>
                      <w:position w:val="0"/>
                      <w:sz w:val="21"/>
                      <w:szCs w:val="21"/>
                      <w:lang w:val="en-US" w:eastAsia="zh-CN"/>
                      <w14:textFill>
                        <w14:solidFill>
                          <w14:schemeClr w14:val="tx1"/>
                        </w14:solidFill>
                      </w14:textFill>
                    </w:rPr>
                    <w:t>0.2t/a</w:t>
                  </w:r>
                </w:p>
              </w:tc>
            </w:tr>
            <w:tr w14:paraId="3C6D8D6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98" w:type="dxa"/>
                  <w:vMerge w:val="continue"/>
                  <w:noWrap w:val="0"/>
                  <w:vAlign w:val="center"/>
                </w:tcPr>
                <w:p w14:paraId="4C3BEE4F">
                  <w:pPr>
                    <w:pStyle w:val="107"/>
                    <w:keepNext w:val="0"/>
                    <w:keepLines w:val="0"/>
                    <w:pageBreakBefore w:val="0"/>
                    <w:kinsoku/>
                    <w:wordWrap/>
                    <w:overflowPunct/>
                    <w:topLinePunct w:val="0"/>
                    <w:bidi w:val="0"/>
                    <w:ind w:firstLine="0" w:firstLineChars="0"/>
                    <w:textAlignment w:val="auto"/>
                    <w:rPr>
                      <w:rFonts w:hint="default" w:ascii="Times New Roman" w:hAnsi="Times New Roman" w:eastAsia="宋体" w:cs="Times New Roman"/>
                      <w:color w:val="000000" w:themeColor="text1"/>
                      <w:spacing w:val="0"/>
                      <w:w w:val="100"/>
                      <w:position w:val="0"/>
                      <w:sz w:val="21"/>
                      <w:szCs w:val="21"/>
                      <w14:textFill>
                        <w14:solidFill>
                          <w14:schemeClr w14:val="tx1"/>
                        </w14:solidFill>
                      </w14:textFill>
                    </w:rPr>
                  </w:pPr>
                </w:p>
              </w:tc>
              <w:tc>
                <w:tcPr>
                  <w:tcW w:w="4366" w:type="dxa"/>
                  <w:noWrap w:val="0"/>
                  <w:vAlign w:val="center"/>
                </w:tcPr>
                <w:p w14:paraId="3B7D725E">
                  <w:pPr>
                    <w:pStyle w:val="42"/>
                    <w:keepNext w:val="0"/>
                    <w:keepLines w:val="0"/>
                    <w:pageBreakBefore w:val="0"/>
                    <w:kinsoku/>
                    <w:wordWrap/>
                    <w:overflowPunct/>
                    <w:topLinePunct w:val="0"/>
                    <w:bidi w:val="0"/>
                    <w:spacing w:beforeLines="0" w:afterLines="0" w:line="240" w:lineRule="auto"/>
                    <w:ind w:firstLine="0" w:firstLineChars="0"/>
                    <w:textAlignment w:val="auto"/>
                    <w:rPr>
                      <w:rFonts w:hint="default" w:ascii="Times New Roman" w:hAnsi="Times New Roman" w:eastAsia="宋体" w:cs="Times New Roman"/>
                      <w:b w:val="0"/>
                      <w:bCs/>
                      <w:snapToGrid w:val="0"/>
                      <w:color w:val="000000" w:themeColor="text1"/>
                      <w:spacing w:val="0"/>
                      <w:w w:val="100"/>
                      <w:kern w:val="21"/>
                      <w:position w:val="0"/>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油烟</w:t>
                  </w:r>
                </w:p>
              </w:tc>
              <w:tc>
                <w:tcPr>
                  <w:tcW w:w="2549" w:type="dxa"/>
                  <w:noWrap w:val="0"/>
                  <w:vAlign w:val="center"/>
                </w:tcPr>
                <w:p w14:paraId="7DA92F95">
                  <w:pPr>
                    <w:pStyle w:val="42"/>
                    <w:keepNext w:val="0"/>
                    <w:keepLines w:val="0"/>
                    <w:pageBreakBefore w:val="0"/>
                    <w:kinsoku/>
                    <w:wordWrap/>
                    <w:overflowPunct/>
                    <w:topLinePunct w:val="0"/>
                    <w:bidi w:val="0"/>
                    <w:spacing w:beforeLines="0" w:afterLines="0" w:line="240" w:lineRule="auto"/>
                    <w:ind w:firstLine="0" w:firstLineChars="0"/>
                    <w:textAlignment w:val="auto"/>
                    <w:rPr>
                      <w:rFonts w:hint="default" w:ascii="Times New Roman" w:hAnsi="Times New Roman" w:eastAsia="宋体" w:cs="Times New Roman"/>
                      <w:b w:val="0"/>
                      <w:bCs/>
                      <w:snapToGrid w:val="0"/>
                      <w:color w:val="000000" w:themeColor="text1"/>
                      <w:spacing w:val="0"/>
                      <w:w w:val="100"/>
                      <w:kern w:val="21"/>
                      <w:position w:val="0"/>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0.038</w:t>
                  </w:r>
                  <w:r>
                    <w:rPr>
                      <w:rFonts w:hint="default" w:ascii="Times New Roman" w:hAnsi="Times New Roman" w:eastAsia="宋体" w:cs="Times New Roman"/>
                      <w:b w:val="0"/>
                      <w:bCs w:val="0"/>
                      <w:snapToGrid w:val="0"/>
                      <w:color w:val="000000" w:themeColor="text1"/>
                      <w:spacing w:val="0"/>
                      <w:w w:val="100"/>
                      <w:kern w:val="21"/>
                      <w:position w:val="0"/>
                      <w:sz w:val="21"/>
                      <w:szCs w:val="21"/>
                      <w:lang w:val="en-US" w:eastAsia="zh-CN"/>
                      <w14:textFill>
                        <w14:solidFill>
                          <w14:schemeClr w14:val="tx1"/>
                        </w14:solidFill>
                      </w14:textFill>
                    </w:rPr>
                    <w:t>t/a</w:t>
                  </w:r>
                </w:p>
              </w:tc>
            </w:tr>
            <w:tr w14:paraId="5B2B627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98" w:type="dxa"/>
                  <w:vMerge w:val="restart"/>
                  <w:noWrap w:val="0"/>
                  <w:vAlign w:val="center"/>
                </w:tcPr>
                <w:p w14:paraId="35244F32">
                  <w:pPr>
                    <w:pStyle w:val="107"/>
                    <w:keepNext w:val="0"/>
                    <w:keepLines w:val="0"/>
                    <w:pageBreakBefore w:val="0"/>
                    <w:kinsoku/>
                    <w:wordWrap/>
                    <w:overflowPunct/>
                    <w:topLinePunct w:val="0"/>
                    <w:bidi w:val="0"/>
                    <w:ind w:firstLine="0" w:firstLineChars="0"/>
                    <w:textAlignment w:val="auto"/>
                    <w:rPr>
                      <w:rFonts w:hint="default" w:ascii="Times New Roman" w:hAnsi="Times New Roman" w:eastAsia="宋体" w:cs="Times New Roman"/>
                      <w:color w:val="000000" w:themeColor="text1"/>
                      <w:spacing w:val="0"/>
                      <w:w w:val="100"/>
                      <w:position w:val="0"/>
                      <w:sz w:val="21"/>
                      <w:szCs w:val="21"/>
                      <w14:textFill>
                        <w14:solidFill>
                          <w14:schemeClr w14:val="tx1"/>
                        </w14:solidFill>
                      </w14:textFill>
                    </w:rPr>
                  </w:pPr>
                  <w:r>
                    <w:rPr>
                      <w:rFonts w:hint="default" w:ascii="Times New Roman" w:hAnsi="Times New Roman" w:eastAsia="宋体" w:cs="Times New Roman"/>
                      <w:color w:val="000000" w:themeColor="text1"/>
                      <w:spacing w:val="0"/>
                      <w:w w:val="100"/>
                      <w:position w:val="0"/>
                      <w:sz w:val="21"/>
                      <w:szCs w:val="21"/>
                      <w14:textFill>
                        <w14:solidFill>
                          <w14:schemeClr w14:val="tx1"/>
                        </w14:solidFill>
                      </w14:textFill>
                    </w:rPr>
                    <w:t>废水</w:t>
                  </w:r>
                </w:p>
              </w:tc>
              <w:tc>
                <w:tcPr>
                  <w:tcW w:w="4366" w:type="dxa"/>
                  <w:noWrap w:val="0"/>
                  <w:vAlign w:val="center"/>
                </w:tcPr>
                <w:p w14:paraId="60229309">
                  <w:pPr>
                    <w:jc w:val="center"/>
                    <w:rPr>
                      <w:rFonts w:hint="default" w:ascii="Times New Roman" w:hAnsi="Times New Roman" w:eastAsia="宋体" w:cs="Times New Roman"/>
                      <w:snapToGrid w:val="0"/>
                      <w:color w:val="000000" w:themeColor="text1"/>
                      <w:spacing w:val="0"/>
                      <w:w w:val="100"/>
                      <w:kern w:val="21"/>
                      <w:position w:val="0"/>
                      <w:sz w:val="21"/>
                      <w:szCs w:val="21"/>
                      <w:lang w:eastAsia="zh-CN"/>
                      <w14:textFill>
                        <w14:solidFill>
                          <w14:schemeClr w14:val="tx1"/>
                        </w14:solidFill>
                      </w14:textFill>
                    </w:rPr>
                  </w:pPr>
                  <w:r>
                    <w:rPr>
                      <w:rFonts w:hint="default" w:ascii="Times New Roman" w:hAnsi="Times New Roman" w:cs="Times New Roman"/>
                      <w:bCs/>
                      <w:color w:val="000000" w:themeColor="text1"/>
                      <w:spacing w:val="0"/>
                      <w:w w:val="100"/>
                      <w:position w:val="0"/>
                      <w:szCs w:val="21"/>
                      <w14:textFill>
                        <w14:solidFill>
                          <w14:schemeClr w14:val="tx1"/>
                        </w14:solidFill>
                      </w14:textFill>
                    </w:rPr>
                    <w:t>废水量</w:t>
                  </w:r>
                </w:p>
              </w:tc>
              <w:tc>
                <w:tcPr>
                  <w:tcW w:w="2549" w:type="dxa"/>
                  <w:noWrap w:val="0"/>
                  <w:vAlign w:val="center"/>
                </w:tcPr>
                <w:p w14:paraId="212E8C74">
                  <w:pPr>
                    <w:jc w:val="center"/>
                    <w:rPr>
                      <w:rFonts w:hint="default" w:ascii="Times New Roman" w:hAnsi="Times New Roman" w:eastAsia="宋体" w:cs="Times New Roman"/>
                      <w:snapToGrid w:val="0"/>
                      <w:color w:val="000000" w:themeColor="text1"/>
                      <w:spacing w:val="0"/>
                      <w:w w:val="100"/>
                      <w:kern w:val="21"/>
                      <w:position w:val="0"/>
                      <w:sz w:val="21"/>
                      <w:szCs w:val="21"/>
                      <w:lang w:val="en-US" w:eastAsia="zh-CN"/>
                      <w14:textFill>
                        <w14:solidFill>
                          <w14:schemeClr w14:val="tx1"/>
                        </w14:solidFill>
                      </w14:textFill>
                    </w:rPr>
                  </w:pPr>
                  <w:r>
                    <w:rPr>
                      <w:rFonts w:hint="eastAsia"/>
                      <w:bCs/>
                      <w:snapToGrid w:val="0"/>
                      <w:color w:val="000000" w:themeColor="text1"/>
                      <w:kern w:val="21"/>
                      <w:szCs w:val="21"/>
                      <w:lang w:val="en-US" w:eastAsia="zh-CN"/>
                      <w14:textFill>
                        <w14:solidFill>
                          <w14:schemeClr w14:val="tx1"/>
                        </w14:solidFill>
                      </w14:textFill>
                    </w:rPr>
                    <w:t>5400</w:t>
                  </w:r>
                  <w:r>
                    <w:rPr>
                      <w:rFonts w:hint="default" w:ascii="Times New Roman" w:hAnsi="Times New Roman" w:eastAsia="宋体" w:cs="Times New Roman"/>
                      <w:color w:val="000000" w:themeColor="text1"/>
                      <w14:textFill>
                        <w14:solidFill>
                          <w14:schemeClr w14:val="tx1"/>
                        </w14:solidFill>
                      </w14:textFill>
                    </w:rPr>
                    <w:t>m</w:t>
                  </w:r>
                  <w:r>
                    <w:rPr>
                      <w:rFonts w:hint="default" w:ascii="Times New Roman" w:hAnsi="Times New Roman" w:eastAsia="宋体" w:cs="Times New Roman"/>
                      <w:color w:val="000000" w:themeColor="text1"/>
                      <w:vertAlign w:val="superscript"/>
                      <w14:textFill>
                        <w14:solidFill>
                          <w14:schemeClr w14:val="tx1"/>
                        </w14:solidFill>
                      </w14:textFill>
                    </w:rPr>
                    <w:t>3</w:t>
                  </w:r>
                  <w:r>
                    <w:rPr>
                      <w:rFonts w:hint="default" w:ascii="Times New Roman" w:hAnsi="Times New Roman" w:eastAsia="宋体" w:cs="Times New Roman"/>
                      <w:color w:val="000000" w:themeColor="text1"/>
                      <w14:textFill>
                        <w14:solidFill>
                          <w14:schemeClr w14:val="tx1"/>
                        </w14:solidFill>
                      </w14:textFill>
                    </w:rPr>
                    <w:t>/a</w:t>
                  </w:r>
                </w:p>
              </w:tc>
            </w:tr>
            <w:tr w14:paraId="2B4EFA9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98" w:type="dxa"/>
                  <w:vMerge w:val="continue"/>
                  <w:noWrap w:val="0"/>
                  <w:vAlign w:val="center"/>
                </w:tcPr>
                <w:p w14:paraId="193C188A">
                  <w:pPr>
                    <w:pStyle w:val="107"/>
                    <w:keepNext w:val="0"/>
                    <w:keepLines w:val="0"/>
                    <w:pageBreakBefore w:val="0"/>
                    <w:kinsoku/>
                    <w:wordWrap/>
                    <w:overflowPunct/>
                    <w:topLinePunct w:val="0"/>
                    <w:bidi w:val="0"/>
                    <w:ind w:firstLine="0" w:firstLineChars="0"/>
                    <w:textAlignment w:val="auto"/>
                    <w:rPr>
                      <w:rFonts w:hint="default" w:ascii="Times New Roman" w:hAnsi="Times New Roman" w:eastAsia="宋体" w:cs="Times New Roman"/>
                      <w:color w:val="000000" w:themeColor="text1"/>
                      <w:spacing w:val="0"/>
                      <w:w w:val="100"/>
                      <w:position w:val="0"/>
                      <w:sz w:val="21"/>
                      <w:szCs w:val="21"/>
                      <w14:textFill>
                        <w14:solidFill>
                          <w14:schemeClr w14:val="tx1"/>
                        </w14:solidFill>
                      </w14:textFill>
                    </w:rPr>
                  </w:pPr>
                </w:p>
              </w:tc>
              <w:tc>
                <w:tcPr>
                  <w:tcW w:w="4366" w:type="dxa"/>
                  <w:noWrap w:val="0"/>
                  <w:vAlign w:val="center"/>
                </w:tcPr>
                <w:p w14:paraId="387B894C">
                  <w:pPr>
                    <w:jc w:val="center"/>
                    <w:rPr>
                      <w:rFonts w:hint="default" w:ascii="Times New Roman" w:hAnsi="Times New Roman" w:eastAsia="宋体" w:cs="Times New Roman"/>
                      <w:snapToGrid w:val="0"/>
                      <w:color w:val="000000" w:themeColor="text1"/>
                      <w:spacing w:val="0"/>
                      <w:w w:val="100"/>
                      <w:kern w:val="21"/>
                      <w:position w:val="0"/>
                      <w:sz w:val="21"/>
                      <w:szCs w:val="21"/>
                      <w:lang w:eastAsia="zh-CN"/>
                      <w14:textFill>
                        <w14:solidFill>
                          <w14:schemeClr w14:val="tx1"/>
                        </w14:solidFill>
                      </w14:textFill>
                    </w:rPr>
                  </w:pPr>
                  <w:r>
                    <w:rPr>
                      <w:rFonts w:hint="default" w:ascii="Times New Roman" w:hAnsi="Times New Roman" w:cs="Times New Roman"/>
                      <w:bCs/>
                      <w:color w:val="000000" w:themeColor="text1"/>
                      <w:spacing w:val="0"/>
                      <w:w w:val="100"/>
                      <w:position w:val="0"/>
                      <w:szCs w:val="21"/>
                      <w14:textFill>
                        <w14:solidFill>
                          <w14:schemeClr w14:val="tx1"/>
                        </w14:solidFill>
                      </w14:textFill>
                    </w:rPr>
                    <w:t>COD</w:t>
                  </w:r>
                  <w:r>
                    <w:rPr>
                      <w:bCs/>
                      <w:snapToGrid w:val="0"/>
                      <w:color w:val="000000" w:themeColor="text1"/>
                      <w:kern w:val="21"/>
                      <w:szCs w:val="21"/>
                      <w:vertAlign w:val="subscript"/>
                      <w14:textFill>
                        <w14:solidFill>
                          <w14:schemeClr w14:val="tx1"/>
                        </w14:solidFill>
                      </w14:textFill>
                    </w:rPr>
                    <w:t>Cr</w:t>
                  </w:r>
                </w:p>
              </w:tc>
              <w:tc>
                <w:tcPr>
                  <w:tcW w:w="2549" w:type="dxa"/>
                  <w:noWrap w:val="0"/>
                  <w:vAlign w:val="center"/>
                </w:tcPr>
                <w:p w14:paraId="3B010C73">
                  <w:pPr>
                    <w:widowControl/>
                    <w:jc w:val="center"/>
                    <w:textAlignment w:val="center"/>
                    <w:rPr>
                      <w:rFonts w:hint="default" w:ascii="Times New Roman" w:hAnsi="Times New Roman" w:eastAsia="宋体" w:cs="Times New Roman"/>
                      <w:snapToGrid w:val="0"/>
                      <w:color w:val="000000" w:themeColor="text1"/>
                      <w:spacing w:val="0"/>
                      <w:w w:val="100"/>
                      <w:kern w:val="21"/>
                      <w:position w:val="0"/>
                      <w:sz w:val="21"/>
                      <w:szCs w:val="21"/>
                      <w:lang w:val="en-US" w:eastAsia="zh-CN"/>
                      <w14:textFill>
                        <w14:solidFill>
                          <w14:schemeClr w14:val="tx1"/>
                        </w14:solidFill>
                      </w14:textFill>
                    </w:rPr>
                  </w:pPr>
                  <w:r>
                    <w:rPr>
                      <w:rFonts w:hint="eastAsia"/>
                      <w:bCs/>
                      <w:snapToGrid w:val="0"/>
                      <w:color w:val="000000" w:themeColor="text1"/>
                      <w:kern w:val="21"/>
                      <w:szCs w:val="21"/>
                      <w:lang w:val="en-US" w:eastAsia="zh-CN"/>
                      <w14:textFill>
                        <w14:solidFill>
                          <w14:schemeClr w14:val="tx1"/>
                        </w14:solidFill>
                      </w14:textFill>
                    </w:rPr>
                    <w:t>0.53</w:t>
                  </w:r>
                  <w:r>
                    <w:rPr>
                      <w:rFonts w:hint="eastAsia" w:ascii="Times New Roman" w:hAnsi="Times New Roman" w:eastAsia="宋体" w:cs="Times New Roman"/>
                      <w:color w:val="000000" w:themeColor="text1"/>
                      <w:lang w:val="en-US" w:eastAsia="zh-CN"/>
                      <w14:textFill>
                        <w14:solidFill>
                          <w14:schemeClr w14:val="tx1"/>
                        </w14:solidFill>
                      </w14:textFill>
                    </w:rPr>
                    <w:t>t/a</w:t>
                  </w:r>
                </w:p>
              </w:tc>
            </w:tr>
            <w:tr w14:paraId="6B340B4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98" w:type="dxa"/>
                  <w:vMerge w:val="continue"/>
                  <w:noWrap w:val="0"/>
                  <w:vAlign w:val="center"/>
                </w:tcPr>
                <w:p w14:paraId="0A55EB88">
                  <w:pPr>
                    <w:pStyle w:val="107"/>
                    <w:keepNext w:val="0"/>
                    <w:keepLines w:val="0"/>
                    <w:pageBreakBefore w:val="0"/>
                    <w:kinsoku/>
                    <w:wordWrap/>
                    <w:overflowPunct/>
                    <w:topLinePunct w:val="0"/>
                    <w:bidi w:val="0"/>
                    <w:ind w:firstLine="0" w:firstLineChars="0"/>
                    <w:textAlignment w:val="auto"/>
                    <w:rPr>
                      <w:rFonts w:hint="default" w:ascii="Times New Roman" w:hAnsi="Times New Roman" w:eastAsia="宋体" w:cs="Times New Roman"/>
                      <w:color w:val="000000" w:themeColor="text1"/>
                      <w:spacing w:val="0"/>
                      <w:w w:val="100"/>
                      <w:position w:val="0"/>
                      <w:sz w:val="21"/>
                      <w:szCs w:val="21"/>
                      <w14:textFill>
                        <w14:solidFill>
                          <w14:schemeClr w14:val="tx1"/>
                        </w14:solidFill>
                      </w14:textFill>
                    </w:rPr>
                  </w:pPr>
                </w:p>
              </w:tc>
              <w:tc>
                <w:tcPr>
                  <w:tcW w:w="4366" w:type="dxa"/>
                  <w:noWrap w:val="0"/>
                  <w:vAlign w:val="center"/>
                </w:tcPr>
                <w:p w14:paraId="388300B4">
                  <w:pPr>
                    <w:jc w:val="center"/>
                    <w:rPr>
                      <w:rFonts w:hint="default" w:ascii="Times New Roman" w:hAnsi="Times New Roman" w:cs="Times New Roman"/>
                      <w:bCs/>
                      <w:color w:val="000000" w:themeColor="text1"/>
                      <w:spacing w:val="0"/>
                      <w:w w:val="100"/>
                      <w:position w:val="0"/>
                      <w:szCs w:val="21"/>
                      <w14:textFill>
                        <w14:solidFill>
                          <w14:schemeClr w14:val="tx1"/>
                        </w14:solidFill>
                      </w14:textFill>
                    </w:rPr>
                  </w:pPr>
                  <w:r>
                    <w:rPr>
                      <w:bCs/>
                      <w:snapToGrid w:val="0"/>
                      <w:color w:val="000000" w:themeColor="text1"/>
                      <w:kern w:val="21"/>
                      <w:szCs w:val="21"/>
                      <w14:textFill>
                        <w14:solidFill>
                          <w14:schemeClr w14:val="tx1"/>
                        </w14:solidFill>
                      </w14:textFill>
                    </w:rPr>
                    <w:t>BOD</w:t>
                  </w:r>
                  <w:r>
                    <w:rPr>
                      <w:bCs/>
                      <w:snapToGrid w:val="0"/>
                      <w:color w:val="000000" w:themeColor="text1"/>
                      <w:kern w:val="21"/>
                      <w:szCs w:val="21"/>
                      <w:vertAlign w:val="subscript"/>
                      <w14:textFill>
                        <w14:solidFill>
                          <w14:schemeClr w14:val="tx1"/>
                        </w14:solidFill>
                      </w14:textFill>
                    </w:rPr>
                    <w:t>5</w:t>
                  </w:r>
                </w:p>
              </w:tc>
              <w:tc>
                <w:tcPr>
                  <w:tcW w:w="2549" w:type="dxa"/>
                  <w:noWrap w:val="0"/>
                  <w:vAlign w:val="center"/>
                </w:tcPr>
                <w:p w14:paraId="49F2EBC1">
                  <w:pPr>
                    <w:widowControl/>
                    <w:jc w:val="center"/>
                    <w:textAlignment w:val="center"/>
                    <w:rPr>
                      <w:rFonts w:hint="eastAsia"/>
                      <w:bCs/>
                      <w:snapToGrid w:val="0"/>
                      <w:color w:val="000000" w:themeColor="text1"/>
                      <w:kern w:val="21"/>
                      <w:szCs w:val="21"/>
                      <w:lang w:val="en-US" w:eastAsia="zh-CN"/>
                      <w14:textFill>
                        <w14:solidFill>
                          <w14:schemeClr w14:val="tx1"/>
                        </w14:solidFill>
                      </w14:textFill>
                    </w:rPr>
                  </w:pPr>
                  <w:r>
                    <w:rPr>
                      <w:rFonts w:hint="eastAsia"/>
                      <w:bCs/>
                      <w:snapToGrid w:val="0"/>
                      <w:color w:val="000000" w:themeColor="text1"/>
                      <w:kern w:val="21"/>
                      <w:szCs w:val="21"/>
                      <w:lang w:val="en-US" w:eastAsia="zh-CN"/>
                      <w14:textFill>
                        <w14:solidFill>
                          <w14:schemeClr w14:val="tx1"/>
                        </w14:solidFill>
                      </w14:textFill>
                    </w:rPr>
                    <w:t>0.1</w:t>
                  </w:r>
                  <w:r>
                    <w:rPr>
                      <w:rFonts w:hint="eastAsia" w:ascii="Times New Roman" w:hAnsi="Times New Roman" w:eastAsia="宋体" w:cs="Times New Roman"/>
                      <w:color w:val="000000" w:themeColor="text1"/>
                      <w:lang w:val="en-US" w:eastAsia="zh-CN"/>
                      <w14:textFill>
                        <w14:solidFill>
                          <w14:schemeClr w14:val="tx1"/>
                        </w14:solidFill>
                      </w14:textFill>
                    </w:rPr>
                    <w:t>t/a</w:t>
                  </w:r>
                </w:p>
              </w:tc>
            </w:tr>
            <w:tr w14:paraId="24919C1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98" w:type="dxa"/>
                  <w:vMerge w:val="continue"/>
                  <w:noWrap w:val="0"/>
                  <w:vAlign w:val="center"/>
                </w:tcPr>
                <w:p w14:paraId="1B327107">
                  <w:pPr>
                    <w:pStyle w:val="107"/>
                    <w:keepNext w:val="0"/>
                    <w:keepLines w:val="0"/>
                    <w:pageBreakBefore w:val="0"/>
                    <w:kinsoku/>
                    <w:wordWrap/>
                    <w:overflowPunct/>
                    <w:topLinePunct w:val="0"/>
                    <w:bidi w:val="0"/>
                    <w:ind w:firstLine="0" w:firstLineChars="0"/>
                    <w:textAlignment w:val="auto"/>
                    <w:rPr>
                      <w:rFonts w:hint="default" w:ascii="Times New Roman" w:hAnsi="Times New Roman" w:eastAsia="宋体" w:cs="Times New Roman"/>
                      <w:color w:val="000000" w:themeColor="text1"/>
                      <w:spacing w:val="0"/>
                      <w:w w:val="100"/>
                      <w:position w:val="0"/>
                      <w:sz w:val="21"/>
                      <w:szCs w:val="21"/>
                      <w14:textFill>
                        <w14:solidFill>
                          <w14:schemeClr w14:val="tx1"/>
                        </w14:solidFill>
                      </w14:textFill>
                    </w:rPr>
                  </w:pPr>
                </w:p>
              </w:tc>
              <w:tc>
                <w:tcPr>
                  <w:tcW w:w="4366" w:type="dxa"/>
                  <w:noWrap w:val="0"/>
                  <w:vAlign w:val="center"/>
                </w:tcPr>
                <w:p w14:paraId="6C8CD9DC">
                  <w:pPr>
                    <w:jc w:val="center"/>
                    <w:rPr>
                      <w:rFonts w:hint="default" w:ascii="Times New Roman" w:hAnsi="Times New Roman" w:eastAsia="宋体" w:cs="Times New Roman"/>
                      <w:snapToGrid w:val="0"/>
                      <w:color w:val="000000" w:themeColor="text1"/>
                      <w:spacing w:val="0"/>
                      <w:w w:val="100"/>
                      <w:kern w:val="21"/>
                      <w:position w:val="0"/>
                      <w:sz w:val="21"/>
                      <w:szCs w:val="21"/>
                      <w:lang w:eastAsia="zh-CN"/>
                      <w14:textFill>
                        <w14:solidFill>
                          <w14:schemeClr w14:val="tx1"/>
                        </w14:solidFill>
                      </w14:textFill>
                    </w:rPr>
                  </w:pPr>
                  <w:r>
                    <w:rPr>
                      <w:rFonts w:hint="default" w:ascii="Times New Roman" w:hAnsi="Times New Roman" w:cs="Times New Roman"/>
                      <w:bCs/>
                      <w:color w:val="000000" w:themeColor="text1"/>
                      <w:spacing w:val="0"/>
                      <w:w w:val="100"/>
                      <w:position w:val="0"/>
                      <w:szCs w:val="21"/>
                      <w14:textFill>
                        <w14:solidFill>
                          <w14:schemeClr w14:val="tx1"/>
                        </w14:solidFill>
                      </w14:textFill>
                    </w:rPr>
                    <w:t>SS</w:t>
                  </w:r>
                </w:p>
              </w:tc>
              <w:tc>
                <w:tcPr>
                  <w:tcW w:w="2549" w:type="dxa"/>
                  <w:noWrap w:val="0"/>
                  <w:vAlign w:val="center"/>
                </w:tcPr>
                <w:p w14:paraId="4EAB8C66">
                  <w:pPr>
                    <w:widowControl/>
                    <w:jc w:val="center"/>
                    <w:textAlignment w:val="center"/>
                    <w:rPr>
                      <w:rFonts w:hint="default" w:ascii="Times New Roman" w:hAnsi="Times New Roman" w:eastAsia="宋体" w:cs="Times New Roman"/>
                      <w:snapToGrid w:val="0"/>
                      <w:color w:val="000000" w:themeColor="text1"/>
                      <w:spacing w:val="0"/>
                      <w:w w:val="100"/>
                      <w:kern w:val="21"/>
                      <w:position w:val="0"/>
                      <w:sz w:val="21"/>
                      <w:szCs w:val="21"/>
                      <w:lang w:val="en-US" w:eastAsia="zh-CN"/>
                      <w14:textFill>
                        <w14:solidFill>
                          <w14:schemeClr w14:val="tx1"/>
                        </w14:solidFill>
                      </w14:textFill>
                    </w:rPr>
                  </w:pPr>
                  <w:r>
                    <w:rPr>
                      <w:rFonts w:hint="eastAsia"/>
                      <w:bCs/>
                      <w:snapToGrid w:val="0"/>
                      <w:color w:val="000000" w:themeColor="text1"/>
                      <w:kern w:val="21"/>
                      <w:szCs w:val="21"/>
                      <w:lang w:val="en-US" w:eastAsia="zh-CN"/>
                      <w14:textFill>
                        <w14:solidFill>
                          <w14:schemeClr w14:val="tx1"/>
                        </w14:solidFill>
                      </w14:textFill>
                    </w:rPr>
                    <w:t>0.38</w:t>
                  </w:r>
                  <w:r>
                    <w:rPr>
                      <w:rFonts w:hint="eastAsia" w:ascii="Times New Roman" w:hAnsi="Times New Roman" w:eastAsia="宋体" w:cs="Times New Roman"/>
                      <w:snapToGrid w:val="0"/>
                      <w:color w:val="000000" w:themeColor="text1"/>
                      <w:spacing w:val="0"/>
                      <w:w w:val="100"/>
                      <w:kern w:val="21"/>
                      <w:position w:val="0"/>
                      <w:sz w:val="21"/>
                      <w:szCs w:val="21"/>
                      <w:lang w:val="en-US" w:eastAsia="zh-CN"/>
                      <w14:textFill>
                        <w14:solidFill>
                          <w14:schemeClr w14:val="tx1"/>
                        </w14:solidFill>
                      </w14:textFill>
                    </w:rPr>
                    <w:t>t/a</w:t>
                  </w:r>
                </w:p>
              </w:tc>
            </w:tr>
            <w:tr w14:paraId="20ED2BE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98" w:type="dxa"/>
                  <w:vMerge w:val="continue"/>
                  <w:noWrap w:val="0"/>
                  <w:vAlign w:val="center"/>
                </w:tcPr>
                <w:p w14:paraId="2B0D376F">
                  <w:pPr>
                    <w:pStyle w:val="107"/>
                    <w:keepNext w:val="0"/>
                    <w:keepLines w:val="0"/>
                    <w:pageBreakBefore w:val="0"/>
                    <w:kinsoku/>
                    <w:wordWrap/>
                    <w:overflowPunct/>
                    <w:topLinePunct w:val="0"/>
                    <w:bidi w:val="0"/>
                    <w:ind w:firstLine="0" w:firstLineChars="0"/>
                    <w:textAlignment w:val="auto"/>
                    <w:rPr>
                      <w:rFonts w:hint="default" w:ascii="Times New Roman" w:hAnsi="Times New Roman" w:eastAsia="宋体" w:cs="Times New Roman"/>
                      <w:color w:val="000000" w:themeColor="text1"/>
                      <w:spacing w:val="0"/>
                      <w:w w:val="100"/>
                      <w:position w:val="0"/>
                      <w:sz w:val="21"/>
                      <w:szCs w:val="21"/>
                      <w14:textFill>
                        <w14:solidFill>
                          <w14:schemeClr w14:val="tx1"/>
                        </w14:solidFill>
                      </w14:textFill>
                    </w:rPr>
                  </w:pPr>
                </w:p>
              </w:tc>
              <w:tc>
                <w:tcPr>
                  <w:tcW w:w="4366" w:type="dxa"/>
                  <w:noWrap w:val="0"/>
                  <w:vAlign w:val="center"/>
                </w:tcPr>
                <w:p w14:paraId="698CDFDD">
                  <w:pPr>
                    <w:jc w:val="center"/>
                    <w:rPr>
                      <w:rFonts w:hint="eastAsia" w:ascii="Times New Roman" w:hAnsi="Times New Roman" w:eastAsia="宋体" w:cs="Times New Roman"/>
                      <w:bCs/>
                      <w:color w:val="000000" w:themeColor="text1"/>
                      <w:spacing w:val="0"/>
                      <w:w w:val="100"/>
                      <w:position w:val="0"/>
                      <w:szCs w:val="21"/>
                      <w:lang w:val="en-US" w:eastAsia="zh-CN"/>
                      <w14:textFill>
                        <w14:solidFill>
                          <w14:schemeClr w14:val="tx1"/>
                        </w14:solidFill>
                      </w14:textFill>
                    </w:rPr>
                  </w:pPr>
                  <w:r>
                    <w:rPr>
                      <w:bCs/>
                      <w:snapToGrid w:val="0"/>
                      <w:color w:val="000000" w:themeColor="text1"/>
                      <w:kern w:val="21"/>
                      <w:szCs w:val="21"/>
                      <w14:textFill>
                        <w14:solidFill>
                          <w14:schemeClr w14:val="tx1"/>
                        </w14:solidFill>
                      </w14:textFill>
                    </w:rPr>
                    <w:t>NH</w:t>
                  </w:r>
                  <w:r>
                    <w:rPr>
                      <w:bCs/>
                      <w:snapToGrid w:val="0"/>
                      <w:color w:val="000000" w:themeColor="text1"/>
                      <w:kern w:val="21"/>
                      <w:szCs w:val="21"/>
                      <w:vertAlign w:val="subscript"/>
                      <w14:textFill>
                        <w14:solidFill>
                          <w14:schemeClr w14:val="tx1"/>
                        </w14:solidFill>
                      </w14:textFill>
                    </w:rPr>
                    <w:t>3</w:t>
                  </w:r>
                  <w:r>
                    <w:rPr>
                      <w:bCs/>
                      <w:snapToGrid w:val="0"/>
                      <w:color w:val="000000" w:themeColor="text1"/>
                      <w:kern w:val="21"/>
                      <w:szCs w:val="21"/>
                      <w14:textFill>
                        <w14:solidFill>
                          <w14:schemeClr w14:val="tx1"/>
                        </w14:solidFill>
                      </w14:textFill>
                    </w:rPr>
                    <w:t>-N</w:t>
                  </w:r>
                </w:p>
              </w:tc>
              <w:tc>
                <w:tcPr>
                  <w:tcW w:w="2549" w:type="dxa"/>
                  <w:noWrap w:val="0"/>
                  <w:vAlign w:val="center"/>
                </w:tcPr>
                <w:p w14:paraId="11995D45">
                  <w:pPr>
                    <w:widowControl/>
                    <w:jc w:val="center"/>
                    <w:textAlignment w:val="center"/>
                    <w:rPr>
                      <w:rFonts w:hint="default" w:ascii="Times New Roman" w:hAnsi="Times New Roman" w:eastAsia="宋体" w:cs="Times New Roman"/>
                      <w:snapToGrid w:val="0"/>
                      <w:color w:val="000000" w:themeColor="text1"/>
                      <w:spacing w:val="0"/>
                      <w:w w:val="100"/>
                      <w:kern w:val="21"/>
                      <w:position w:val="0"/>
                      <w:sz w:val="21"/>
                      <w:szCs w:val="21"/>
                      <w:lang w:val="en-US" w:eastAsia="zh-CN"/>
                      <w14:textFill>
                        <w14:solidFill>
                          <w14:schemeClr w14:val="tx1"/>
                        </w14:solidFill>
                      </w14:textFill>
                    </w:rPr>
                  </w:pPr>
                  <w:r>
                    <w:rPr>
                      <w:rFonts w:hint="eastAsia" w:ascii="Times New Roman" w:hAnsi="Times New Roman" w:eastAsia="宋体" w:cs="Times New Roman"/>
                      <w:snapToGrid w:val="0"/>
                      <w:color w:val="000000" w:themeColor="text1"/>
                      <w:spacing w:val="0"/>
                      <w:w w:val="100"/>
                      <w:kern w:val="21"/>
                      <w:position w:val="0"/>
                      <w:sz w:val="21"/>
                      <w:szCs w:val="21"/>
                      <w:lang w:val="en-US" w:eastAsia="zh-CN"/>
                      <w14:textFill>
                        <w14:solidFill>
                          <w14:schemeClr w14:val="tx1"/>
                        </w14:solidFill>
                      </w14:textFill>
                    </w:rPr>
                    <w:t>0.08</w:t>
                  </w:r>
                  <w:r>
                    <w:rPr>
                      <w:rFonts w:hint="eastAsia" w:ascii="Times New Roman" w:hAnsi="Times New Roman" w:eastAsia="宋体" w:cs="Times New Roman"/>
                      <w:b w:val="0"/>
                      <w:bCs w:val="0"/>
                      <w:snapToGrid w:val="0"/>
                      <w:color w:val="000000" w:themeColor="text1"/>
                      <w:spacing w:val="0"/>
                      <w:w w:val="100"/>
                      <w:kern w:val="21"/>
                      <w:position w:val="0"/>
                      <w:sz w:val="21"/>
                      <w:szCs w:val="21"/>
                      <w:lang w:val="en-US" w:eastAsia="zh-CN"/>
                      <w14:textFill>
                        <w14:solidFill>
                          <w14:schemeClr w14:val="tx1"/>
                        </w14:solidFill>
                      </w14:textFill>
                    </w:rPr>
                    <w:t>t/a</w:t>
                  </w:r>
                </w:p>
              </w:tc>
            </w:tr>
            <w:tr w14:paraId="1083956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98" w:type="dxa"/>
                  <w:vMerge w:val="restart"/>
                  <w:noWrap w:val="0"/>
                  <w:vAlign w:val="center"/>
                </w:tcPr>
                <w:p w14:paraId="74B84939">
                  <w:pPr>
                    <w:pStyle w:val="107"/>
                    <w:keepNext w:val="0"/>
                    <w:keepLines w:val="0"/>
                    <w:pageBreakBefore w:val="0"/>
                    <w:kinsoku/>
                    <w:wordWrap/>
                    <w:overflowPunct/>
                    <w:topLinePunct w:val="0"/>
                    <w:bidi w:val="0"/>
                    <w:ind w:firstLine="0" w:firstLineChars="0"/>
                    <w:textAlignment w:val="auto"/>
                    <w:rPr>
                      <w:rFonts w:hint="default" w:ascii="Times New Roman" w:hAnsi="Times New Roman" w:eastAsia="宋体" w:cs="Times New Roman"/>
                      <w:color w:val="000000" w:themeColor="text1"/>
                      <w:spacing w:val="0"/>
                      <w:w w:val="100"/>
                      <w:position w:val="0"/>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0"/>
                      <w:w w:val="100"/>
                      <w:position w:val="0"/>
                      <w:sz w:val="21"/>
                      <w:szCs w:val="21"/>
                      <w:lang w:val="en-US" w:eastAsia="zh-CN"/>
                      <w14:textFill>
                        <w14:solidFill>
                          <w14:schemeClr w14:val="tx1"/>
                        </w14:solidFill>
                      </w14:textFill>
                    </w:rPr>
                    <w:t>固体污染物</w:t>
                  </w:r>
                </w:p>
              </w:tc>
              <w:tc>
                <w:tcPr>
                  <w:tcW w:w="4366" w:type="dxa"/>
                  <w:noWrap w:val="0"/>
                  <w:vAlign w:val="center"/>
                </w:tcPr>
                <w:p w14:paraId="7E70F541">
                  <w:pPr>
                    <w:widowControl/>
                    <w:jc w:val="center"/>
                    <w:textAlignment w:val="center"/>
                    <w:rPr>
                      <w:rFonts w:hint="default" w:ascii="Times New Roman" w:hAnsi="Times New Roman" w:eastAsia="宋体" w:cs="Times New Roman"/>
                      <w:b w:val="0"/>
                      <w:bCs/>
                      <w:snapToGrid w:val="0"/>
                      <w:color w:val="000000" w:themeColor="text1"/>
                      <w:spacing w:val="0"/>
                      <w:w w:val="100"/>
                      <w:kern w:val="21"/>
                      <w:position w:val="0"/>
                      <w:sz w:val="21"/>
                      <w:szCs w:val="21"/>
                      <w:lang w:eastAsia="zh-CN"/>
                      <w14:textFill>
                        <w14:solidFill>
                          <w14:schemeClr w14:val="tx1"/>
                        </w14:solidFill>
                      </w14:textFill>
                    </w:rPr>
                  </w:pPr>
                  <w:r>
                    <w:rPr>
                      <w:rFonts w:hint="eastAsia"/>
                      <w:color w:val="000000" w:themeColor="text1"/>
                      <w:kern w:val="0"/>
                      <w:sz w:val="21"/>
                      <w:szCs w:val="21"/>
                      <w:lang w:val="en-US" w:eastAsia="zh-CN" w:bidi="ar"/>
                      <w14:textFill>
                        <w14:solidFill>
                          <w14:schemeClr w14:val="tx1"/>
                        </w14:solidFill>
                      </w14:textFill>
                    </w:rPr>
                    <w:t>锅炉灰渣</w:t>
                  </w:r>
                </w:p>
              </w:tc>
              <w:tc>
                <w:tcPr>
                  <w:tcW w:w="2549" w:type="dxa"/>
                  <w:noWrap w:val="0"/>
                  <w:vAlign w:val="center"/>
                </w:tcPr>
                <w:p w14:paraId="3E5B8764">
                  <w:pPr>
                    <w:adjustRightInd w:val="0"/>
                    <w:snapToGrid w:val="0"/>
                    <w:jc w:val="center"/>
                    <w:rPr>
                      <w:rFonts w:hint="default" w:ascii="Times New Roman" w:hAnsi="Times New Roman" w:eastAsia="宋体" w:cs="Times New Roman"/>
                      <w:snapToGrid w:val="0"/>
                      <w:color w:val="000000" w:themeColor="text1"/>
                      <w:spacing w:val="0"/>
                      <w:w w:val="100"/>
                      <w:kern w:val="21"/>
                      <w:position w:val="0"/>
                      <w:sz w:val="21"/>
                      <w:szCs w:val="21"/>
                      <w:lang w:val="en-US" w:eastAsia="zh-CN"/>
                      <w14:textFill>
                        <w14:solidFill>
                          <w14:schemeClr w14:val="tx1"/>
                        </w14:solidFill>
                      </w14:textFill>
                    </w:rPr>
                  </w:pPr>
                  <w:r>
                    <w:rPr>
                      <w:rFonts w:hint="eastAsia"/>
                      <w:bCs/>
                      <w:snapToGrid w:val="0"/>
                      <w:color w:val="000000" w:themeColor="text1"/>
                      <w:kern w:val="21"/>
                      <w:szCs w:val="21"/>
                      <w:lang w:val="en-US" w:eastAsia="zh-CN"/>
                      <w14:textFill>
                        <w14:solidFill>
                          <w14:schemeClr w14:val="tx1"/>
                        </w14:solidFill>
                      </w14:textFill>
                    </w:rPr>
                    <w:t>800</w:t>
                  </w:r>
                  <w:r>
                    <w:rPr>
                      <w:rFonts w:hint="eastAsia" w:ascii="Times New Roman" w:hAnsi="Times New Roman" w:eastAsia="宋体" w:cs="Times New Roman"/>
                      <w:color w:val="000000" w:themeColor="text1"/>
                      <w:lang w:val="en-US" w:eastAsia="zh-CN"/>
                      <w14:textFill>
                        <w14:solidFill>
                          <w14:schemeClr w14:val="tx1"/>
                        </w14:solidFill>
                      </w14:textFill>
                    </w:rPr>
                    <w:t>t/a</w:t>
                  </w:r>
                </w:p>
              </w:tc>
            </w:tr>
            <w:tr w14:paraId="551BE15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98" w:type="dxa"/>
                  <w:vMerge w:val="continue"/>
                  <w:noWrap w:val="0"/>
                  <w:vAlign w:val="center"/>
                </w:tcPr>
                <w:p w14:paraId="7EEE992C">
                  <w:pPr>
                    <w:pStyle w:val="107"/>
                    <w:keepNext w:val="0"/>
                    <w:keepLines w:val="0"/>
                    <w:pageBreakBefore w:val="0"/>
                    <w:kinsoku/>
                    <w:wordWrap/>
                    <w:overflowPunct/>
                    <w:topLinePunct w:val="0"/>
                    <w:bidi w:val="0"/>
                    <w:ind w:firstLine="0" w:firstLineChars="0"/>
                    <w:textAlignment w:val="auto"/>
                    <w:rPr>
                      <w:rFonts w:hint="default" w:ascii="Times New Roman" w:hAnsi="Times New Roman" w:eastAsia="宋体" w:cs="Times New Roman"/>
                      <w:color w:val="000000" w:themeColor="text1"/>
                      <w:spacing w:val="0"/>
                      <w:w w:val="100"/>
                      <w:position w:val="0"/>
                      <w:sz w:val="21"/>
                      <w:szCs w:val="21"/>
                      <w14:textFill>
                        <w14:solidFill>
                          <w14:schemeClr w14:val="tx1"/>
                        </w14:solidFill>
                      </w14:textFill>
                    </w:rPr>
                  </w:pPr>
                </w:p>
              </w:tc>
              <w:tc>
                <w:tcPr>
                  <w:tcW w:w="4366" w:type="dxa"/>
                  <w:noWrap w:val="0"/>
                  <w:vAlign w:val="center"/>
                </w:tcPr>
                <w:p w14:paraId="3C73C920">
                  <w:pPr>
                    <w:widowControl/>
                    <w:jc w:val="center"/>
                    <w:textAlignment w:val="center"/>
                    <w:rPr>
                      <w:rFonts w:hint="default" w:ascii="Times New Roman" w:hAnsi="Times New Roman" w:eastAsia="宋体" w:cs="Times New Roman"/>
                      <w:snapToGrid w:val="0"/>
                      <w:color w:val="000000" w:themeColor="text1"/>
                      <w:spacing w:val="0"/>
                      <w:w w:val="100"/>
                      <w:kern w:val="21"/>
                      <w:position w:val="0"/>
                      <w:sz w:val="21"/>
                      <w:szCs w:val="21"/>
                      <w:lang w:eastAsia="zh-CN"/>
                      <w14:textFill>
                        <w14:solidFill>
                          <w14:schemeClr w14:val="tx1"/>
                        </w14:solidFill>
                      </w14:textFill>
                    </w:rPr>
                  </w:pPr>
                  <w:r>
                    <w:rPr>
                      <w:rFonts w:hint="eastAsia"/>
                      <w:color w:val="000000" w:themeColor="text1"/>
                      <w:kern w:val="0"/>
                      <w:sz w:val="21"/>
                      <w:szCs w:val="21"/>
                      <w:lang w:val="en-US" w:eastAsia="zh-CN" w:bidi="ar"/>
                      <w14:textFill>
                        <w14:solidFill>
                          <w14:schemeClr w14:val="tx1"/>
                        </w14:solidFill>
                      </w14:textFill>
                    </w:rPr>
                    <w:t>废包装袋</w:t>
                  </w:r>
                </w:p>
              </w:tc>
              <w:tc>
                <w:tcPr>
                  <w:tcW w:w="2549" w:type="dxa"/>
                  <w:noWrap w:val="0"/>
                  <w:vAlign w:val="center"/>
                </w:tcPr>
                <w:p w14:paraId="17FB371E">
                  <w:pPr>
                    <w:adjustRightInd w:val="0"/>
                    <w:snapToGrid w:val="0"/>
                    <w:jc w:val="center"/>
                    <w:rPr>
                      <w:rFonts w:hint="default" w:ascii="Times New Roman" w:hAnsi="Times New Roman" w:eastAsia="宋体" w:cs="Times New Roman"/>
                      <w:snapToGrid w:val="0"/>
                      <w:color w:val="000000" w:themeColor="text1"/>
                      <w:spacing w:val="0"/>
                      <w:w w:val="100"/>
                      <w:kern w:val="21"/>
                      <w:position w:val="0"/>
                      <w:sz w:val="21"/>
                      <w:szCs w:val="21"/>
                      <w:lang w:val="en-US" w:eastAsia="zh-CN"/>
                      <w14:textFill>
                        <w14:solidFill>
                          <w14:schemeClr w14:val="tx1"/>
                        </w14:solidFill>
                      </w14:textFill>
                    </w:rPr>
                  </w:pPr>
                  <w:r>
                    <w:rPr>
                      <w:rFonts w:hint="eastAsia"/>
                      <w:bCs/>
                      <w:snapToGrid w:val="0"/>
                      <w:color w:val="000000" w:themeColor="text1"/>
                      <w:kern w:val="21"/>
                      <w:szCs w:val="21"/>
                      <w:lang w:val="en-US" w:eastAsia="zh-CN"/>
                      <w14:textFill>
                        <w14:solidFill>
                          <w14:schemeClr w14:val="tx1"/>
                        </w14:solidFill>
                      </w14:textFill>
                    </w:rPr>
                    <w:t>5</w:t>
                  </w:r>
                  <w:r>
                    <w:rPr>
                      <w:rFonts w:hint="eastAsia" w:ascii="Times New Roman" w:hAnsi="Times New Roman" w:eastAsia="宋体" w:cs="Times New Roman"/>
                      <w:color w:val="000000" w:themeColor="text1"/>
                      <w:lang w:val="en-US" w:eastAsia="zh-CN"/>
                      <w14:textFill>
                        <w14:solidFill>
                          <w14:schemeClr w14:val="tx1"/>
                        </w14:solidFill>
                      </w14:textFill>
                    </w:rPr>
                    <w:t>t/a</w:t>
                  </w:r>
                </w:p>
              </w:tc>
            </w:tr>
            <w:tr w14:paraId="440F188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98" w:type="dxa"/>
                  <w:vMerge w:val="continue"/>
                  <w:noWrap w:val="0"/>
                  <w:vAlign w:val="center"/>
                </w:tcPr>
                <w:p w14:paraId="4125EEA4">
                  <w:pPr>
                    <w:pStyle w:val="107"/>
                    <w:keepNext w:val="0"/>
                    <w:keepLines w:val="0"/>
                    <w:pageBreakBefore w:val="0"/>
                    <w:kinsoku/>
                    <w:wordWrap/>
                    <w:overflowPunct/>
                    <w:topLinePunct w:val="0"/>
                    <w:bidi w:val="0"/>
                    <w:ind w:firstLine="0" w:firstLineChars="0"/>
                    <w:textAlignment w:val="auto"/>
                    <w:rPr>
                      <w:rFonts w:hint="default" w:ascii="Times New Roman" w:hAnsi="Times New Roman" w:eastAsia="宋体" w:cs="Times New Roman"/>
                      <w:color w:val="000000" w:themeColor="text1"/>
                      <w:spacing w:val="0"/>
                      <w:w w:val="100"/>
                      <w:position w:val="0"/>
                      <w:sz w:val="21"/>
                      <w:szCs w:val="21"/>
                      <w14:textFill>
                        <w14:solidFill>
                          <w14:schemeClr w14:val="tx1"/>
                        </w14:solidFill>
                      </w14:textFill>
                    </w:rPr>
                  </w:pPr>
                </w:p>
              </w:tc>
              <w:tc>
                <w:tcPr>
                  <w:tcW w:w="4366" w:type="dxa"/>
                  <w:noWrap w:val="0"/>
                  <w:vAlign w:val="center"/>
                </w:tcPr>
                <w:p w14:paraId="788544CE">
                  <w:pPr>
                    <w:widowControl/>
                    <w:jc w:val="center"/>
                    <w:textAlignment w:val="center"/>
                    <w:rPr>
                      <w:rFonts w:hint="eastAsia" w:ascii="Times New Roman" w:hAnsi="Times New Roman" w:eastAsia="宋体" w:cs="Times New Roman"/>
                      <w:snapToGrid w:val="0"/>
                      <w:color w:val="000000" w:themeColor="text1"/>
                      <w:spacing w:val="0"/>
                      <w:w w:val="100"/>
                      <w:kern w:val="21"/>
                      <w:position w:val="0"/>
                      <w:sz w:val="21"/>
                      <w:szCs w:val="21"/>
                      <w:lang w:eastAsia="zh-CN"/>
                      <w14:textFill>
                        <w14:solidFill>
                          <w14:schemeClr w14:val="tx1"/>
                        </w14:solidFill>
                      </w14:textFill>
                    </w:rPr>
                  </w:pPr>
                  <w:r>
                    <w:rPr>
                      <w:rFonts w:hint="eastAsia"/>
                      <w:color w:val="000000" w:themeColor="text1"/>
                      <w:kern w:val="0"/>
                      <w:sz w:val="21"/>
                      <w:szCs w:val="21"/>
                      <w:lang w:val="en-US" w:eastAsia="zh-CN" w:bidi="ar"/>
                      <w14:textFill>
                        <w14:solidFill>
                          <w14:schemeClr w14:val="tx1"/>
                        </w14:solidFill>
                      </w14:textFill>
                    </w:rPr>
                    <w:t>杂质</w:t>
                  </w:r>
                </w:p>
              </w:tc>
              <w:tc>
                <w:tcPr>
                  <w:tcW w:w="2549" w:type="dxa"/>
                  <w:noWrap w:val="0"/>
                  <w:vAlign w:val="center"/>
                </w:tcPr>
                <w:p w14:paraId="1132F975">
                  <w:pPr>
                    <w:adjustRightInd w:val="0"/>
                    <w:snapToGrid w:val="0"/>
                    <w:jc w:val="center"/>
                    <w:rPr>
                      <w:rFonts w:hint="default" w:ascii="Times New Roman" w:hAnsi="Times New Roman" w:eastAsia="宋体" w:cs="Times New Roman"/>
                      <w:snapToGrid w:val="0"/>
                      <w:color w:val="000000" w:themeColor="text1"/>
                      <w:spacing w:val="0"/>
                      <w:w w:val="100"/>
                      <w:kern w:val="21"/>
                      <w:position w:val="0"/>
                      <w:sz w:val="21"/>
                      <w:szCs w:val="21"/>
                      <w:lang w:val="en-US" w:eastAsia="zh-CN"/>
                      <w14:textFill>
                        <w14:solidFill>
                          <w14:schemeClr w14:val="tx1"/>
                        </w14:solidFill>
                      </w14:textFill>
                    </w:rPr>
                  </w:pPr>
                  <w:r>
                    <w:rPr>
                      <w:rFonts w:hint="eastAsia"/>
                      <w:bCs/>
                      <w:snapToGrid w:val="0"/>
                      <w:color w:val="000000" w:themeColor="text1"/>
                      <w:kern w:val="21"/>
                      <w:szCs w:val="21"/>
                      <w:lang w:val="en-US" w:eastAsia="zh-CN"/>
                      <w14:textFill>
                        <w14:solidFill>
                          <w14:schemeClr w14:val="tx1"/>
                        </w14:solidFill>
                      </w14:textFill>
                    </w:rPr>
                    <w:t>20</w:t>
                  </w:r>
                  <w:r>
                    <w:rPr>
                      <w:rFonts w:hint="eastAsia" w:ascii="Times New Roman" w:hAnsi="Times New Roman" w:eastAsia="宋体" w:cs="Times New Roman"/>
                      <w:color w:val="000000" w:themeColor="text1"/>
                      <w:lang w:val="en-US" w:eastAsia="zh-CN"/>
                      <w14:textFill>
                        <w14:solidFill>
                          <w14:schemeClr w14:val="tx1"/>
                        </w14:solidFill>
                      </w14:textFill>
                    </w:rPr>
                    <w:t>t/a</w:t>
                  </w:r>
                </w:p>
              </w:tc>
            </w:tr>
            <w:tr w14:paraId="4F7BBF5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98" w:type="dxa"/>
                  <w:vMerge w:val="continue"/>
                  <w:noWrap w:val="0"/>
                  <w:vAlign w:val="center"/>
                </w:tcPr>
                <w:p w14:paraId="482B5056">
                  <w:pPr>
                    <w:pStyle w:val="107"/>
                    <w:keepNext w:val="0"/>
                    <w:keepLines w:val="0"/>
                    <w:pageBreakBefore w:val="0"/>
                    <w:kinsoku/>
                    <w:wordWrap/>
                    <w:overflowPunct/>
                    <w:topLinePunct w:val="0"/>
                    <w:bidi w:val="0"/>
                    <w:ind w:firstLine="0" w:firstLineChars="0"/>
                    <w:textAlignment w:val="auto"/>
                    <w:rPr>
                      <w:rFonts w:hint="default" w:ascii="Times New Roman" w:hAnsi="Times New Roman" w:eastAsia="宋体" w:cs="Times New Roman"/>
                      <w:color w:val="000000" w:themeColor="text1"/>
                      <w:spacing w:val="0"/>
                      <w:w w:val="100"/>
                      <w:position w:val="0"/>
                      <w:sz w:val="21"/>
                      <w:szCs w:val="21"/>
                      <w14:textFill>
                        <w14:solidFill>
                          <w14:schemeClr w14:val="tx1"/>
                        </w14:solidFill>
                      </w14:textFill>
                    </w:rPr>
                  </w:pPr>
                </w:p>
              </w:tc>
              <w:tc>
                <w:tcPr>
                  <w:tcW w:w="4366" w:type="dxa"/>
                  <w:noWrap w:val="0"/>
                  <w:vAlign w:val="center"/>
                </w:tcPr>
                <w:p w14:paraId="14F926C3">
                  <w:pPr>
                    <w:widowControl/>
                    <w:jc w:val="center"/>
                    <w:textAlignment w:val="center"/>
                    <w:rPr>
                      <w:rFonts w:hint="default"/>
                      <w:color w:val="FF0000"/>
                      <w:kern w:val="0"/>
                      <w:sz w:val="21"/>
                      <w:szCs w:val="21"/>
                      <w:lang w:val="en-US" w:eastAsia="zh-CN" w:bidi="ar"/>
                    </w:rPr>
                  </w:pPr>
                  <w:r>
                    <w:rPr>
                      <w:rFonts w:hint="eastAsia"/>
                      <w:color w:val="FF0000"/>
                      <w:kern w:val="0"/>
                      <w:sz w:val="21"/>
                      <w:szCs w:val="21"/>
                      <w:lang w:val="en-US" w:eastAsia="zh-CN" w:bidi="ar"/>
                    </w:rPr>
                    <w:t>污水处理污泥</w:t>
                  </w:r>
                </w:p>
              </w:tc>
              <w:tc>
                <w:tcPr>
                  <w:tcW w:w="2549" w:type="dxa"/>
                  <w:noWrap w:val="0"/>
                  <w:vAlign w:val="center"/>
                </w:tcPr>
                <w:p w14:paraId="0DD67F5D">
                  <w:pPr>
                    <w:adjustRightInd w:val="0"/>
                    <w:snapToGrid w:val="0"/>
                    <w:jc w:val="center"/>
                    <w:rPr>
                      <w:rFonts w:hint="default"/>
                      <w:bCs/>
                      <w:snapToGrid w:val="0"/>
                      <w:color w:val="FF0000"/>
                      <w:kern w:val="21"/>
                      <w:szCs w:val="21"/>
                      <w:lang w:val="en-US" w:eastAsia="zh-CN"/>
                    </w:rPr>
                  </w:pPr>
                  <w:r>
                    <w:rPr>
                      <w:rFonts w:hint="eastAsia"/>
                      <w:bCs/>
                      <w:snapToGrid w:val="0"/>
                      <w:color w:val="FF0000"/>
                      <w:kern w:val="21"/>
                      <w:szCs w:val="21"/>
                      <w:lang w:val="en-US" w:eastAsia="zh-CN"/>
                    </w:rPr>
                    <w:t>2t/a</w:t>
                  </w:r>
                </w:p>
              </w:tc>
            </w:tr>
            <w:tr w14:paraId="6FBA478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98" w:type="dxa"/>
                  <w:vMerge w:val="continue"/>
                  <w:noWrap w:val="0"/>
                  <w:vAlign w:val="center"/>
                </w:tcPr>
                <w:p w14:paraId="4FDED3CA">
                  <w:pPr>
                    <w:pStyle w:val="107"/>
                    <w:keepNext w:val="0"/>
                    <w:keepLines w:val="0"/>
                    <w:pageBreakBefore w:val="0"/>
                    <w:kinsoku/>
                    <w:wordWrap/>
                    <w:overflowPunct/>
                    <w:topLinePunct w:val="0"/>
                    <w:bidi w:val="0"/>
                    <w:ind w:firstLine="0" w:firstLineChars="0"/>
                    <w:textAlignment w:val="auto"/>
                    <w:rPr>
                      <w:rFonts w:hint="default" w:ascii="Times New Roman" w:hAnsi="Times New Roman" w:eastAsia="宋体" w:cs="Times New Roman"/>
                      <w:color w:val="000000" w:themeColor="text1"/>
                      <w:spacing w:val="0"/>
                      <w:w w:val="100"/>
                      <w:position w:val="0"/>
                      <w:sz w:val="21"/>
                      <w:szCs w:val="21"/>
                      <w14:textFill>
                        <w14:solidFill>
                          <w14:schemeClr w14:val="tx1"/>
                        </w14:solidFill>
                      </w14:textFill>
                    </w:rPr>
                  </w:pPr>
                </w:p>
              </w:tc>
              <w:tc>
                <w:tcPr>
                  <w:tcW w:w="4366" w:type="dxa"/>
                  <w:noWrap w:val="0"/>
                  <w:vAlign w:val="center"/>
                </w:tcPr>
                <w:p w14:paraId="046BC73A">
                  <w:pPr>
                    <w:widowControl/>
                    <w:jc w:val="center"/>
                    <w:textAlignment w:val="center"/>
                    <w:rPr>
                      <w:rFonts w:hint="default"/>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val="en-US" w:eastAsia="zh-CN" w:bidi="ar"/>
                      <w14:textFill>
                        <w14:solidFill>
                          <w14:schemeClr w14:val="tx1"/>
                        </w14:solidFill>
                      </w14:textFill>
                    </w:rPr>
                    <w:t>废离子交换树脂</w:t>
                  </w:r>
                </w:p>
              </w:tc>
              <w:tc>
                <w:tcPr>
                  <w:tcW w:w="2549" w:type="dxa"/>
                  <w:noWrap w:val="0"/>
                  <w:vAlign w:val="center"/>
                </w:tcPr>
                <w:p w14:paraId="628C7C37">
                  <w:pPr>
                    <w:adjustRightInd w:val="0"/>
                    <w:snapToGrid w:val="0"/>
                    <w:jc w:val="center"/>
                    <w:rPr>
                      <w:rFonts w:hint="default"/>
                      <w:bCs/>
                      <w:snapToGrid w:val="0"/>
                      <w:color w:val="000000" w:themeColor="text1"/>
                      <w:kern w:val="21"/>
                      <w:szCs w:val="21"/>
                      <w:lang w:val="en-US" w:eastAsia="zh-CN"/>
                      <w14:textFill>
                        <w14:solidFill>
                          <w14:schemeClr w14:val="tx1"/>
                        </w14:solidFill>
                      </w14:textFill>
                    </w:rPr>
                  </w:pPr>
                  <w:r>
                    <w:rPr>
                      <w:rFonts w:hint="eastAsia"/>
                      <w:bCs/>
                      <w:snapToGrid w:val="0"/>
                      <w:color w:val="000000" w:themeColor="text1"/>
                      <w:kern w:val="21"/>
                      <w:szCs w:val="21"/>
                      <w:lang w:val="en-US" w:eastAsia="zh-CN"/>
                      <w14:textFill>
                        <w14:solidFill>
                          <w14:schemeClr w14:val="tx1"/>
                        </w14:solidFill>
                      </w14:textFill>
                    </w:rPr>
                    <w:t>4t/a</w:t>
                  </w:r>
                </w:p>
              </w:tc>
            </w:tr>
            <w:tr w14:paraId="37C31B8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98" w:type="dxa"/>
                  <w:vMerge w:val="continue"/>
                  <w:noWrap w:val="0"/>
                  <w:vAlign w:val="center"/>
                </w:tcPr>
                <w:p w14:paraId="6F0D616B">
                  <w:pPr>
                    <w:pStyle w:val="107"/>
                    <w:keepNext w:val="0"/>
                    <w:keepLines w:val="0"/>
                    <w:pageBreakBefore w:val="0"/>
                    <w:kinsoku/>
                    <w:wordWrap/>
                    <w:overflowPunct/>
                    <w:topLinePunct w:val="0"/>
                    <w:bidi w:val="0"/>
                    <w:ind w:firstLine="0" w:firstLineChars="0"/>
                    <w:textAlignment w:val="auto"/>
                    <w:rPr>
                      <w:rFonts w:hint="default" w:ascii="Times New Roman" w:hAnsi="Times New Roman" w:eastAsia="宋体" w:cs="Times New Roman"/>
                      <w:color w:val="000000" w:themeColor="text1"/>
                      <w:spacing w:val="0"/>
                      <w:w w:val="100"/>
                      <w:position w:val="0"/>
                      <w:sz w:val="21"/>
                      <w:szCs w:val="21"/>
                      <w14:textFill>
                        <w14:solidFill>
                          <w14:schemeClr w14:val="tx1"/>
                        </w14:solidFill>
                      </w14:textFill>
                    </w:rPr>
                  </w:pPr>
                </w:p>
              </w:tc>
              <w:tc>
                <w:tcPr>
                  <w:tcW w:w="4366" w:type="dxa"/>
                  <w:noWrap w:val="0"/>
                  <w:vAlign w:val="center"/>
                </w:tcPr>
                <w:p w14:paraId="7D7F451E">
                  <w:pPr>
                    <w:ind w:firstLine="0" w:firstLineChars="0"/>
                    <w:jc w:val="center"/>
                    <w:rPr>
                      <w:rFonts w:hint="default" w:ascii="Times New Roman" w:hAnsi="Times New Roman" w:eastAsia="宋体" w:cs="Times New Roman"/>
                      <w:color w:val="000000" w:themeColor="text1"/>
                      <w14:textFill>
                        <w14:solidFill>
                          <w14:schemeClr w14:val="tx1"/>
                        </w14:solidFill>
                      </w14:textFill>
                    </w:rPr>
                  </w:pPr>
                  <w:r>
                    <w:rPr>
                      <w:rFonts w:hint="eastAsia" w:cs="Times New Roman"/>
                      <w:color w:val="000000" w:themeColor="text1"/>
                      <w:lang w:val="en-US" w:eastAsia="zh-CN"/>
                      <w14:textFill>
                        <w14:solidFill>
                          <w14:schemeClr w14:val="tx1"/>
                        </w14:solidFill>
                      </w14:textFill>
                    </w:rPr>
                    <w:t>生活</w:t>
                  </w:r>
                  <w:r>
                    <w:rPr>
                      <w:rFonts w:hint="default" w:ascii="Times New Roman" w:hAnsi="Times New Roman" w:eastAsia="宋体" w:cs="Times New Roman"/>
                      <w:color w:val="000000" w:themeColor="text1"/>
                      <w14:textFill>
                        <w14:solidFill>
                          <w14:schemeClr w14:val="tx1"/>
                        </w14:solidFill>
                      </w14:textFill>
                    </w:rPr>
                    <w:t>垃圾</w:t>
                  </w:r>
                </w:p>
              </w:tc>
              <w:tc>
                <w:tcPr>
                  <w:tcW w:w="2549" w:type="dxa"/>
                  <w:noWrap w:val="0"/>
                  <w:vAlign w:val="center"/>
                </w:tcPr>
                <w:p w14:paraId="02981E2D">
                  <w:pPr>
                    <w:ind w:firstLine="0" w:firstLineChars="0"/>
                    <w:jc w:val="center"/>
                    <w:rPr>
                      <w:rFonts w:hint="default" w:cs="Times New Roman"/>
                      <w:color w:val="000000" w:themeColor="text1"/>
                      <w:lang w:val="en-US" w:eastAsia="zh-CN"/>
                      <w14:textFill>
                        <w14:solidFill>
                          <w14:schemeClr w14:val="tx1"/>
                        </w14:solidFill>
                      </w14:textFill>
                    </w:rPr>
                  </w:pPr>
                  <w:r>
                    <w:rPr>
                      <w:rFonts w:hint="eastAsia"/>
                      <w:bCs/>
                      <w:snapToGrid w:val="0"/>
                      <w:color w:val="000000" w:themeColor="text1"/>
                      <w:kern w:val="21"/>
                      <w:szCs w:val="21"/>
                      <w:lang w:val="en-US" w:eastAsia="zh-CN"/>
                      <w14:textFill>
                        <w14:solidFill>
                          <w14:schemeClr w14:val="tx1"/>
                        </w14:solidFill>
                      </w14:textFill>
                    </w:rPr>
                    <w:t>22.5</w:t>
                  </w:r>
                  <w:r>
                    <w:rPr>
                      <w:rFonts w:hint="default" w:ascii="Times New Roman" w:hAnsi="Times New Roman" w:eastAsia="宋体" w:cs="Times New Roman"/>
                      <w:color w:val="000000" w:themeColor="text1"/>
                      <w14:textFill>
                        <w14:solidFill>
                          <w14:schemeClr w14:val="tx1"/>
                        </w14:solidFill>
                      </w14:textFill>
                    </w:rPr>
                    <w:t>t/a</w:t>
                  </w:r>
                </w:p>
              </w:tc>
            </w:tr>
            <w:tr w14:paraId="59C3535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98" w:type="dxa"/>
                  <w:noWrap w:val="0"/>
                  <w:vAlign w:val="center"/>
                </w:tcPr>
                <w:p w14:paraId="769200B6">
                  <w:pPr>
                    <w:pStyle w:val="107"/>
                    <w:keepNext w:val="0"/>
                    <w:keepLines w:val="0"/>
                    <w:pageBreakBefore w:val="0"/>
                    <w:kinsoku/>
                    <w:wordWrap/>
                    <w:overflowPunct/>
                    <w:topLinePunct w:val="0"/>
                    <w:bidi w:val="0"/>
                    <w:ind w:firstLine="0" w:firstLineChars="0"/>
                    <w:textAlignment w:val="auto"/>
                    <w:rPr>
                      <w:rFonts w:hint="default" w:ascii="Times New Roman" w:hAnsi="Times New Roman" w:eastAsia="宋体" w:cs="Times New Roman"/>
                      <w:color w:val="000000" w:themeColor="text1"/>
                      <w:spacing w:val="0"/>
                      <w:w w:val="100"/>
                      <w:position w:val="0"/>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pacing w:val="0"/>
                      <w:w w:val="100"/>
                      <w:position w:val="0"/>
                      <w:sz w:val="21"/>
                      <w:szCs w:val="21"/>
                      <w:lang w:val="en-US" w:eastAsia="zh-CN"/>
                      <w14:textFill>
                        <w14:solidFill>
                          <w14:schemeClr w14:val="tx1"/>
                        </w14:solidFill>
                      </w14:textFill>
                    </w:rPr>
                    <w:t>噪声</w:t>
                  </w:r>
                </w:p>
              </w:tc>
              <w:tc>
                <w:tcPr>
                  <w:tcW w:w="6915" w:type="dxa"/>
                  <w:gridSpan w:val="2"/>
                  <w:noWrap w:val="0"/>
                  <w:vAlign w:val="center"/>
                </w:tcPr>
                <w:p w14:paraId="0C7261FB">
                  <w:pPr>
                    <w:ind w:firstLine="0" w:firstLineChars="0"/>
                    <w:jc w:val="both"/>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项目主要噪声来源为各种设备在生产过程中产生的，</w:t>
                  </w:r>
                  <w:r>
                    <w:rPr>
                      <w:rFonts w:hint="default" w:ascii="Times New Roman" w:hAnsi="Times New Roman" w:eastAsia="宋体" w:cs="Times New Roman"/>
                      <w:color w:val="000000" w:themeColor="text1"/>
                      <w:lang w:bidi="ar"/>
                      <w14:textFill>
                        <w14:solidFill>
                          <w14:schemeClr w14:val="tx1"/>
                        </w14:solidFill>
                      </w14:textFill>
                    </w:rPr>
                    <w:t>单台噪声值约75~</w:t>
                  </w:r>
                  <w:r>
                    <w:rPr>
                      <w:rFonts w:hint="eastAsia" w:cs="Times New Roman"/>
                      <w:color w:val="000000" w:themeColor="text1"/>
                      <w:lang w:val="en-US" w:eastAsia="zh-CN" w:bidi="ar"/>
                      <w14:textFill>
                        <w14:solidFill>
                          <w14:schemeClr w14:val="tx1"/>
                        </w14:solidFill>
                      </w14:textFill>
                    </w:rPr>
                    <w:t>90</w:t>
                  </w:r>
                  <w:r>
                    <w:rPr>
                      <w:rFonts w:hint="default" w:ascii="Times New Roman" w:hAnsi="Times New Roman" w:eastAsia="宋体" w:cs="Times New Roman"/>
                      <w:color w:val="000000" w:themeColor="text1"/>
                      <w:lang w:bidi="ar"/>
                      <w14:textFill>
                        <w14:solidFill>
                          <w14:schemeClr w14:val="tx1"/>
                        </w14:solidFill>
                      </w14:textFill>
                    </w:rPr>
                    <w:t>dB(A)。</w:t>
                  </w:r>
                </w:p>
              </w:tc>
            </w:tr>
          </w:tbl>
          <w:p w14:paraId="4AF3D26D">
            <w:pPr>
              <w:numPr>
                <w:ilvl w:val="0"/>
                <w:numId w:val="0"/>
              </w:numPr>
              <w:adjustRightInd w:val="0"/>
              <w:snapToGrid w:val="0"/>
              <w:spacing w:line="360" w:lineRule="auto"/>
              <w:ind w:firstLine="482" w:firstLineChars="200"/>
              <w:rPr>
                <w:rFonts w:hint="default" w:ascii="Times New Roman" w:hAnsi="Times New Roman" w:eastAsia="宋体" w:cs="Times New Roman"/>
                <w:b/>
                <w:bCs/>
                <w:color w:val="000000" w:themeColor="text1"/>
                <w:kern w:val="0"/>
                <w:sz w:val="24"/>
                <w:lang w:val="en-US" w:eastAsia="zh-CN"/>
                <w14:textFill>
                  <w14:solidFill>
                    <w14:schemeClr w14:val="tx1"/>
                  </w14:solidFill>
                </w14:textFill>
              </w:rPr>
            </w:pPr>
            <w:r>
              <w:rPr>
                <w:rFonts w:hint="default" w:ascii="Times New Roman" w:hAnsi="Times New Roman" w:eastAsia="宋体" w:cs="Times New Roman"/>
                <w:b/>
                <w:bCs/>
                <w:color w:val="000000" w:themeColor="text1"/>
                <w:kern w:val="0"/>
                <w:sz w:val="24"/>
                <w:lang w:val="en-US" w:eastAsia="zh-CN"/>
                <w14:textFill>
                  <w14:solidFill>
                    <w14:schemeClr w14:val="tx1"/>
                  </w14:solidFill>
                </w14:textFill>
              </w:rPr>
              <w:t>2、现有项目总量控制指标</w:t>
            </w:r>
          </w:p>
          <w:p w14:paraId="0EEB39AF">
            <w:pPr>
              <w:numPr>
                <w:ilvl w:val="0"/>
                <w:numId w:val="0"/>
              </w:numPr>
              <w:adjustRightInd w:val="0"/>
              <w:snapToGrid w:val="0"/>
              <w:spacing w:line="360" w:lineRule="auto"/>
              <w:ind w:firstLine="480" w:firstLineChars="200"/>
              <w:rPr>
                <w:rFonts w:hint="default" w:ascii="Times New Roman" w:hAnsi="Times New Roman" w:eastAsia="宋体" w:cs="Times New Roman"/>
                <w:b w:val="0"/>
                <w:bCs w:val="0"/>
                <w:color w:val="000000" w:themeColor="text1"/>
                <w:kern w:val="0"/>
                <w:sz w:val="24"/>
                <w:lang w:val="en-US" w:eastAsia="zh-CN"/>
                <w14:textFill>
                  <w14:solidFill>
                    <w14:schemeClr w14:val="tx1"/>
                  </w14:solidFill>
                </w14:textFill>
              </w:rPr>
            </w:pPr>
            <w:r>
              <w:rPr>
                <w:rFonts w:hint="eastAsia" w:cs="Times New Roman"/>
                <w:b w:val="0"/>
                <w:bCs w:val="0"/>
                <w:color w:val="000000" w:themeColor="text1"/>
                <w:kern w:val="0"/>
                <w:sz w:val="24"/>
                <w:lang w:val="en-US" w:eastAsia="zh-CN"/>
                <w14:textFill>
                  <w14:solidFill>
                    <w14:schemeClr w14:val="tx1"/>
                  </w14:solidFill>
                </w14:textFill>
              </w:rPr>
              <w:t>根据《江西高安大北农饲料有限公司年产24万吨饲料加工项目环境影响报告表》，现有工程总量控制指标为化学需氧量：0.53t/a、氨氮：0.08t/a、氮氧化物：4.59t/a。</w:t>
            </w:r>
          </w:p>
          <w:p w14:paraId="287DAA56">
            <w:pPr>
              <w:numPr>
                <w:ilvl w:val="0"/>
                <w:numId w:val="0"/>
              </w:numPr>
              <w:adjustRightInd w:val="0"/>
              <w:snapToGrid w:val="0"/>
              <w:spacing w:line="360" w:lineRule="auto"/>
              <w:ind w:firstLine="482" w:firstLineChars="200"/>
              <w:rPr>
                <w:rFonts w:hint="default" w:ascii="Times New Roman" w:hAnsi="Times New Roman" w:eastAsia="宋体" w:cs="Times New Roman"/>
                <w:b/>
                <w:bCs/>
                <w:color w:val="000000" w:themeColor="text1"/>
                <w:kern w:val="0"/>
                <w:sz w:val="24"/>
                <w:lang w:val="en-US" w:eastAsia="zh-CN"/>
                <w14:textFill>
                  <w14:solidFill>
                    <w14:schemeClr w14:val="tx1"/>
                  </w14:solidFill>
                </w14:textFill>
              </w:rPr>
            </w:pPr>
            <w:r>
              <w:rPr>
                <w:rFonts w:hint="eastAsia" w:cs="Times New Roman"/>
                <w:b/>
                <w:bCs/>
                <w:color w:val="000000" w:themeColor="text1"/>
                <w:kern w:val="0"/>
                <w:sz w:val="24"/>
                <w:lang w:val="en-US" w:eastAsia="zh-CN"/>
                <w14:textFill>
                  <w14:solidFill>
                    <w14:schemeClr w14:val="tx1"/>
                  </w14:solidFill>
                </w14:textFill>
              </w:rPr>
              <w:t>五、</w:t>
            </w:r>
            <w:r>
              <w:rPr>
                <w:rFonts w:hint="default" w:ascii="Times New Roman" w:hAnsi="Times New Roman" w:eastAsia="宋体" w:cs="Times New Roman"/>
                <w:b/>
                <w:bCs/>
                <w:color w:val="000000" w:themeColor="text1"/>
                <w:kern w:val="0"/>
                <w:sz w:val="24"/>
                <w:lang w:val="en-US" w:eastAsia="zh-CN"/>
                <w14:textFill>
                  <w14:solidFill>
                    <w14:schemeClr w14:val="tx1"/>
                  </w14:solidFill>
                </w14:textFill>
              </w:rPr>
              <w:t>现有项目存在的主要问题</w:t>
            </w:r>
          </w:p>
          <w:p w14:paraId="778A3345">
            <w:pPr>
              <w:numPr>
                <w:ilvl w:val="0"/>
                <w:numId w:val="8"/>
              </w:numPr>
              <w:adjustRightInd w:val="0"/>
              <w:snapToGrid w:val="0"/>
              <w:spacing w:line="360" w:lineRule="auto"/>
              <w:ind w:firstLine="480" w:firstLineChars="200"/>
              <w:rPr>
                <w:rFonts w:hint="eastAsia" w:cs="Times New Roman"/>
                <w:b w:val="0"/>
                <w:bCs w:val="0"/>
                <w:color w:val="FF0000"/>
                <w:kern w:val="0"/>
                <w:sz w:val="24"/>
                <w:lang w:val="en-US" w:eastAsia="zh-CN"/>
              </w:rPr>
            </w:pPr>
            <w:r>
              <w:rPr>
                <w:rFonts w:hint="eastAsia" w:cs="Times New Roman"/>
                <w:b w:val="0"/>
                <w:bCs w:val="0"/>
                <w:color w:val="FF0000"/>
                <w:kern w:val="0"/>
                <w:sz w:val="24"/>
                <w:lang w:val="en-US" w:eastAsia="zh-CN"/>
              </w:rPr>
              <w:t>厂区内存在部分设备散乱堆存。</w:t>
            </w:r>
          </w:p>
          <w:p w14:paraId="2818CD0E">
            <w:pPr>
              <w:numPr>
                <w:ilvl w:val="0"/>
                <w:numId w:val="8"/>
              </w:numPr>
              <w:adjustRightInd w:val="0"/>
              <w:snapToGrid w:val="0"/>
              <w:spacing w:line="360" w:lineRule="auto"/>
              <w:ind w:firstLine="480" w:firstLineChars="200"/>
              <w:rPr>
                <w:rFonts w:hint="eastAsia" w:cs="Times New Roman"/>
                <w:b w:val="0"/>
                <w:bCs w:val="0"/>
                <w:color w:val="FF0000"/>
                <w:kern w:val="0"/>
                <w:sz w:val="24"/>
                <w:lang w:val="en-US" w:eastAsia="zh-CN"/>
              </w:rPr>
            </w:pPr>
            <w:r>
              <w:rPr>
                <w:rFonts w:hint="eastAsia" w:cs="Times New Roman"/>
                <w:b w:val="0"/>
                <w:bCs w:val="0"/>
                <w:color w:val="FF0000"/>
                <w:kern w:val="0"/>
                <w:sz w:val="24"/>
                <w:lang w:val="en-US" w:eastAsia="zh-CN"/>
              </w:rPr>
              <w:t>厂内一般工业固体废物未进行分类摆放。</w:t>
            </w:r>
          </w:p>
          <w:p w14:paraId="33922E8F">
            <w:pPr>
              <w:numPr>
                <w:ilvl w:val="0"/>
                <w:numId w:val="8"/>
              </w:numPr>
              <w:adjustRightInd w:val="0"/>
              <w:snapToGrid w:val="0"/>
              <w:spacing w:line="360" w:lineRule="auto"/>
              <w:ind w:firstLine="480" w:firstLineChars="200"/>
              <w:rPr>
                <w:rFonts w:hint="default" w:cs="Times New Roman"/>
                <w:b w:val="0"/>
                <w:bCs w:val="0"/>
                <w:color w:val="FF0000"/>
                <w:kern w:val="0"/>
                <w:sz w:val="24"/>
                <w:lang w:val="en-US" w:eastAsia="zh-CN"/>
              </w:rPr>
            </w:pPr>
            <w:r>
              <w:rPr>
                <w:rFonts w:hint="eastAsia" w:cs="Times New Roman"/>
                <w:b w:val="0"/>
                <w:bCs w:val="0"/>
                <w:color w:val="FF0000"/>
                <w:kern w:val="0"/>
                <w:sz w:val="24"/>
                <w:lang w:val="en-US" w:eastAsia="zh-CN"/>
              </w:rPr>
              <w:t>未按照排污许可条例进行自行监测，监测因子缺少二氧化硫。</w:t>
            </w:r>
          </w:p>
          <w:p w14:paraId="70A11EF2">
            <w:pPr>
              <w:pStyle w:val="2"/>
              <w:ind w:firstLine="480" w:firstLineChars="200"/>
              <w:rPr>
                <w:rFonts w:hint="default"/>
                <w:lang w:val="en-US" w:eastAsia="zh-CN"/>
              </w:rPr>
            </w:pPr>
            <w:r>
              <w:rPr>
                <w:rFonts w:hint="eastAsia" w:cs="Times New Roman"/>
                <w:b w:val="0"/>
                <w:bCs w:val="0"/>
                <w:color w:val="FF0000"/>
                <w:kern w:val="0"/>
                <w:sz w:val="24"/>
                <w:lang w:val="en-US" w:eastAsia="zh-CN"/>
              </w:rPr>
              <w:t>4、厂内未设立消防废水收集池。</w:t>
            </w:r>
          </w:p>
          <w:p w14:paraId="66E8EE76">
            <w:pPr>
              <w:numPr>
                <w:ilvl w:val="0"/>
                <w:numId w:val="0"/>
              </w:numPr>
              <w:adjustRightInd w:val="0"/>
              <w:snapToGrid w:val="0"/>
              <w:spacing w:line="360" w:lineRule="auto"/>
              <w:ind w:firstLine="480" w:firstLineChars="200"/>
              <w:rPr>
                <w:rFonts w:hint="default" w:cs="Times New Roman"/>
                <w:b w:val="0"/>
                <w:bCs w:val="0"/>
                <w:color w:val="FF0000"/>
                <w:kern w:val="0"/>
                <w:sz w:val="24"/>
                <w:lang w:val="en-US" w:eastAsia="zh-CN"/>
              </w:rPr>
            </w:pPr>
            <w:r>
              <w:rPr>
                <w:rFonts w:hint="eastAsia" w:cs="Times New Roman"/>
                <w:b w:val="0"/>
                <w:bCs w:val="0"/>
                <w:color w:val="FF0000"/>
                <w:kern w:val="0"/>
                <w:sz w:val="24"/>
                <w:lang w:val="en-US" w:eastAsia="zh-CN"/>
              </w:rPr>
              <w:t>5、根据</w:t>
            </w:r>
            <w:r>
              <w:rPr>
                <w:rFonts w:hint="default" w:cs="Times New Roman"/>
                <w:b w:val="0"/>
                <w:bCs w:val="0"/>
                <w:color w:val="FF0000"/>
                <w:kern w:val="0"/>
                <w:sz w:val="24"/>
                <w:lang w:val="en-US" w:eastAsia="zh-CN"/>
              </w:rPr>
              <w:t>2025年《国家污染防治技术指导目录》</w:t>
            </w:r>
            <w:r>
              <w:rPr>
                <w:rFonts w:hint="eastAsia" w:cs="Times New Roman"/>
                <w:b w:val="0"/>
                <w:bCs w:val="0"/>
                <w:color w:val="FF0000"/>
                <w:kern w:val="0"/>
                <w:sz w:val="24"/>
                <w:lang w:val="en-US" w:eastAsia="zh-CN"/>
              </w:rPr>
              <w:t>，</w:t>
            </w:r>
            <w:r>
              <w:rPr>
                <w:rFonts w:hint="default" w:cs="Times New Roman"/>
                <w:b w:val="0"/>
                <w:bCs w:val="0"/>
                <w:color w:val="FF0000"/>
                <w:kern w:val="0"/>
                <w:sz w:val="24"/>
                <w:lang w:val="en-US" w:eastAsia="zh-CN"/>
              </w:rPr>
              <w:t>水膜</w:t>
            </w:r>
            <w:r>
              <w:rPr>
                <w:rFonts w:hint="eastAsia" w:cs="Times New Roman"/>
                <w:b w:val="0"/>
                <w:bCs w:val="0"/>
                <w:color w:val="FF0000"/>
                <w:kern w:val="0"/>
                <w:sz w:val="24"/>
                <w:lang w:val="en-US" w:eastAsia="zh-CN"/>
              </w:rPr>
              <w:t>除尘此类</w:t>
            </w:r>
            <w:r>
              <w:rPr>
                <w:rFonts w:hint="default" w:cs="Times New Roman"/>
                <w:b w:val="0"/>
                <w:bCs w:val="0"/>
                <w:color w:val="FF0000"/>
                <w:kern w:val="0"/>
                <w:sz w:val="24"/>
                <w:lang w:val="en-US" w:eastAsia="zh-CN"/>
              </w:rPr>
              <w:t>单一湿法除尘</w:t>
            </w:r>
            <w:r>
              <w:rPr>
                <w:rFonts w:hint="eastAsia" w:cs="Times New Roman"/>
                <w:b w:val="0"/>
                <w:bCs w:val="0"/>
                <w:color w:val="FF0000"/>
                <w:kern w:val="0"/>
                <w:sz w:val="24"/>
                <w:lang w:val="en-US" w:eastAsia="zh-CN"/>
              </w:rPr>
              <w:t>属于</w:t>
            </w:r>
            <w:r>
              <w:rPr>
                <w:rFonts w:hint="default" w:cs="Times New Roman"/>
                <w:b w:val="0"/>
                <w:bCs w:val="0"/>
                <w:color w:val="FF0000"/>
                <w:kern w:val="0"/>
                <w:sz w:val="24"/>
                <w:lang w:val="en-US" w:eastAsia="zh-CN"/>
              </w:rPr>
              <w:t>低效类</w:t>
            </w:r>
            <w:r>
              <w:rPr>
                <w:rFonts w:hint="eastAsia" w:cs="Times New Roman"/>
                <w:b w:val="0"/>
                <w:bCs w:val="0"/>
                <w:color w:val="FF0000"/>
                <w:kern w:val="0"/>
                <w:sz w:val="24"/>
                <w:lang w:val="en-US" w:eastAsia="zh-CN"/>
              </w:rPr>
              <w:t>处理技术。</w:t>
            </w:r>
          </w:p>
          <w:p w14:paraId="207AE186">
            <w:pPr>
              <w:numPr>
                <w:ilvl w:val="0"/>
                <w:numId w:val="0"/>
              </w:numPr>
              <w:adjustRightInd w:val="0"/>
              <w:snapToGrid w:val="0"/>
              <w:spacing w:line="360" w:lineRule="auto"/>
              <w:ind w:firstLine="480" w:firstLineChars="200"/>
              <w:rPr>
                <w:rFonts w:hint="eastAsia" w:cs="Times New Roman"/>
                <w:b w:val="0"/>
                <w:bCs w:val="0"/>
                <w:color w:val="FF0000"/>
                <w:kern w:val="0"/>
                <w:sz w:val="24"/>
                <w:lang w:val="en-US" w:eastAsia="zh-CN"/>
              </w:rPr>
            </w:pPr>
            <w:r>
              <w:rPr>
                <w:rFonts w:hint="eastAsia" w:cs="Times New Roman"/>
                <w:b w:val="0"/>
                <w:bCs w:val="0"/>
                <w:color w:val="FF0000"/>
                <w:kern w:val="0"/>
                <w:sz w:val="24"/>
                <w:lang w:val="en-US" w:eastAsia="zh-CN"/>
              </w:rPr>
              <w:t>6、锅炉烟气处理设施“</w:t>
            </w:r>
            <w:r>
              <w:rPr>
                <w:rFonts w:hint="default" w:cs="Times New Roman"/>
                <w:b w:val="0"/>
                <w:bCs w:val="0"/>
                <w:color w:val="FF0000"/>
                <w:kern w:val="0"/>
                <w:sz w:val="24"/>
                <w:lang w:val="en-US" w:eastAsia="zh-CN"/>
              </w:rPr>
              <w:t>水膜</w:t>
            </w:r>
            <w:r>
              <w:rPr>
                <w:rFonts w:hint="eastAsia" w:cs="Times New Roman"/>
                <w:b w:val="0"/>
                <w:bCs w:val="0"/>
                <w:color w:val="FF0000"/>
                <w:kern w:val="0"/>
                <w:sz w:val="24"/>
                <w:lang w:val="en-US" w:eastAsia="zh-CN"/>
              </w:rPr>
              <w:t>除尘”处理效果低下，根据当前宜春市《</w:t>
            </w:r>
            <w:r>
              <w:rPr>
                <w:rFonts w:hint="eastAsia" w:cs="Times New Roman"/>
                <w:b w:val="0"/>
                <w:bCs w:val="0"/>
                <w:color w:val="FF0000"/>
                <w:sz w:val="24"/>
                <w:szCs w:val="24"/>
                <w:lang w:val="en-US" w:eastAsia="zh-CN"/>
              </w:rPr>
              <w:t>关于进一步提高我市生物质锅炉环保水平的通知</w:t>
            </w:r>
            <w:r>
              <w:rPr>
                <w:rFonts w:hint="eastAsia" w:cs="Times New Roman"/>
                <w:b w:val="0"/>
                <w:bCs w:val="0"/>
                <w:color w:val="FF0000"/>
                <w:kern w:val="0"/>
                <w:sz w:val="24"/>
                <w:lang w:val="en-US" w:eastAsia="zh-CN"/>
              </w:rPr>
              <w:t>》相关要求，当前锅炉烟气排放浓度无法达到燃气锅炉排放水平。</w:t>
            </w:r>
          </w:p>
          <w:p w14:paraId="20673C85">
            <w:pPr>
              <w:pStyle w:val="2"/>
              <w:ind w:firstLine="480" w:firstLineChars="200"/>
              <w:rPr>
                <w:rFonts w:hint="default"/>
                <w:lang w:val="en-US" w:eastAsia="zh-CN"/>
              </w:rPr>
            </w:pPr>
            <w:r>
              <w:rPr>
                <w:rFonts w:hint="eastAsia" w:cs="Times New Roman"/>
                <w:b w:val="0"/>
                <w:bCs w:val="0"/>
                <w:color w:val="FF0000"/>
                <w:kern w:val="0"/>
                <w:sz w:val="24"/>
                <w:lang w:val="en-US" w:eastAsia="zh-CN"/>
              </w:rPr>
              <w:t>7、未对环保安全作出相应预案。</w:t>
            </w:r>
          </w:p>
          <w:p w14:paraId="732C7982">
            <w:pPr>
              <w:numPr>
                <w:ilvl w:val="0"/>
                <w:numId w:val="0"/>
              </w:numPr>
              <w:adjustRightInd w:val="0"/>
              <w:snapToGrid w:val="0"/>
              <w:spacing w:line="360" w:lineRule="auto"/>
              <w:ind w:firstLine="482" w:firstLineChars="200"/>
              <w:rPr>
                <w:rFonts w:hint="default" w:cs="Times New Roman"/>
                <w:b/>
                <w:bCs/>
                <w:color w:val="000000" w:themeColor="text1"/>
                <w:kern w:val="0"/>
                <w:sz w:val="24"/>
                <w:lang w:val="en-US" w:eastAsia="zh-CN"/>
                <w14:textFill>
                  <w14:solidFill>
                    <w14:schemeClr w14:val="tx1"/>
                  </w14:solidFill>
                </w14:textFill>
              </w:rPr>
            </w:pPr>
            <w:r>
              <w:rPr>
                <w:rFonts w:hint="default" w:cs="Times New Roman"/>
                <w:b/>
                <w:bCs/>
                <w:color w:val="000000" w:themeColor="text1"/>
                <w:kern w:val="0"/>
                <w:sz w:val="24"/>
                <w:lang w:val="en-US" w:eastAsia="zh-CN"/>
                <w14:textFill>
                  <w14:solidFill>
                    <w14:schemeClr w14:val="tx1"/>
                  </w14:solidFill>
                </w14:textFill>
              </w:rPr>
              <w:t>六、以新带老措施</w:t>
            </w:r>
          </w:p>
          <w:p w14:paraId="67AC69EC">
            <w:pPr>
              <w:numPr>
                <w:ilvl w:val="0"/>
                <w:numId w:val="0"/>
              </w:numPr>
              <w:adjustRightInd w:val="0"/>
              <w:snapToGrid w:val="0"/>
              <w:spacing w:line="360" w:lineRule="auto"/>
              <w:ind w:firstLine="480" w:firstLineChars="200"/>
              <w:rPr>
                <w:rFonts w:hint="default" w:cs="Times New Roman"/>
                <w:b w:val="0"/>
                <w:bCs w:val="0"/>
                <w:color w:val="FF0000"/>
                <w:kern w:val="0"/>
                <w:sz w:val="24"/>
                <w:lang w:val="en-US" w:eastAsia="zh-CN"/>
              </w:rPr>
            </w:pPr>
            <w:r>
              <w:rPr>
                <w:rFonts w:hint="default" w:cs="Times New Roman"/>
                <w:b w:val="0"/>
                <w:bCs w:val="0"/>
                <w:color w:val="FF0000"/>
                <w:kern w:val="0"/>
                <w:sz w:val="24"/>
                <w:lang w:val="en-US" w:eastAsia="zh-CN"/>
              </w:rPr>
              <w:t>1、设施设备规范存放于厂房内。</w:t>
            </w:r>
          </w:p>
          <w:p w14:paraId="2A5787A0">
            <w:pPr>
              <w:numPr>
                <w:ilvl w:val="0"/>
                <w:numId w:val="0"/>
              </w:numPr>
              <w:adjustRightInd w:val="0"/>
              <w:snapToGrid w:val="0"/>
              <w:spacing w:line="360" w:lineRule="auto"/>
              <w:ind w:firstLine="480" w:firstLineChars="200"/>
              <w:rPr>
                <w:rFonts w:hint="default" w:cs="Times New Roman"/>
                <w:b w:val="0"/>
                <w:bCs w:val="0"/>
                <w:color w:val="FF0000"/>
                <w:kern w:val="0"/>
                <w:sz w:val="24"/>
                <w:lang w:val="en-US" w:eastAsia="zh-CN"/>
              </w:rPr>
            </w:pPr>
            <w:r>
              <w:rPr>
                <w:rFonts w:hint="eastAsia" w:cs="Times New Roman"/>
                <w:b w:val="0"/>
                <w:bCs w:val="0"/>
                <w:color w:val="FF0000"/>
                <w:kern w:val="0"/>
                <w:sz w:val="24"/>
                <w:lang w:val="en-US" w:eastAsia="zh-CN"/>
              </w:rPr>
              <w:t>2、根据一般工业固体废物种类进行分类，并将分类好的一般工业固体废物分区域贮存在一般固废间内。</w:t>
            </w:r>
          </w:p>
          <w:p w14:paraId="40FB11E9">
            <w:pPr>
              <w:adjustRightInd w:val="0"/>
              <w:snapToGrid w:val="0"/>
              <w:spacing w:line="360" w:lineRule="auto"/>
              <w:ind w:firstLine="480" w:firstLineChars="200"/>
              <w:rPr>
                <w:rFonts w:hint="eastAsia" w:cs="Times New Roman"/>
                <w:b w:val="0"/>
                <w:bCs w:val="0"/>
                <w:color w:val="FF0000"/>
                <w:kern w:val="0"/>
                <w:sz w:val="24"/>
                <w:lang w:val="en-US" w:eastAsia="zh-CN"/>
              </w:rPr>
            </w:pPr>
            <w:r>
              <w:rPr>
                <w:rFonts w:hint="eastAsia" w:cs="Times New Roman"/>
                <w:b w:val="0"/>
                <w:bCs w:val="0"/>
                <w:color w:val="FF0000"/>
                <w:kern w:val="0"/>
                <w:sz w:val="24"/>
                <w:lang w:val="en-US" w:eastAsia="zh-CN"/>
              </w:rPr>
              <w:t>3</w:t>
            </w:r>
            <w:r>
              <w:rPr>
                <w:rFonts w:hint="default" w:cs="Times New Roman"/>
                <w:b w:val="0"/>
                <w:bCs w:val="0"/>
                <w:color w:val="FF0000"/>
                <w:kern w:val="0"/>
                <w:sz w:val="24"/>
                <w:lang w:val="en-US" w:eastAsia="zh-CN"/>
              </w:rPr>
              <w:t>、</w:t>
            </w:r>
            <w:r>
              <w:rPr>
                <w:rFonts w:hint="eastAsia" w:cs="Times New Roman"/>
                <w:b w:val="0"/>
                <w:bCs w:val="0"/>
                <w:color w:val="FF0000"/>
                <w:kern w:val="0"/>
                <w:sz w:val="24"/>
                <w:lang w:val="en-US" w:eastAsia="zh-CN"/>
              </w:rPr>
              <w:t>按照排污许可条例进行自行监测。</w:t>
            </w:r>
          </w:p>
          <w:p w14:paraId="0134C465">
            <w:pPr>
              <w:adjustRightInd w:val="0"/>
              <w:snapToGrid w:val="0"/>
              <w:spacing w:line="360" w:lineRule="auto"/>
              <w:ind w:firstLine="480" w:firstLineChars="200"/>
              <w:rPr>
                <w:rFonts w:hint="default" w:cs="Times New Roman"/>
                <w:b w:val="0"/>
                <w:bCs w:val="0"/>
                <w:color w:val="FF0000"/>
                <w:kern w:val="0"/>
                <w:sz w:val="24"/>
                <w:lang w:val="en-US" w:eastAsia="zh-CN"/>
              </w:rPr>
            </w:pPr>
            <w:r>
              <w:rPr>
                <w:rFonts w:hint="eastAsia" w:cs="Times New Roman"/>
                <w:b w:val="0"/>
                <w:bCs w:val="0"/>
                <w:color w:val="FF0000"/>
                <w:kern w:val="0"/>
                <w:sz w:val="24"/>
                <w:lang w:val="en-US" w:eastAsia="zh-CN"/>
              </w:rPr>
              <w:t>4、根据相关要求建设消防废水池。</w:t>
            </w:r>
          </w:p>
          <w:p w14:paraId="30A10D00">
            <w:pPr>
              <w:adjustRightInd w:val="0"/>
              <w:snapToGrid w:val="0"/>
              <w:spacing w:line="360" w:lineRule="auto"/>
              <w:ind w:firstLine="480" w:firstLineChars="200"/>
              <w:rPr>
                <w:rFonts w:hint="eastAsia" w:ascii="Times New Roman" w:hAnsi="Times New Roman" w:cs="Times New Roman"/>
                <w:bCs/>
                <w:color w:val="FF0000"/>
                <w:kern w:val="0"/>
                <w:sz w:val="24"/>
                <w:lang w:val="en-US" w:eastAsia="zh-CN"/>
              </w:rPr>
            </w:pPr>
            <w:r>
              <w:rPr>
                <w:rFonts w:hint="eastAsia" w:cs="Times New Roman"/>
                <w:b w:val="0"/>
                <w:bCs w:val="0"/>
                <w:color w:val="FF0000"/>
                <w:kern w:val="0"/>
                <w:sz w:val="24"/>
                <w:lang w:val="en-US" w:eastAsia="zh-CN"/>
              </w:rPr>
              <w:t>5、根据</w:t>
            </w:r>
            <w:r>
              <w:rPr>
                <w:rFonts w:hint="default" w:ascii="Times New Roman" w:hAnsi="Times New Roman" w:cs="Times New Roman"/>
                <w:bCs/>
                <w:color w:val="FF0000"/>
                <w:kern w:val="0"/>
                <w:sz w:val="24"/>
              </w:rPr>
              <w:t>排污许可证申请与核发技术规范</w:t>
            </w:r>
            <w:r>
              <w:rPr>
                <w:rFonts w:hint="eastAsia" w:ascii="Times New Roman" w:hAnsi="Times New Roman" w:cs="Times New Roman"/>
                <w:bCs/>
                <w:color w:val="FF0000"/>
                <w:kern w:val="0"/>
                <w:sz w:val="24"/>
                <w:lang w:val="en-US" w:eastAsia="zh-CN"/>
              </w:rPr>
              <w:t>更换高效且具有可行性的处理技术。</w:t>
            </w:r>
          </w:p>
          <w:p w14:paraId="2CCDF240">
            <w:pPr>
              <w:adjustRightInd w:val="0"/>
              <w:snapToGrid w:val="0"/>
              <w:spacing w:line="360" w:lineRule="auto"/>
              <w:ind w:firstLine="480" w:firstLineChars="200"/>
              <w:rPr>
                <w:rFonts w:hint="eastAsia" w:cs="Times New Roman"/>
                <w:b w:val="0"/>
                <w:bCs w:val="0"/>
                <w:color w:val="FF0000"/>
                <w:kern w:val="0"/>
                <w:sz w:val="24"/>
                <w:lang w:val="en-US" w:eastAsia="zh-CN"/>
              </w:rPr>
            </w:pPr>
            <w:r>
              <w:rPr>
                <w:rFonts w:hint="eastAsia" w:cs="Times New Roman"/>
                <w:bCs/>
                <w:color w:val="FF0000"/>
                <w:kern w:val="0"/>
                <w:sz w:val="24"/>
                <w:lang w:val="en-US" w:eastAsia="zh-CN"/>
              </w:rPr>
              <w:t>6、根据</w:t>
            </w:r>
            <w:r>
              <w:rPr>
                <w:rFonts w:hint="eastAsia" w:cs="Times New Roman"/>
                <w:b w:val="0"/>
                <w:bCs w:val="0"/>
                <w:color w:val="FF0000"/>
                <w:kern w:val="0"/>
                <w:sz w:val="24"/>
                <w:lang w:val="en-US" w:eastAsia="zh-CN"/>
              </w:rPr>
              <w:t>宜春市《</w:t>
            </w:r>
            <w:r>
              <w:rPr>
                <w:rFonts w:hint="eastAsia" w:cs="Times New Roman"/>
                <w:b w:val="0"/>
                <w:bCs w:val="0"/>
                <w:color w:val="FF0000"/>
                <w:sz w:val="24"/>
                <w:szCs w:val="24"/>
                <w:lang w:val="en-US" w:eastAsia="zh-CN"/>
              </w:rPr>
              <w:t>关于进一步提高我市生物质锅炉环保水平的通知</w:t>
            </w:r>
            <w:r>
              <w:rPr>
                <w:rFonts w:hint="eastAsia" w:cs="Times New Roman"/>
                <w:b w:val="0"/>
                <w:bCs w:val="0"/>
                <w:color w:val="FF0000"/>
                <w:kern w:val="0"/>
                <w:sz w:val="24"/>
                <w:lang w:val="en-US" w:eastAsia="zh-CN"/>
              </w:rPr>
              <w:t>》相关要求，采用更加高效并可行的锅炉烟气处理设施处理锅炉烟气。</w:t>
            </w:r>
          </w:p>
          <w:p w14:paraId="49C610B1">
            <w:pPr>
              <w:pStyle w:val="2"/>
              <w:ind w:firstLine="480" w:firstLineChars="200"/>
              <w:rPr>
                <w:rFonts w:hint="default"/>
                <w:lang w:val="en-US" w:eastAsia="zh-CN"/>
              </w:rPr>
            </w:pPr>
            <w:r>
              <w:rPr>
                <w:rFonts w:hint="eastAsia" w:cs="Times New Roman"/>
                <w:b w:val="0"/>
                <w:bCs w:val="0"/>
                <w:color w:val="FF0000"/>
                <w:kern w:val="0"/>
                <w:sz w:val="24"/>
                <w:lang w:val="en-US" w:eastAsia="zh-CN"/>
              </w:rPr>
              <w:t>7、制定环保相关应急预案。</w:t>
            </w:r>
          </w:p>
        </w:tc>
      </w:tr>
    </w:tbl>
    <w:p w14:paraId="5764C8FD">
      <w:pPr>
        <w:pStyle w:val="23"/>
        <w:jc w:val="center"/>
        <w:rPr>
          <w:rFonts w:ascii="黑体" w:hAnsi="黑体" w:eastAsia="黑体"/>
          <w:snapToGrid w:val="0"/>
          <w:sz w:val="36"/>
          <w:szCs w:val="36"/>
        </w:rPr>
        <w:sectPr>
          <w:pgSz w:w="11906" w:h="16838"/>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6FBC502E">
      <w:pPr>
        <w:pStyle w:val="23"/>
        <w:adjustRightInd w:val="0"/>
        <w:snapToGrid w:val="0"/>
        <w:spacing w:before="0" w:beforeAutospacing="0" w:after="0" w:afterAutospacing="0" w:line="14" w:lineRule="auto"/>
        <w:jc w:val="center"/>
        <w:rPr>
          <w:rFonts w:ascii="黑体" w:hAnsi="黑体" w:eastAsia="黑体"/>
          <w:snapToGrid w:val="0"/>
          <w:sz w:val="30"/>
          <w:szCs w:val="30"/>
        </w:rPr>
      </w:pPr>
    </w:p>
    <w:p w14:paraId="6FD53B56">
      <w:pPr>
        <w:pStyle w:val="23"/>
        <w:spacing w:before="0" w:beforeAutospacing="0" w:after="0" w:afterAutospacing="0"/>
        <w:jc w:val="center"/>
        <w:outlineLvl w:val="0"/>
        <w:rPr>
          <w:rFonts w:ascii="Times New Roman" w:hAnsi="Times New Roman"/>
          <w:snapToGrid w:val="0"/>
          <w:sz w:val="30"/>
          <w:szCs w:val="30"/>
        </w:rPr>
      </w:pPr>
      <w:r>
        <w:rPr>
          <w:rFonts w:hint="eastAsia" w:ascii="Times New Roman" w:hAnsi="Times New Roman"/>
          <w:snapToGrid w:val="0"/>
          <w:sz w:val="30"/>
          <w:szCs w:val="30"/>
        </w:rPr>
        <w:t>三、区域环境质量现状、环境保护目标及评价标准</w:t>
      </w:r>
    </w:p>
    <w:tbl>
      <w:tblPr>
        <w:tblStyle w:val="27"/>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8635"/>
      </w:tblGrid>
      <w:tr w14:paraId="00E065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235" w:type="pct"/>
            <w:vAlign w:val="center"/>
          </w:tcPr>
          <w:p w14:paraId="50D00506">
            <w:pPr>
              <w:adjustRightInd w:val="0"/>
              <w:snapToGrid w:val="0"/>
              <w:jc w:val="center"/>
              <w:rPr>
                <w:rFonts w:ascii="宋体" w:hAnsi="宋体" w:cs="宋体"/>
                <w:kern w:val="0"/>
                <w:szCs w:val="21"/>
              </w:rPr>
            </w:pPr>
            <w:r>
              <w:rPr>
                <w:rFonts w:hint="eastAsia" w:ascii="宋体" w:hAnsi="宋体" w:cs="宋体"/>
                <w:kern w:val="0"/>
                <w:szCs w:val="21"/>
              </w:rPr>
              <w:t>区域</w:t>
            </w:r>
          </w:p>
          <w:p w14:paraId="2B311CA3">
            <w:pPr>
              <w:adjustRightInd w:val="0"/>
              <w:snapToGrid w:val="0"/>
              <w:jc w:val="center"/>
              <w:rPr>
                <w:rFonts w:ascii="宋体" w:hAnsi="宋体" w:cs="宋体"/>
                <w:kern w:val="0"/>
                <w:szCs w:val="21"/>
              </w:rPr>
            </w:pPr>
            <w:r>
              <w:rPr>
                <w:rFonts w:hint="eastAsia" w:ascii="宋体" w:hAnsi="宋体" w:cs="宋体"/>
                <w:kern w:val="0"/>
                <w:szCs w:val="21"/>
              </w:rPr>
              <w:t>环境</w:t>
            </w:r>
          </w:p>
          <w:p w14:paraId="576C77EE">
            <w:pPr>
              <w:adjustRightInd w:val="0"/>
              <w:snapToGrid w:val="0"/>
              <w:jc w:val="center"/>
              <w:rPr>
                <w:rFonts w:ascii="宋体" w:hAnsi="宋体" w:cs="宋体"/>
                <w:kern w:val="0"/>
                <w:szCs w:val="21"/>
              </w:rPr>
            </w:pPr>
            <w:r>
              <w:rPr>
                <w:rFonts w:hint="eastAsia" w:ascii="宋体" w:hAnsi="宋体" w:cs="宋体"/>
                <w:kern w:val="0"/>
                <w:szCs w:val="21"/>
              </w:rPr>
              <w:t>质量</w:t>
            </w:r>
          </w:p>
          <w:p w14:paraId="389DA714">
            <w:pPr>
              <w:adjustRightInd w:val="0"/>
              <w:snapToGrid w:val="0"/>
              <w:jc w:val="center"/>
              <w:rPr>
                <w:rFonts w:ascii="宋体" w:hAnsi="宋体" w:cs="宋体"/>
                <w:kern w:val="0"/>
                <w:szCs w:val="21"/>
              </w:rPr>
            </w:pPr>
            <w:r>
              <w:rPr>
                <w:rFonts w:hint="eastAsia" w:ascii="宋体" w:hAnsi="宋体" w:cs="宋体"/>
                <w:kern w:val="0"/>
                <w:szCs w:val="21"/>
              </w:rPr>
              <w:t>现状</w:t>
            </w:r>
          </w:p>
        </w:tc>
        <w:tc>
          <w:tcPr>
            <w:tcW w:w="4764" w:type="pct"/>
            <w:vAlign w:val="center"/>
          </w:tcPr>
          <w:p w14:paraId="1CCB8C79">
            <w:pPr>
              <w:adjustRightInd w:val="0"/>
              <w:snapToGrid w:val="0"/>
              <w:spacing w:line="360" w:lineRule="auto"/>
              <w:ind w:firstLine="482" w:firstLineChars="200"/>
              <w:rPr>
                <w:b/>
                <w:color w:val="auto"/>
                <w:sz w:val="24"/>
              </w:rPr>
            </w:pPr>
            <w:r>
              <w:rPr>
                <w:b/>
                <w:color w:val="auto"/>
                <w:sz w:val="24"/>
              </w:rPr>
              <w:t>1、环境空气</w:t>
            </w:r>
          </w:p>
          <w:p w14:paraId="64ACF67E">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firstLine="480" w:firstLineChars="20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项目位于</w:t>
            </w:r>
            <w:r>
              <w:rPr>
                <w:rFonts w:hint="default" w:ascii="Times New Roman" w:hAnsi="Times New Roman" w:eastAsia="宋体" w:cs="Times New Roman"/>
                <w:color w:val="auto"/>
                <w:kern w:val="24"/>
                <w:sz w:val="24"/>
                <w:szCs w:val="24"/>
                <w:lang w:bidi="ar"/>
              </w:rPr>
              <w:t>江西省宜春市高安市八景镇江西高安大北农饲料有限公司</w:t>
            </w:r>
            <w:r>
              <w:rPr>
                <w:rFonts w:hint="eastAsia" w:ascii="Times New Roman" w:hAnsi="Times New Roman" w:eastAsia="宋体" w:cs="Times New Roman"/>
                <w:color w:val="auto"/>
                <w:kern w:val="24"/>
                <w:sz w:val="24"/>
                <w:szCs w:val="24"/>
                <w:lang w:val="en-US" w:eastAsia="zh-CN" w:bidi="ar"/>
              </w:rPr>
              <w:t>内</w:t>
            </w:r>
            <w:r>
              <w:rPr>
                <w:rFonts w:hint="default" w:ascii="Times New Roman" w:hAnsi="Times New Roman" w:cs="Times New Roman"/>
                <w:sz w:val="24"/>
                <w:szCs w:val="24"/>
              </w:rPr>
              <w:t>，根据《环境影响评价技术导则</w:t>
            </w:r>
            <w:r>
              <w:rPr>
                <w:rFonts w:hint="eastAsia" w:cs="Times New Roman"/>
                <w:color w:val="FF0000"/>
                <w:sz w:val="24"/>
                <w:szCs w:val="24"/>
                <w:lang w:val="en-US" w:eastAsia="zh-CN"/>
              </w:rPr>
              <w:t>_</w:t>
            </w:r>
            <w:r>
              <w:rPr>
                <w:rFonts w:hint="default" w:ascii="Times New Roman" w:hAnsi="Times New Roman" w:cs="Times New Roman"/>
                <w:sz w:val="24"/>
                <w:szCs w:val="24"/>
              </w:rPr>
              <w:t>大气环境》（</w:t>
            </w:r>
            <w:r>
              <w:rPr>
                <w:rFonts w:hint="default" w:ascii="Times New Roman" w:hAnsi="Times New Roman" w:eastAsia="Times New Roman" w:cs="Times New Roman"/>
                <w:sz w:val="24"/>
                <w:szCs w:val="24"/>
              </w:rPr>
              <w:t>HJ2.2-2018</w:t>
            </w:r>
            <w:r>
              <w:rPr>
                <w:rFonts w:hint="default" w:ascii="Times New Roman" w:hAnsi="Times New Roman" w:cs="Times New Roman"/>
                <w:sz w:val="24"/>
                <w:szCs w:val="24"/>
              </w:rPr>
              <w:t>）规定，本评价采用江西省生态环境厅公布的</w:t>
            </w:r>
            <w:r>
              <w:rPr>
                <w:rFonts w:hint="eastAsia" w:cs="Times New Roman"/>
                <w:sz w:val="24"/>
                <w:szCs w:val="24"/>
                <w:lang w:eastAsia="zh-CN"/>
              </w:rPr>
              <w:t>“</w:t>
            </w:r>
            <w:r>
              <w:rPr>
                <w:rFonts w:hint="default" w:ascii="Times New Roman" w:hAnsi="Times New Roman" w:eastAsia="Times New Roman" w:cs="Times New Roman"/>
                <w:sz w:val="24"/>
                <w:szCs w:val="24"/>
              </w:rPr>
              <w:t>202</w:t>
            </w:r>
            <w:r>
              <w:rPr>
                <w:rFonts w:hint="eastAsia" w:eastAsia="宋体" w:cs="Times New Roman"/>
                <w:sz w:val="24"/>
                <w:szCs w:val="24"/>
                <w:lang w:val="en-US" w:eastAsia="zh-CN"/>
              </w:rPr>
              <w:t>4</w:t>
            </w:r>
            <w:r>
              <w:rPr>
                <w:rFonts w:hint="default" w:ascii="Times New Roman" w:hAnsi="Times New Roman" w:cs="Times New Roman"/>
                <w:sz w:val="24"/>
                <w:szCs w:val="24"/>
              </w:rPr>
              <w:t>年江西省各县（市、区）六项污染物浓度年均值</w:t>
            </w:r>
            <w:r>
              <w:rPr>
                <w:rFonts w:hint="eastAsia" w:cs="Times New Roman"/>
                <w:sz w:val="24"/>
                <w:szCs w:val="24"/>
                <w:lang w:eastAsia="zh-CN"/>
              </w:rPr>
              <w:t>”</w:t>
            </w:r>
            <w:r>
              <w:rPr>
                <w:rFonts w:hint="default" w:ascii="Times New Roman" w:hAnsi="Times New Roman" w:cs="Times New Roman"/>
                <w:sz w:val="24"/>
                <w:szCs w:val="24"/>
              </w:rPr>
              <w:t>中的监测数据来评价项目所在区域环境空气质量达标情况进行评价，</w:t>
            </w:r>
            <w:r>
              <w:rPr>
                <w:rFonts w:hint="eastAsia" w:cs="Times New Roman"/>
                <w:sz w:val="24"/>
                <w:szCs w:val="24"/>
                <w:lang w:val="en-US" w:eastAsia="zh-CN"/>
              </w:rPr>
              <w:t>宜春市高安市</w:t>
            </w:r>
            <w:r>
              <w:rPr>
                <w:rFonts w:hint="default" w:ascii="Times New Roman" w:hAnsi="Times New Roman" w:eastAsia="Times New Roman" w:cs="Times New Roman"/>
                <w:sz w:val="24"/>
                <w:szCs w:val="24"/>
              </w:rPr>
              <w:t>202</w:t>
            </w:r>
            <w:r>
              <w:rPr>
                <w:rFonts w:hint="eastAsia" w:eastAsia="宋体" w:cs="Times New Roman"/>
                <w:sz w:val="24"/>
                <w:szCs w:val="24"/>
                <w:lang w:val="en-US" w:eastAsia="zh-CN"/>
              </w:rPr>
              <w:t>4</w:t>
            </w:r>
            <w:r>
              <w:rPr>
                <w:rFonts w:hint="default" w:ascii="Times New Roman" w:hAnsi="Times New Roman" w:cs="Times New Roman"/>
                <w:sz w:val="24"/>
                <w:szCs w:val="24"/>
              </w:rPr>
              <w:t>年区域环境控制质量如下表。</w:t>
            </w:r>
          </w:p>
          <w:p w14:paraId="32D0CB0F">
            <w:pPr>
              <w:pStyle w:val="2"/>
              <w:keepNext w:val="0"/>
              <w:keepLines w:val="0"/>
              <w:suppressLineNumbers w:val="0"/>
              <w:spacing w:before="0" w:beforeAutospacing="0" w:after="0" w:afterAutospacing="0"/>
              <w:ind w:left="0"/>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表3-1</w:t>
            </w:r>
            <w:r>
              <w:rPr>
                <w:rFonts w:hint="default" w:ascii="Times New Roman" w:hAnsi="Times New Roman" w:eastAsia="宋体" w:cs="Times New Roman"/>
                <w:b/>
                <w:bCs/>
                <w:color w:val="auto"/>
                <w:sz w:val="24"/>
                <w:szCs w:val="24"/>
                <w:lang w:val="en-US" w:eastAsia="zh-CN"/>
              </w:rPr>
              <w:t xml:space="preserve"> </w:t>
            </w:r>
            <w:r>
              <w:rPr>
                <w:rFonts w:hint="default" w:ascii="Times New Roman" w:hAnsi="Times New Roman" w:eastAsia="宋体" w:cs="Times New Roman"/>
                <w:b/>
                <w:bCs/>
                <w:color w:val="auto"/>
                <w:sz w:val="24"/>
                <w:szCs w:val="24"/>
              </w:rPr>
              <w:t xml:space="preserve"> 202</w:t>
            </w:r>
            <w:r>
              <w:rPr>
                <w:rFonts w:hint="eastAsia" w:ascii="Times New Roman" w:hAnsi="Times New Roman" w:eastAsia="宋体" w:cs="Times New Roman"/>
                <w:b/>
                <w:bCs/>
                <w:color w:val="auto"/>
                <w:sz w:val="24"/>
                <w:szCs w:val="24"/>
                <w:lang w:val="en-US" w:eastAsia="zh-CN"/>
              </w:rPr>
              <w:t>4</w:t>
            </w:r>
            <w:r>
              <w:rPr>
                <w:rFonts w:hint="default" w:ascii="Times New Roman" w:hAnsi="Times New Roman" w:eastAsia="宋体" w:cs="Times New Roman"/>
                <w:b/>
                <w:bCs/>
                <w:color w:val="auto"/>
                <w:sz w:val="24"/>
                <w:szCs w:val="24"/>
              </w:rPr>
              <w:t>年</w:t>
            </w:r>
            <w:r>
              <w:rPr>
                <w:rFonts w:hint="eastAsia" w:cs="Times New Roman"/>
                <w:b/>
                <w:bCs/>
                <w:color w:val="auto"/>
                <w:sz w:val="24"/>
                <w:szCs w:val="24"/>
                <w:lang w:val="en-US" w:eastAsia="zh-CN"/>
              </w:rPr>
              <w:t>宜春市高安市</w:t>
            </w:r>
            <w:r>
              <w:rPr>
                <w:rFonts w:hint="default" w:ascii="Times New Roman" w:hAnsi="Times New Roman" w:eastAsia="宋体" w:cs="Times New Roman"/>
                <w:b/>
                <w:bCs/>
                <w:color w:val="auto"/>
                <w:sz w:val="24"/>
                <w:szCs w:val="24"/>
              </w:rPr>
              <w:t>环境空气污染物浓度情况</w:t>
            </w:r>
          </w:p>
          <w:tbl>
            <w:tblPr>
              <w:tblStyle w:val="28"/>
              <w:tblW w:w="4996"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92"/>
              <w:gridCol w:w="2254"/>
              <w:gridCol w:w="1528"/>
              <w:gridCol w:w="1431"/>
              <w:gridCol w:w="1079"/>
              <w:gridCol w:w="1128"/>
            </w:tblGrid>
            <w:tr w14:paraId="52E378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0" w:type="pct"/>
                  <w:tcBorders>
                    <w:tl2br w:val="nil"/>
                    <w:tr2bl w:val="nil"/>
                  </w:tcBorders>
                  <w:vAlign w:val="center"/>
                </w:tcPr>
                <w:p w14:paraId="6EE587A6">
                  <w:pPr>
                    <w:pStyle w:val="9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bCs w:val="0"/>
                      <w:color w:val="auto"/>
                      <w:spacing w:val="0"/>
                      <w:position w:val="0"/>
                      <w:sz w:val="21"/>
                      <w:szCs w:val="21"/>
                      <w:highlight w:val="none"/>
                      <w:vertAlign w:val="baseline"/>
                      <w:lang w:val="en-US" w:eastAsia="zh-CN"/>
                    </w:rPr>
                  </w:pPr>
                  <w:r>
                    <w:rPr>
                      <w:rFonts w:hint="default" w:ascii="Times New Roman" w:hAnsi="Times New Roman" w:cs="Times New Roman"/>
                      <w:b/>
                      <w:bCs w:val="0"/>
                      <w:spacing w:val="0"/>
                      <w:position w:val="0"/>
                      <w:sz w:val="21"/>
                      <w:szCs w:val="21"/>
                    </w:rPr>
                    <w:t>污染物</w:t>
                  </w:r>
                </w:p>
              </w:tc>
              <w:tc>
                <w:tcPr>
                  <w:tcW w:w="1339" w:type="pct"/>
                  <w:tcBorders>
                    <w:tl2br w:val="nil"/>
                    <w:tr2bl w:val="nil"/>
                  </w:tcBorders>
                  <w:vAlign w:val="center"/>
                </w:tcPr>
                <w:p w14:paraId="25E0A09F">
                  <w:pPr>
                    <w:pStyle w:val="9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bCs w:val="0"/>
                      <w:color w:val="auto"/>
                      <w:spacing w:val="0"/>
                      <w:position w:val="0"/>
                      <w:sz w:val="21"/>
                      <w:szCs w:val="21"/>
                      <w:highlight w:val="none"/>
                      <w:vertAlign w:val="baseline"/>
                      <w:lang w:val="en-US" w:eastAsia="zh-CN"/>
                    </w:rPr>
                  </w:pPr>
                  <w:r>
                    <w:rPr>
                      <w:rFonts w:hint="default" w:ascii="Times New Roman" w:hAnsi="Times New Roman" w:cs="Times New Roman"/>
                      <w:b/>
                      <w:bCs w:val="0"/>
                      <w:spacing w:val="0"/>
                      <w:position w:val="0"/>
                      <w:sz w:val="21"/>
                      <w:szCs w:val="21"/>
                    </w:rPr>
                    <w:t>年评价指标</w:t>
                  </w:r>
                </w:p>
              </w:tc>
              <w:tc>
                <w:tcPr>
                  <w:tcW w:w="908" w:type="pct"/>
                  <w:tcBorders>
                    <w:tl2br w:val="nil"/>
                    <w:tr2bl w:val="nil"/>
                  </w:tcBorders>
                  <w:vAlign w:val="center"/>
                </w:tcPr>
                <w:p w14:paraId="144D4412">
                  <w:pPr>
                    <w:pStyle w:val="9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bCs w:val="0"/>
                      <w:color w:val="auto"/>
                      <w:spacing w:val="0"/>
                      <w:position w:val="0"/>
                      <w:sz w:val="21"/>
                      <w:szCs w:val="21"/>
                      <w:highlight w:val="none"/>
                      <w:vertAlign w:val="baseline"/>
                      <w:lang w:val="en-US" w:eastAsia="zh-CN"/>
                    </w:rPr>
                  </w:pPr>
                  <w:r>
                    <w:rPr>
                      <w:rFonts w:hint="default" w:ascii="Times New Roman" w:hAnsi="Times New Roman" w:cs="Times New Roman"/>
                      <w:b/>
                      <w:spacing w:val="0"/>
                      <w:position w:val="0"/>
                      <w:sz w:val="21"/>
                    </w:rPr>
                    <w:t>现状浓</w:t>
                  </w:r>
                  <w:r>
                    <w:rPr>
                      <w:rFonts w:hint="default" w:ascii="Times New Roman" w:hAnsi="Times New Roman" w:eastAsia="Times New Roman" w:cs="Times New Roman"/>
                      <w:b/>
                      <w:spacing w:val="0"/>
                      <w:position w:val="0"/>
                      <w:sz w:val="21"/>
                    </w:rPr>
                    <w:t>/(ug/m</w:t>
                  </w:r>
                  <w:r>
                    <w:rPr>
                      <w:rFonts w:hint="eastAsia" w:eastAsia="宋体" w:cs="Times New Roman"/>
                      <w:b/>
                      <w:bCs w:val="0"/>
                      <w:spacing w:val="0"/>
                      <w:position w:val="0"/>
                      <w:sz w:val="21"/>
                      <w:vertAlign w:val="superscript"/>
                      <w:lang w:val="en-US" w:eastAsia="zh-CN"/>
                    </w:rPr>
                    <w:t>3</w:t>
                  </w:r>
                  <w:r>
                    <w:rPr>
                      <w:rFonts w:hint="default" w:ascii="Times New Roman" w:hAnsi="Times New Roman" w:eastAsia="Times New Roman" w:cs="Times New Roman"/>
                      <w:b/>
                      <w:spacing w:val="0"/>
                      <w:position w:val="0"/>
                      <w:sz w:val="21"/>
                    </w:rPr>
                    <w:t>)</w:t>
                  </w:r>
                </w:p>
              </w:tc>
              <w:tc>
                <w:tcPr>
                  <w:tcW w:w="850" w:type="pct"/>
                  <w:tcBorders>
                    <w:tl2br w:val="nil"/>
                    <w:tr2bl w:val="nil"/>
                  </w:tcBorders>
                  <w:vAlign w:val="center"/>
                </w:tcPr>
                <w:p w14:paraId="42162E9B">
                  <w:pPr>
                    <w:pStyle w:val="9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bCs w:val="0"/>
                      <w:color w:val="auto"/>
                      <w:spacing w:val="0"/>
                      <w:position w:val="0"/>
                      <w:sz w:val="21"/>
                      <w:szCs w:val="21"/>
                      <w:highlight w:val="none"/>
                      <w:vertAlign w:val="baseline"/>
                      <w:lang w:val="en-US" w:eastAsia="zh-CN"/>
                    </w:rPr>
                  </w:pPr>
                  <w:r>
                    <w:rPr>
                      <w:rFonts w:hint="default" w:ascii="Times New Roman" w:hAnsi="Times New Roman" w:cs="Times New Roman"/>
                      <w:b/>
                      <w:spacing w:val="0"/>
                      <w:position w:val="0"/>
                      <w:sz w:val="21"/>
                    </w:rPr>
                    <w:t>标准值</w:t>
                  </w:r>
                  <w:r>
                    <w:rPr>
                      <w:rFonts w:hint="default" w:ascii="Times New Roman" w:hAnsi="Times New Roman" w:eastAsia="Times New Roman" w:cs="Times New Roman"/>
                      <w:b/>
                      <w:spacing w:val="0"/>
                      <w:position w:val="0"/>
                      <w:sz w:val="21"/>
                    </w:rPr>
                    <w:t>/(ug/m</w:t>
                  </w:r>
                  <w:r>
                    <w:rPr>
                      <w:rFonts w:hint="eastAsia" w:eastAsia="宋体" w:cs="Times New Roman"/>
                      <w:b/>
                      <w:spacing w:val="0"/>
                      <w:position w:val="0"/>
                      <w:sz w:val="21"/>
                      <w:vertAlign w:val="superscript"/>
                      <w:lang w:val="en-US" w:eastAsia="zh-CN"/>
                    </w:rPr>
                    <w:t>3</w:t>
                  </w:r>
                  <w:r>
                    <w:rPr>
                      <w:rFonts w:hint="default" w:ascii="Times New Roman" w:hAnsi="Times New Roman" w:eastAsia="Times New Roman" w:cs="Times New Roman"/>
                      <w:b/>
                      <w:spacing w:val="0"/>
                      <w:position w:val="0"/>
                      <w:sz w:val="21"/>
                    </w:rPr>
                    <w:t>)</w:t>
                  </w:r>
                </w:p>
              </w:tc>
              <w:tc>
                <w:tcPr>
                  <w:tcW w:w="641" w:type="pct"/>
                  <w:tcBorders>
                    <w:tl2br w:val="nil"/>
                    <w:tr2bl w:val="nil"/>
                  </w:tcBorders>
                  <w:vAlign w:val="center"/>
                </w:tcPr>
                <w:p w14:paraId="1BB9BEB8">
                  <w:pPr>
                    <w:pStyle w:val="9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bCs w:val="0"/>
                      <w:color w:val="auto"/>
                      <w:spacing w:val="0"/>
                      <w:position w:val="0"/>
                      <w:sz w:val="21"/>
                      <w:szCs w:val="21"/>
                      <w:highlight w:val="none"/>
                      <w:vertAlign w:val="baseline"/>
                      <w:lang w:val="en-US" w:eastAsia="zh-CN"/>
                    </w:rPr>
                  </w:pPr>
                  <w:r>
                    <w:rPr>
                      <w:rFonts w:hint="default" w:ascii="Times New Roman" w:hAnsi="Times New Roman" w:cs="Times New Roman"/>
                      <w:b/>
                      <w:spacing w:val="0"/>
                      <w:position w:val="0"/>
                      <w:sz w:val="21"/>
                    </w:rPr>
                    <w:t>占标率</w:t>
                  </w:r>
                  <w:r>
                    <w:rPr>
                      <w:rFonts w:hint="default" w:ascii="Times New Roman" w:hAnsi="Times New Roman" w:eastAsia="Times New Roman" w:cs="Times New Roman"/>
                      <w:b/>
                      <w:spacing w:val="0"/>
                      <w:position w:val="0"/>
                      <w:sz w:val="21"/>
                    </w:rPr>
                    <w:t>/%</w:t>
                  </w:r>
                </w:p>
              </w:tc>
              <w:tc>
                <w:tcPr>
                  <w:tcW w:w="670" w:type="pct"/>
                  <w:tcBorders>
                    <w:tl2br w:val="nil"/>
                    <w:tr2bl w:val="nil"/>
                  </w:tcBorders>
                  <w:vAlign w:val="center"/>
                </w:tcPr>
                <w:p w14:paraId="7CA2744C">
                  <w:pPr>
                    <w:pStyle w:val="9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bCs w:val="0"/>
                      <w:color w:val="auto"/>
                      <w:spacing w:val="0"/>
                      <w:position w:val="0"/>
                      <w:sz w:val="21"/>
                      <w:szCs w:val="21"/>
                      <w:highlight w:val="none"/>
                      <w:vertAlign w:val="baseline"/>
                      <w:lang w:val="en-US" w:eastAsia="zh-CN"/>
                    </w:rPr>
                  </w:pPr>
                  <w:r>
                    <w:rPr>
                      <w:rFonts w:hint="default" w:ascii="Times New Roman" w:hAnsi="Times New Roman" w:cs="Times New Roman"/>
                      <w:b/>
                      <w:bCs w:val="0"/>
                      <w:spacing w:val="0"/>
                      <w:position w:val="0"/>
                      <w:sz w:val="21"/>
                      <w:szCs w:val="21"/>
                    </w:rPr>
                    <w:t>达标情况</w:t>
                  </w:r>
                </w:p>
              </w:tc>
            </w:tr>
            <w:tr w14:paraId="5B4ED8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0" w:type="pct"/>
                  <w:tcBorders>
                    <w:tl2br w:val="nil"/>
                    <w:tr2bl w:val="nil"/>
                  </w:tcBorders>
                  <w:vAlign w:val="center"/>
                </w:tcPr>
                <w:p w14:paraId="3C4627DF">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b w:val="0"/>
                      <w:bCs/>
                      <w:color w:val="auto"/>
                      <w:spacing w:val="0"/>
                      <w:position w:val="0"/>
                      <w:sz w:val="21"/>
                      <w:szCs w:val="21"/>
                      <w:highlight w:val="none"/>
                      <w:vertAlign w:val="baseline"/>
                    </w:rPr>
                  </w:pPr>
                  <w:r>
                    <w:rPr>
                      <w:rFonts w:hint="default"/>
                      <w:b w:val="0"/>
                      <w:bCs/>
                      <w:spacing w:val="0"/>
                      <w:position w:val="0"/>
                      <w:sz w:val="21"/>
                      <w:szCs w:val="21"/>
                    </w:rPr>
                    <w:t>PM</w:t>
                  </w:r>
                  <w:r>
                    <w:rPr>
                      <w:rFonts w:hint="default"/>
                      <w:b w:val="0"/>
                      <w:bCs/>
                      <w:spacing w:val="0"/>
                      <w:position w:val="0"/>
                      <w:sz w:val="21"/>
                      <w:szCs w:val="21"/>
                      <w:vertAlign w:val="subscript"/>
                    </w:rPr>
                    <w:t>2.5</w:t>
                  </w:r>
                </w:p>
              </w:tc>
              <w:tc>
                <w:tcPr>
                  <w:tcW w:w="1339" w:type="pct"/>
                  <w:tcBorders>
                    <w:tl2br w:val="nil"/>
                    <w:tr2bl w:val="nil"/>
                  </w:tcBorders>
                  <w:vAlign w:val="center"/>
                </w:tcPr>
                <w:p w14:paraId="6E5C68D2">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val="0"/>
                      <w:bCs/>
                      <w:spacing w:val="0"/>
                      <w:position w:val="0"/>
                      <w:sz w:val="21"/>
                      <w:szCs w:val="21"/>
                    </w:rPr>
                  </w:pPr>
                  <w:r>
                    <w:rPr>
                      <w:rFonts w:hint="default"/>
                      <w:b w:val="0"/>
                      <w:bCs/>
                      <w:spacing w:val="0"/>
                      <w:position w:val="0"/>
                      <w:sz w:val="21"/>
                      <w:szCs w:val="21"/>
                    </w:rPr>
                    <w:t>年平均质量浓度</w:t>
                  </w:r>
                </w:p>
              </w:tc>
              <w:tc>
                <w:tcPr>
                  <w:tcW w:w="908" w:type="pct"/>
                  <w:tcBorders>
                    <w:tl2br w:val="nil"/>
                    <w:tr2bl w:val="nil"/>
                  </w:tcBorders>
                  <w:vAlign w:val="center"/>
                </w:tcPr>
                <w:p w14:paraId="75BF5106">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eastAsia="宋体"/>
                      <w:b w:val="0"/>
                      <w:bCs/>
                      <w:spacing w:val="0"/>
                      <w:position w:val="0"/>
                      <w:sz w:val="21"/>
                      <w:szCs w:val="21"/>
                      <w:lang w:val="en-US" w:eastAsia="zh-CN"/>
                    </w:rPr>
                  </w:pPr>
                  <w:r>
                    <w:rPr>
                      <w:rFonts w:hint="eastAsia"/>
                      <w:b w:val="0"/>
                      <w:bCs/>
                      <w:spacing w:val="0"/>
                      <w:position w:val="0"/>
                      <w:sz w:val="21"/>
                      <w:szCs w:val="21"/>
                      <w:lang w:val="en-US" w:eastAsia="zh-CN"/>
                    </w:rPr>
                    <w:t>23.4</w:t>
                  </w:r>
                </w:p>
              </w:tc>
              <w:tc>
                <w:tcPr>
                  <w:tcW w:w="850" w:type="pct"/>
                  <w:tcBorders>
                    <w:tl2br w:val="nil"/>
                    <w:tr2bl w:val="nil"/>
                  </w:tcBorders>
                  <w:vAlign w:val="center"/>
                </w:tcPr>
                <w:p w14:paraId="746A3671">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val="0"/>
                      <w:bCs/>
                      <w:spacing w:val="0"/>
                      <w:position w:val="0"/>
                      <w:sz w:val="21"/>
                      <w:szCs w:val="21"/>
                      <w:lang w:val="en-US" w:eastAsia="zh-CN"/>
                    </w:rPr>
                  </w:pPr>
                  <w:r>
                    <w:rPr>
                      <w:rFonts w:hint="eastAsia"/>
                      <w:b w:val="0"/>
                      <w:bCs/>
                      <w:spacing w:val="0"/>
                      <w:position w:val="0"/>
                      <w:sz w:val="21"/>
                      <w:szCs w:val="21"/>
                      <w:lang w:val="en-US" w:eastAsia="zh-CN"/>
                    </w:rPr>
                    <w:t>35</w:t>
                  </w:r>
                </w:p>
              </w:tc>
              <w:tc>
                <w:tcPr>
                  <w:tcW w:w="641" w:type="pct"/>
                  <w:tcBorders>
                    <w:tl2br w:val="nil"/>
                    <w:tr2bl w:val="nil"/>
                  </w:tcBorders>
                  <w:vAlign w:val="center"/>
                </w:tcPr>
                <w:p w14:paraId="0FD1D919">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val="0"/>
                      <w:bCs/>
                      <w:spacing w:val="0"/>
                      <w:position w:val="0"/>
                      <w:sz w:val="21"/>
                      <w:szCs w:val="21"/>
                      <w:lang w:val="en-US" w:eastAsia="zh-CN"/>
                    </w:rPr>
                  </w:pPr>
                  <w:r>
                    <w:rPr>
                      <w:rFonts w:hint="eastAsia"/>
                      <w:b w:val="0"/>
                      <w:bCs/>
                      <w:spacing w:val="0"/>
                      <w:position w:val="0"/>
                      <w:sz w:val="21"/>
                      <w:szCs w:val="21"/>
                      <w:lang w:val="en-US" w:eastAsia="zh-CN"/>
                    </w:rPr>
                    <w:t>66.8</w:t>
                  </w:r>
                </w:p>
              </w:tc>
              <w:tc>
                <w:tcPr>
                  <w:tcW w:w="670" w:type="pct"/>
                  <w:tcBorders>
                    <w:tl2br w:val="nil"/>
                    <w:tr2bl w:val="nil"/>
                  </w:tcBorders>
                  <w:vAlign w:val="center"/>
                </w:tcPr>
                <w:p w14:paraId="40427C9B">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val="0"/>
                      <w:bCs/>
                      <w:spacing w:val="0"/>
                      <w:position w:val="0"/>
                      <w:sz w:val="21"/>
                      <w:szCs w:val="21"/>
                      <w:lang w:val="en-US" w:eastAsia="zh-CN"/>
                    </w:rPr>
                  </w:pPr>
                  <w:r>
                    <w:rPr>
                      <w:rFonts w:hint="default"/>
                      <w:b w:val="0"/>
                      <w:bCs/>
                      <w:spacing w:val="0"/>
                      <w:position w:val="0"/>
                      <w:sz w:val="21"/>
                      <w:szCs w:val="21"/>
                    </w:rPr>
                    <w:t>达标</w:t>
                  </w:r>
                </w:p>
              </w:tc>
            </w:tr>
            <w:tr w14:paraId="30AD4E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0" w:type="pct"/>
                  <w:tcBorders>
                    <w:tl2br w:val="nil"/>
                    <w:tr2bl w:val="nil"/>
                  </w:tcBorders>
                  <w:vAlign w:val="center"/>
                </w:tcPr>
                <w:p w14:paraId="597DF421">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b w:val="0"/>
                      <w:bCs/>
                      <w:color w:val="auto"/>
                      <w:spacing w:val="0"/>
                      <w:position w:val="0"/>
                      <w:sz w:val="21"/>
                      <w:szCs w:val="21"/>
                      <w:highlight w:val="none"/>
                      <w:vertAlign w:val="baseline"/>
                    </w:rPr>
                  </w:pPr>
                  <w:r>
                    <w:rPr>
                      <w:rFonts w:hint="default"/>
                      <w:b w:val="0"/>
                      <w:bCs/>
                      <w:spacing w:val="0"/>
                      <w:position w:val="0"/>
                      <w:sz w:val="21"/>
                      <w:szCs w:val="21"/>
                    </w:rPr>
                    <w:t>PM</w:t>
                  </w:r>
                  <w:r>
                    <w:rPr>
                      <w:rFonts w:hint="default"/>
                      <w:b w:val="0"/>
                      <w:bCs/>
                      <w:spacing w:val="0"/>
                      <w:position w:val="0"/>
                      <w:sz w:val="21"/>
                      <w:szCs w:val="21"/>
                      <w:vertAlign w:val="subscript"/>
                    </w:rPr>
                    <w:t>10</w:t>
                  </w:r>
                </w:p>
              </w:tc>
              <w:tc>
                <w:tcPr>
                  <w:tcW w:w="1339" w:type="pct"/>
                  <w:tcBorders>
                    <w:tl2br w:val="nil"/>
                    <w:tr2bl w:val="nil"/>
                  </w:tcBorders>
                  <w:vAlign w:val="center"/>
                </w:tcPr>
                <w:p w14:paraId="15934F36">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val="0"/>
                      <w:bCs/>
                      <w:spacing w:val="0"/>
                      <w:position w:val="0"/>
                      <w:sz w:val="21"/>
                      <w:szCs w:val="21"/>
                    </w:rPr>
                  </w:pPr>
                  <w:r>
                    <w:rPr>
                      <w:rFonts w:hint="default"/>
                      <w:b w:val="0"/>
                      <w:bCs/>
                      <w:spacing w:val="0"/>
                      <w:position w:val="0"/>
                      <w:sz w:val="21"/>
                      <w:szCs w:val="21"/>
                    </w:rPr>
                    <w:t>年平均质量浓度</w:t>
                  </w:r>
                </w:p>
              </w:tc>
              <w:tc>
                <w:tcPr>
                  <w:tcW w:w="908" w:type="pct"/>
                  <w:tcBorders>
                    <w:tl2br w:val="nil"/>
                    <w:tr2bl w:val="nil"/>
                  </w:tcBorders>
                  <w:vAlign w:val="center"/>
                </w:tcPr>
                <w:p w14:paraId="6778F0C4">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val="0"/>
                      <w:bCs/>
                      <w:spacing w:val="0"/>
                      <w:position w:val="0"/>
                      <w:sz w:val="21"/>
                      <w:szCs w:val="21"/>
                      <w:lang w:val="en-US" w:eastAsia="zh-CN"/>
                    </w:rPr>
                  </w:pPr>
                  <w:r>
                    <w:rPr>
                      <w:rFonts w:hint="eastAsia"/>
                      <w:b w:val="0"/>
                      <w:bCs/>
                      <w:spacing w:val="0"/>
                      <w:position w:val="0"/>
                      <w:sz w:val="21"/>
                      <w:szCs w:val="21"/>
                      <w:lang w:val="en-US" w:eastAsia="zh-CN"/>
                    </w:rPr>
                    <w:t>38</w:t>
                  </w:r>
                </w:p>
              </w:tc>
              <w:tc>
                <w:tcPr>
                  <w:tcW w:w="850" w:type="pct"/>
                  <w:tcBorders>
                    <w:tl2br w:val="nil"/>
                    <w:tr2bl w:val="nil"/>
                  </w:tcBorders>
                  <w:vAlign w:val="center"/>
                </w:tcPr>
                <w:p w14:paraId="4DED4180">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val="0"/>
                      <w:bCs/>
                      <w:spacing w:val="0"/>
                      <w:position w:val="0"/>
                      <w:sz w:val="21"/>
                      <w:szCs w:val="21"/>
                      <w:lang w:val="en-US" w:eastAsia="zh-CN"/>
                    </w:rPr>
                  </w:pPr>
                  <w:r>
                    <w:rPr>
                      <w:rFonts w:hint="eastAsia"/>
                      <w:b w:val="0"/>
                      <w:bCs/>
                      <w:spacing w:val="0"/>
                      <w:position w:val="0"/>
                      <w:sz w:val="21"/>
                      <w:szCs w:val="21"/>
                      <w:lang w:val="en-US" w:eastAsia="zh-CN"/>
                    </w:rPr>
                    <w:t>70</w:t>
                  </w:r>
                </w:p>
              </w:tc>
              <w:tc>
                <w:tcPr>
                  <w:tcW w:w="641" w:type="pct"/>
                  <w:tcBorders>
                    <w:tl2br w:val="nil"/>
                    <w:tr2bl w:val="nil"/>
                  </w:tcBorders>
                  <w:vAlign w:val="center"/>
                </w:tcPr>
                <w:p w14:paraId="5AFD4E05">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val="0"/>
                      <w:bCs/>
                      <w:spacing w:val="0"/>
                      <w:position w:val="0"/>
                      <w:sz w:val="21"/>
                      <w:szCs w:val="21"/>
                      <w:lang w:val="en-US" w:eastAsia="zh-CN"/>
                    </w:rPr>
                  </w:pPr>
                  <w:r>
                    <w:rPr>
                      <w:rFonts w:hint="eastAsia"/>
                      <w:b w:val="0"/>
                      <w:bCs/>
                      <w:spacing w:val="0"/>
                      <w:position w:val="0"/>
                      <w:sz w:val="21"/>
                      <w:szCs w:val="21"/>
                      <w:lang w:val="en-US" w:eastAsia="zh-CN"/>
                    </w:rPr>
                    <w:t>54.3</w:t>
                  </w:r>
                </w:p>
              </w:tc>
              <w:tc>
                <w:tcPr>
                  <w:tcW w:w="670" w:type="pct"/>
                  <w:tcBorders>
                    <w:tl2br w:val="nil"/>
                    <w:tr2bl w:val="nil"/>
                  </w:tcBorders>
                  <w:vAlign w:val="center"/>
                </w:tcPr>
                <w:p w14:paraId="6FD4BEC4">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val="0"/>
                      <w:bCs/>
                      <w:spacing w:val="0"/>
                      <w:position w:val="0"/>
                      <w:sz w:val="21"/>
                      <w:szCs w:val="21"/>
                    </w:rPr>
                  </w:pPr>
                  <w:r>
                    <w:rPr>
                      <w:rFonts w:hint="default"/>
                      <w:b w:val="0"/>
                      <w:bCs/>
                      <w:spacing w:val="0"/>
                      <w:position w:val="0"/>
                      <w:sz w:val="21"/>
                      <w:szCs w:val="21"/>
                    </w:rPr>
                    <w:t>达标</w:t>
                  </w:r>
                </w:p>
              </w:tc>
            </w:tr>
            <w:tr w14:paraId="593B7D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0" w:type="pct"/>
                  <w:tcBorders>
                    <w:tl2br w:val="nil"/>
                    <w:tr2bl w:val="nil"/>
                  </w:tcBorders>
                  <w:vAlign w:val="center"/>
                </w:tcPr>
                <w:p w14:paraId="7F568CBF">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b w:val="0"/>
                      <w:bCs/>
                      <w:color w:val="auto"/>
                      <w:spacing w:val="0"/>
                      <w:position w:val="0"/>
                      <w:sz w:val="21"/>
                      <w:szCs w:val="21"/>
                      <w:highlight w:val="none"/>
                      <w:vertAlign w:val="baseline"/>
                    </w:rPr>
                  </w:pPr>
                  <w:r>
                    <w:rPr>
                      <w:rFonts w:hint="default"/>
                      <w:b w:val="0"/>
                      <w:bCs/>
                      <w:spacing w:val="0"/>
                      <w:position w:val="0"/>
                      <w:sz w:val="21"/>
                      <w:szCs w:val="21"/>
                    </w:rPr>
                    <w:t>NO</w:t>
                  </w:r>
                  <w:r>
                    <w:rPr>
                      <w:rFonts w:hint="default"/>
                      <w:b w:val="0"/>
                      <w:bCs/>
                      <w:spacing w:val="0"/>
                      <w:position w:val="0"/>
                      <w:sz w:val="21"/>
                      <w:szCs w:val="21"/>
                      <w:vertAlign w:val="subscript"/>
                    </w:rPr>
                    <w:t>2</w:t>
                  </w:r>
                </w:p>
              </w:tc>
              <w:tc>
                <w:tcPr>
                  <w:tcW w:w="1339" w:type="pct"/>
                  <w:tcBorders>
                    <w:tl2br w:val="nil"/>
                    <w:tr2bl w:val="nil"/>
                  </w:tcBorders>
                  <w:vAlign w:val="center"/>
                </w:tcPr>
                <w:p w14:paraId="7F9A275D">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val="0"/>
                      <w:bCs/>
                      <w:spacing w:val="0"/>
                      <w:position w:val="0"/>
                      <w:sz w:val="21"/>
                      <w:szCs w:val="21"/>
                    </w:rPr>
                  </w:pPr>
                  <w:r>
                    <w:rPr>
                      <w:rFonts w:hint="default"/>
                      <w:b w:val="0"/>
                      <w:bCs/>
                      <w:spacing w:val="0"/>
                      <w:position w:val="0"/>
                      <w:sz w:val="21"/>
                      <w:szCs w:val="21"/>
                    </w:rPr>
                    <w:t>年平均质量浓度</w:t>
                  </w:r>
                </w:p>
              </w:tc>
              <w:tc>
                <w:tcPr>
                  <w:tcW w:w="908" w:type="pct"/>
                  <w:tcBorders>
                    <w:tl2br w:val="nil"/>
                    <w:tr2bl w:val="nil"/>
                  </w:tcBorders>
                  <w:vAlign w:val="center"/>
                </w:tcPr>
                <w:p w14:paraId="00544C6F">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val="0"/>
                      <w:bCs/>
                      <w:spacing w:val="0"/>
                      <w:position w:val="0"/>
                      <w:sz w:val="21"/>
                      <w:szCs w:val="21"/>
                      <w:lang w:val="en-US" w:eastAsia="zh-CN"/>
                    </w:rPr>
                  </w:pPr>
                  <w:r>
                    <w:rPr>
                      <w:rFonts w:hint="eastAsia"/>
                      <w:b w:val="0"/>
                      <w:bCs/>
                      <w:spacing w:val="0"/>
                      <w:position w:val="0"/>
                      <w:sz w:val="21"/>
                      <w:szCs w:val="21"/>
                      <w:lang w:val="en-US" w:eastAsia="zh-CN"/>
                    </w:rPr>
                    <w:t>20</w:t>
                  </w:r>
                </w:p>
              </w:tc>
              <w:tc>
                <w:tcPr>
                  <w:tcW w:w="850" w:type="pct"/>
                  <w:tcBorders>
                    <w:tl2br w:val="nil"/>
                    <w:tr2bl w:val="nil"/>
                  </w:tcBorders>
                  <w:vAlign w:val="center"/>
                </w:tcPr>
                <w:p w14:paraId="187808CD">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val="0"/>
                      <w:bCs/>
                      <w:spacing w:val="0"/>
                      <w:position w:val="0"/>
                      <w:sz w:val="21"/>
                      <w:szCs w:val="21"/>
                      <w:lang w:val="en-US" w:eastAsia="zh-CN"/>
                    </w:rPr>
                  </w:pPr>
                  <w:r>
                    <w:rPr>
                      <w:rFonts w:hint="eastAsia"/>
                      <w:b w:val="0"/>
                      <w:bCs/>
                      <w:spacing w:val="0"/>
                      <w:position w:val="0"/>
                      <w:sz w:val="21"/>
                      <w:szCs w:val="21"/>
                      <w:lang w:val="en-US" w:eastAsia="zh-CN"/>
                    </w:rPr>
                    <w:t>40</w:t>
                  </w:r>
                </w:p>
              </w:tc>
              <w:tc>
                <w:tcPr>
                  <w:tcW w:w="641" w:type="pct"/>
                  <w:tcBorders>
                    <w:tl2br w:val="nil"/>
                    <w:tr2bl w:val="nil"/>
                  </w:tcBorders>
                  <w:vAlign w:val="center"/>
                </w:tcPr>
                <w:p w14:paraId="73FF1FC3">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val="0"/>
                      <w:bCs/>
                      <w:spacing w:val="0"/>
                      <w:position w:val="0"/>
                      <w:sz w:val="21"/>
                      <w:szCs w:val="21"/>
                      <w:lang w:val="en-US" w:eastAsia="zh-CN"/>
                    </w:rPr>
                  </w:pPr>
                  <w:r>
                    <w:rPr>
                      <w:rFonts w:hint="eastAsia"/>
                      <w:b w:val="0"/>
                      <w:bCs/>
                      <w:spacing w:val="0"/>
                      <w:position w:val="0"/>
                      <w:sz w:val="21"/>
                      <w:szCs w:val="21"/>
                      <w:lang w:val="en-US" w:eastAsia="zh-CN"/>
                    </w:rPr>
                    <w:t>50</w:t>
                  </w:r>
                </w:p>
              </w:tc>
              <w:tc>
                <w:tcPr>
                  <w:tcW w:w="670" w:type="pct"/>
                  <w:tcBorders>
                    <w:tl2br w:val="nil"/>
                    <w:tr2bl w:val="nil"/>
                  </w:tcBorders>
                  <w:vAlign w:val="center"/>
                </w:tcPr>
                <w:p w14:paraId="595B8E63">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val="0"/>
                      <w:bCs/>
                      <w:spacing w:val="0"/>
                      <w:position w:val="0"/>
                      <w:sz w:val="21"/>
                      <w:szCs w:val="21"/>
                    </w:rPr>
                  </w:pPr>
                  <w:r>
                    <w:rPr>
                      <w:rFonts w:hint="default"/>
                      <w:b w:val="0"/>
                      <w:bCs/>
                      <w:spacing w:val="0"/>
                      <w:position w:val="0"/>
                      <w:sz w:val="21"/>
                      <w:szCs w:val="21"/>
                    </w:rPr>
                    <w:t>达标</w:t>
                  </w:r>
                </w:p>
              </w:tc>
            </w:tr>
            <w:tr w14:paraId="20A585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0" w:type="pct"/>
                  <w:tcBorders>
                    <w:tl2br w:val="nil"/>
                    <w:tr2bl w:val="nil"/>
                  </w:tcBorders>
                  <w:vAlign w:val="center"/>
                </w:tcPr>
                <w:p w14:paraId="37DC2EA5">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b w:val="0"/>
                      <w:bCs/>
                      <w:color w:val="auto"/>
                      <w:spacing w:val="0"/>
                      <w:position w:val="0"/>
                      <w:sz w:val="21"/>
                      <w:szCs w:val="21"/>
                      <w:highlight w:val="none"/>
                      <w:vertAlign w:val="baseline"/>
                    </w:rPr>
                  </w:pPr>
                  <w:r>
                    <w:rPr>
                      <w:rFonts w:hint="default"/>
                      <w:b w:val="0"/>
                      <w:bCs/>
                      <w:spacing w:val="0"/>
                      <w:position w:val="0"/>
                      <w:sz w:val="21"/>
                      <w:szCs w:val="21"/>
                    </w:rPr>
                    <w:t>SO</w:t>
                  </w:r>
                  <w:r>
                    <w:rPr>
                      <w:rFonts w:hint="default"/>
                      <w:b w:val="0"/>
                      <w:bCs/>
                      <w:spacing w:val="0"/>
                      <w:position w:val="0"/>
                      <w:sz w:val="21"/>
                      <w:szCs w:val="21"/>
                      <w:vertAlign w:val="subscript"/>
                    </w:rPr>
                    <w:t>2</w:t>
                  </w:r>
                </w:p>
              </w:tc>
              <w:tc>
                <w:tcPr>
                  <w:tcW w:w="1339" w:type="pct"/>
                  <w:tcBorders>
                    <w:tl2br w:val="nil"/>
                    <w:tr2bl w:val="nil"/>
                  </w:tcBorders>
                  <w:vAlign w:val="center"/>
                </w:tcPr>
                <w:p w14:paraId="14A05EBA">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val="0"/>
                      <w:bCs/>
                      <w:spacing w:val="0"/>
                      <w:position w:val="0"/>
                      <w:sz w:val="21"/>
                      <w:szCs w:val="21"/>
                    </w:rPr>
                  </w:pPr>
                  <w:r>
                    <w:rPr>
                      <w:rFonts w:hint="default"/>
                      <w:b w:val="0"/>
                      <w:bCs/>
                      <w:spacing w:val="0"/>
                      <w:position w:val="0"/>
                      <w:sz w:val="21"/>
                      <w:szCs w:val="21"/>
                    </w:rPr>
                    <w:t>年平均质量浓度</w:t>
                  </w:r>
                </w:p>
              </w:tc>
              <w:tc>
                <w:tcPr>
                  <w:tcW w:w="908" w:type="pct"/>
                  <w:tcBorders>
                    <w:tl2br w:val="nil"/>
                    <w:tr2bl w:val="nil"/>
                  </w:tcBorders>
                  <w:vAlign w:val="center"/>
                </w:tcPr>
                <w:p w14:paraId="29AAAAD6">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val="0"/>
                      <w:bCs/>
                      <w:spacing w:val="0"/>
                      <w:position w:val="0"/>
                      <w:sz w:val="21"/>
                      <w:szCs w:val="21"/>
                      <w:lang w:val="en-US" w:eastAsia="zh-CN"/>
                    </w:rPr>
                  </w:pPr>
                  <w:r>
                    <w:rPr>
                      <w:rFonts w:hint="eastAsia"/>
                      <w:b w:val="0"/>
                      <w:bCs/>
                      <w:spacing w:val="0"/>
                      <w:position w:val="0"/>
                      <w:sz w:val="21"/>
                      <w:szCs w:val="21"/>
                      <w:lang w:val="en-US" w:eastAsia="zh-CN"/>
                    </w:rPr>
                    <w:t>11</w:t>
                  </w:r>
                </w:p>
              </w:tc>
              <w:tc>
                <w:tcPr>
                  <w:tcW w:w="850" w:type="pct"/>
                  <w:tcBorders>
                    <w:tl2br w:val="nil"/>
                    <w:tr2bl w:val="nil"/>
                  </w:tcBorders>
                  <w:vAlign w:val="center"/>
                </w:tcPr>
                <w:p w14:paraId="2449A5D7">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val="0"/>
                      <w:bCs/>
                      <w:spacing w:val="0"/>
                      <w:position w:val="0"/>
                      <w:sz w:val="21"/>
                      <w:szCs w:val="21"/>
                      <w:lang w:val="en-US" w:eastAsia="zh-CN"/>
                    </w:rPr>
                  </w:pPr>
                  <w:r>
                    <w:rPr>
                      <w:rFonts w:hint="eastAsia"/>
                      <w:b w:val="0"/>
                      <w:bCs/>
                      <w:spacing w:val="0"/>
                      <w:position w:val="0"/>
                      <w:sz w:val="21"/>
                      <w:szCs w:val="21"/>
                      <w:lang w:val="en-US" w:eastAsia="zh-CN"/>
                    </w:rPr>
                    <w:t>60</w:t>
                  </w:r>
                </w:p>
              </w:tc>
              <w:tc>
                <w:tcPr>
                  <w:tcW w:w="641" w:type="pct"/>
                  <w:tcBorders>
                    <w:tl2br w:val="nil"/>
                    <w:tr2bl w:val="nil"/>
                  </w:tcBorders>
                  <w:vAlign w:val="center"/>
                </w:tcPr>
                <w:p w14:paraId="515428F6">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val="0"/>
                      <w:bCs/>
                      <w:spacing w:val="0"/>
                      <w:position w:val="0"/>
                      <w:sz w:val="21"/>
                      <w:szCs w:val="21"/>
                      <w:lang w:val="en-US" w:eastAsia="zh-CN"/>
                    </w:rPr>
                  </w:pPr>
                  <w:r>
                    <w:rPr>
                      <w:rFonts w:hint="eastAsia"/>
                      <w:b w:val="0"/>
                      <w:bCs/>
                      <w:spacing w:val="0"/>
                      <w:position w:val="0"/>
                      <w:sz w:val="21"/>
                      <w:szCs w:val="21"/>
                      <w:lang w:val="en-US" w:eastAsia="zh-CN"/>
                    </w:rPr>
                    <w:t>18.3</w:t>
                  </w:r>
                </w:p>
              </w:tc>
              <w:tc>
                <w:tcPr>
                  <w:tcW w:w="670" w:type="pct"/>
                  <w:tcBorders>
                    <w:tl2br w:val="nil"/>
                    <w:tr2bl w:val="nil"/>
                  </w:tcBorders>
                  <w:vAlign w:val="center"/>
                </w:tcPr>
                <w:p w14:paraId="0AB19044">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val="0"/>
                      <w:bCs/>
                      <w:spacing w:val="0"/>
                      <w:position w:val="0"/>
                      <w:sz w:val="21"/>
                      <w:szCs w:val="21"/>
                    </w:rPr>
                  </w:pPr>
                  <w:r>
                    <w:rPr>
                      <w:rFonts w:hint="default"/>
                      <w:b w:val="0"/>
                      <w:bCs/>
                      <w:spacing w:val="0"/>
                      <w:position w:val="0"/>
                      <w:sz w:val="21"/>
                      <w:szCs w:val="21"/>
                    </w:rPr>
                    <w:t>达标</w:t>
                  </w:r>
                </w:p>
              </w:tc>
            </w:tr>
            <w:tr w14:paraId="182325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0" w:type="pct"/>
                  <w:tcBorders>
                    <w:tl2br w:val="nil"/>
                    <w:tr2bl w:val="nil"/>
                  </w:tcBorders>
                  <w:vAlign w:val="center"/>
                </w:tcPr>
                <w:p w14:paraId="3F8204B2">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b w:val="0"/>
                      <w:bCs/>
                      <w:color w:val="auto"/>
                      <w:spacing w:val="0"/>
                      <w:position w:val="0"/>
                      <w:sz w:val="21"/>
                      <w:szCs w:val="21"/>
                      <w:highlight w:val="none"/>
                      <w:vertAlign w:val="baseline"/>
                    </w:rPr>
                  </w:pPr>
                  <w:r>
                    <w:rPr>
                      <w:rFonts w:hint="default"/>
                      <w:b w:val="0"/>
                      <w:bCs/>
                      <w:spacing w:val="0"/>
                      <w:position w:val="0"/>
                      <w:sz w:val="21"/>
                      <w:szCs w:val="21"/>
                      <w:shd w:val="clear" w:color="auto" w:fill="FFFFFF"/>
                    </w:rPr>
                    <w:t>CO</w:t>
                  </w:r>
                </w:p>
              </w:tc>
              <w:tc>
                <w:tcPr>
                  <w:tcW w:w="1339" w:type="pct"/>
                  <w:tcBorders>
                    <w:tl2br w:val="nil"/>
                    <w:tr2bl w:val="nil"/>
                  </w:tcBorders>
                  <w:vAlign w:val="center"/>
                </w:tcPr>
                <w:p w14:paraId="25731007">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val="0"/>
                      <w:bCs/>
                      <w:spacing w:val="0"/>
                      <w:position w:val="0"/>
                      <w:sz w:val="21"/>
                      <w:szCs w:val="21"/>
                    </w:rPr>
                  </w:pPr>
                  <w:r>
                    <w:rPr>
                      <w:rFonts w:hint="default"/>
                      <w:b w:val="0"/>
                      <w:bCs/>
                      <w:spacing w:val="0"/>
                      <w:position w:val="0"/>
                      <w:sz w:val="21"/>
                      <w:szCs w:val="21"/>
                    </w:rPr>
                    <w:t>第95百分位数日平均质量浓度</w:t>
                  </w:r>
                </w:p>
              </w:tc>
              <w:tc>
                <w:tcPr>
                  <w:tcW w:w="908" w:type="pct"/>
                  <w:tcBorders>
                    <w:tl2br w:val="nil"/>
                    <w:tr2bl w:val="nil"/>
                  </w:tcBorders>
                  <w:vAlign w:val="center"/>
                </w:tcPr>
                <w:p w14:paraId="20C25024">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val="0"/>
                      <w:bCs/>
                      <w:spacing w:val="0"/>
                      <w:position w:val="0"/>
                      <w:sz w:val="21"/>
                      <w:szCs w:val="21"/>
                      <w:lang w:val="en-US" w:eastAsia="zh-CN"/>
                    </w:rPr>
                  </w:pPr>
                  <w:r>
                    <w:rPr>
                      <w:rFonts w:hint="eastAsia"/>
                      <w:b w:val="0"/>
                      <w:bCs/>
                      <w:spacing w:val="0"/>
                      <w:position w:val="0"/>
                      <w:sz w:val="21"/>
                      <w:szCs w:val="21"/>
                      <w:lang w:val="en-US" w:eastAsia="zh-CN"/>
                    </w:rPr>
                    <w:t>900</w:t>
                  </w:r>
                </w:p>
              </w:tc>
              <w:tc>
                <w:tcPr>
                  <w:tcW w:w="850" w:type="pct"/>
                  <w:tcBorders>
                    <w:tl2br w:val="nil"/>
                    <w:tr2bl w:val="nil"/>
                  </w:tcBorders>
                  <w:vAlign w:val="center"/>
                </w:tcPr>
                <w:p w14:paraId="71D188E6">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val="0"/>
                      <w:bCs/>
                      <w:spacing w:val="0"/>
                      <w:position w:val="0"/>
                      <w:sz w:val="21"/>
                      <w:szCs w:val="21"/>
                      <w:lang w:val="en-US" w:eastAsia="zh-CN"/>
                    </w:rPr>
                  </w:pPr>
                  <w:r>
                    <w:rPr>
                      <w:rFonts w:hint="eastAsia"/>
                      <w:b w:val="0"/>
                      <w:bCs/>
                      <w:spacing w:val="0"/>
                      <w:position w:val="0"/>
                      <w:sz w:val="21"/>
                      <w:szCs w:val="21"/>
                      <w:lang w:val="en-US" w:eastAsia="zh-CN"/>
                    </w:rPr>
                    <w:t>4000</w:t>
                  </w:r>
                </w:p>
              </w:tc>
              <w:tc>
                <w:tcPr>
                  <w:tcW w:w="641" w:type="pct"/>
                  <w:tcBorders>
                    <w:tl2br w:val="nil"/>
                    <w:tr2bl w:val="nil"/>
                  </w:tcBorders>
                  <w:vAlign w:val="center"/>
                </w:tcPr>
                <w:p w14:paraId="40E72406">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val="0"/>
                      <w:bCs/>
                      <w:spacing w:val="0"/>
                      <w:position w:val="0"/>
                      <w:sz w:val="21"/>
                      <w:szCs w:val="21"/>
                      <w:lang w:val="en-US" w:eastAsia="zh-CN"/>
                    </w:rPr>
                  </w:pPr>
                  <w:r>
                    <w:rPr>
                      <w:rFonts w:hint="eastAsia"/>
                      <w:b w:val="0"/>
                      <w:bCs/>
                      <w:spacing w:val="0"/>
                      <w:position w:val="0"/>
                      <w:sz w:val="21"/>
                      <w:szCs w:val="21"/>
                      <w:lang w:val="en-US" w:eastAsia="zh-CN"/>
                    </w:rPr>
                    <w:t>22.5</w:t>
                  </w:r>
                </w:p>
              </w:tc>
              <w:tc>
                <w:tcPr>
                  <w:tcW w:w="670" w:type="pct"/>
                  <w:tcBorders>
                    <w:tl2br w:val="nil"/>
                    <w:tr2bl w:val="nil"/>
                  </w:tcBorders>
                  <w:vAlign w:val="center"/>
                </w:tcPr>
                <w:p w14:paraId="4EF192E4">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val="0"/>
                      <w:bCs/>
                      <w:spacing w:val="0"/>
                      <w:position w:val="0"/>
                      <w:sz w:val="21"/>
                      <w:szCs w:val="21"/>
                    </w:rPr>
                  </w:pPr>
                  <w:r>
                    <w:rPr>
                      <w:rFonts w:hint="default"/>
                      <w:b w:val="0"/>
                      <w:bCs/>
                      <w:spacing w:val="0"/>
                      <w:position w:val="0"/>
                      <w:sz w:val="21"/>
                      <w:szCs w:val="21"/>
                    </w:rPr>
                    <w:t>达标</w:t>
                  </w:r>
                </w:p>
              </w:tc>
            </w:tr>
            <w:tr w14:paraId="4A6B84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90" w:type="pct"/>
                  <w:tcBorders>
                    <w:tl2br w:val="nil"/>
                    <w:tr2bl w:val="nil"/>
                  </w:tcBorders>
                  <w:vAlign w:val="center"/>
                </w:tcPr>
                <w:p w14:paraId="36A43B81">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b w:val="0"/>
                      <w:bCs/>
                      <w:color w:val="auto"/>
                      <w:spacing w:val="0"/>
                      <w:position w:val="0"/>
                      <w:sz w:val="21"/>
                      <w:szCs w:val="21"/>
                      <w:highlight w:val="none"/>
                      <w:vertAlign w:val="baseline"/>
                    </w:rPr>
                  </w:pPr>
                  <w:r>
                    <w:rPr>
                      <w:rFonts w:hint="default"/>
                      <w:b w:val="0"/>
                      <w:bCs/>
                      <w:spacing w:val="0"/>
                      <w:position w:val="0"/>
                      <w:sz w:val="21"/>
                      <w:szCs w:val="21"/>
                    </w:rPr>
                    <w:t>O</w:t>
                  </w:r>
                  <w:r>
                    <w:rPr>
                      <w:rFonts w:hint="default"/>
                      <w:b w:val="0"/>
                      <w:bCs/>
                      <w:spacing w:val="0"/>
                      <w:position w:val="0"/>
                      <w:sz w:val="21"/>
                      <w:szCs w:val="21"/>
                      <w:vertAlign w:val="subscript"/>
                    </w:rPr>
                    <w:t>3</w:t>
                  </w:r>
                </w:p>
              </w:tc>
              <w:tc>
                <w:tcPr>
                  <w:tcW w:w="1339" w:type="pct"/>
                  <w:tcBorders>
                    <w:tl2br w:val="nil"/>
                    <w:tr2bl w:val="nil"/>
                  </w:tcBorders>
                  <w:vAlign w:val="center"/>
                </w:tcPr>
                <w:p w14:paraId="58DA7B23">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val="0"/>
                      <w:bCs/>
                      <w:spacing w:val="0"/>
                      <w:position w:val="0"/>
                      <w:sz w:val="21"/>
                      <w:szCs w:val="21"/>
                    </w:rPr>
                  </w:pPr>
                  <w:r>
                    <w:rPr>
                      <w:rFonts w:hint="default"/>
                      <w:b w:val="0"/>
                      <w:bCs/>
                      <w:spacing w:val="0"/>
                      <w:position w:val="0"/>
                      <w:sz w:val="21"/>
                      <w:szCs w:val="21"/>
                    </w:rPr>
                    <w:t>第90百分位数8h平均质量浓度</w:t>
                  </w:r>
                </w:p>
              </w:tc>
              <w:tc>
                <w:tcPr>
                  <w:tcW w:w="908" w:type="pct"/>
                  <w:tcBorders>
                    <w:tl2br w:val="nil"/>
                    <w:tr2bl w:val="nil"/>
                  </w:tcBorders>
                  <w:vAlign w:val="center"/>
                </w:tcPr>
                <w:p w14:paraId="10201E90">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val="0"/>
                      <w:bCs/>
                      <w:spacing w:val="0"/>
                      <w:position w:val="0"/>
                      <w:sz w:val="21"/>
                      <w:szCs w:val="21"/>
                      <w:lang w:val="en-US" w:eastAsia="zh-CN"/>
                    </w:rPr>
                  </w:pPr>
                  <w:r>
                    <w:rPr>
                      <w:rFonts w:hint="eastAsia"/>
                      <w:b w:val="0"/>
                      <w:bCs/>
                      <w:spacing w:val="0"/>
                      <w:position w:val="0"/>
                      <w:sz w:val="21"/>
                      <w:szCs w:val="21"/>
                      <w:lang w:val="en-US" w:eastAsia="zh-CN"/>
                    </w:rPr>
                    <w:t>134</w:t>
                  </w:r>
                </w:p>
              </w:tc>
              <w:tc>
                <w:tcPr>
                  <w:tcW w:w="850" w:type="pct"/>
                  <w:tcBorders>
                    <w:tl2br w:val="nil"/>
                    <w:tr2bl w:val="nil"/>
                  </w:tcBorders>
                  <w:vAlign w:val="center"/>
                </w:tcPr>
                <w:p w14:paraId="09BB29D4">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val="0"/>
                      <w:bCs/>
                      <w:spacing w:val="0"/>
                      <w:position w:val="0"/>
                      <w:sz w:val="21"/>
                      <w:szCs w:val="21"/>
                      <w:lang w:val="en-US" w:eastAsia="zh-CN"/>
                    </w:rPr>
                  </w:pPr>
                  <w:r>
                    <w:rPr>
                      <w:rFonts w:hint="eastAsia"/>
                      <w:b w:val="0"/>
                      <w:bCs/>
                      <w:spacing w:val="0"/>
                      <w:position w:val="0"/>
                      <w:sz w:val="21"/>
                      <w:szCs w:val="21"/>
                      <w:lang w:val="en-US" w:eastAsia="zh-CN"/>
                    </w:rPr>
                    <w:t>160</w:t>
                  </w:r>
                </w:p>
              </w:tc>
              <w:tc>
                <w:tcPr>
                  <w:tcW w:w="641" w:type="pct"/>
                  <w:tcBorders>
                    <w:tl2br w:val="nil"/>
                    <w:tr2bl w:val="nil"/>
                  </w:tcBorders>
                  <w:vAlign w:val="center"/>
                </w:tcPr>
                <w:p w14:paraId="256727A4">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val="0"/>
                      <w:bCs/>
                      <w:spacing w:val="0"/>
                      <w:position w:val="0"/>
                      <w:sz w:val="21"/>
                      <w:szCs w:val="21"/>
                      <w:lang w:val="en-US" w:eastAsia="zh-CN"/>
                    </w:rPr>
                  </w:pPr>
                  <w:r>
                    <w:rPr>
                      <w:rFonts w:hint="eastAsia"/>
                      <w:b w:val="0"/>
                      <w:bCs/>
                      <w:spacing w:val="0"/>
                      <w:position w:val="0"/>
                      <w:sz w:val="21"/>
                      <w:szCs w:val="21"/>
                      <w:lang w:val="en-US" w:eastAsia="zh-CN"/>
                    </w:rPr>
                    <w:t>90</w:t>
                  </w:r>
                </w:p>
              </w:tc>
              <w:tc>
                <w:tcPr>
                  <w:tcW w:w="670" w:type="pct"/>
                  <w:tcBorders>
                    <w:tl2br w:val="nil"/>
                    <w:tr2bl w:val="nil"/>
                  </w:tcBorders>
                  <w:vAlign w:val="center"/>
                </w:tcPr>
                <w:p w14:paraId="0D03BE30">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val="0"/>
                      <w:bCs/>
                      <w:spacing w:val="0"/>
                      <w:position w:val="0"/>
                      <w:sz w:val="21"/>
                      <w:szCs w:val="21"/>
                    </w:rPr>
                  </w:pPr>
                  <w:r>
                    <w:rPr>
                      <w:rFonts w:hint="default"/>
                      <w:b w:val="0"/>
                      <w:bCs/>
                      <w:spacing w:val="0"/>
                      <w:position w:val="0"/>
                      <w:sz w:val="21"/>
                      <w:szCs w:val="21"/>
                    </w:rPr>
                    <w:t>达标</w:t>
                  </w:r>
                </w:p>
              </w:tc>
            </w:tr>
          </w:tbl>
          <w:p w14:paraId="1E4D85F5">
            <w:pPr>
              <w:spacing w:line="360" w:lineRule="auto"/>
              <w:ind w:firstLine="480" w:firstLineChars="200"/>
              <w:rPr>
                <w:color w:val="auto"/>
                <w:sz w:val="24"/>
              </w:rPr>
            </w:pPr>
            <w:r>
              <w:rPr>
                <w:color w:val="auto"/>
                <w:sz w:val="24"/>
              </w:rPr>
              <w:t>据表3-1数据可知，202</w:t>
            </w:r>
            <w:r>
              <w:rPr>
                <w:rFonts w:hint="eastAsia"/>
                <w:color w:val="auto"/>
                <w:sz w:val="24"/>
              </w:rPr>
              <w:t>4</w:t>
            </w:r>
            <w:r>
              <w:rPr>
                <w:color w:val="auto"/>
                <w:sz w:val="24"/>
              </w:rPr>
              <w:t>年</w:t>
            </w:r>
            <w:r>
              <w:rPr>
                <w:rFonts w:hint="eastAsia" w:cs="Times New Roman"/>
                <w:sz w:val="24"/>
                <w:szCs w:val="24"/>
                <w:lang w:val="en-US" w:eastAsia="zh-CN"/>
              </w:rPr>
              <w:t>宜春市高安市</w:t>
            </w:r>
            <w:r>
              <w:rPr>
                <w:color w:val="auto"/>
                <w:sz w:val="24"/>
              </w:rPr>
              <w:t>全年主要空气污染物中SO</w:t>
            </w:r>
            <w:r>
              <w:rPr>
                <w:color w:val="auto"/>
                <w:sz w:val="24"/>
                <w:vertAlign w:val="subscript"/>
              </w:rPr>
              <w:t>2</w:t>
            </w:r>
            <w:r>
              <w:rPr>
                <w:color w:val="auto"/>
                <w:sz w:val="24"/>
              </w:rPr>
              <w:t>、NO</w:t>
            </w:r>
            <w:r>
              <w:rPr>
                <w:color w:val="auto"/>
                <w:sz w:val="24"/>
                <w:vertAlign w:val="subscript"/>
              </w:rPr>
              <w:t>2</w:t>
            </w:r>
            <w:r>
              <w:rPr>
                <w:color w:val="auto"/>
                <w:sz w:val="24"/>
              </w:rPr>
              <w:t>、PM</w:t>
            </w:r>
            <w:r>
              <w:rPr>
                <w:color w:val="auto"/>
                <w:sz w:val="24"/>
                <w:vertAlign w:val="subscript"/>
              </w:rPr>
              <w:t>10</w:t>
            </w:r>
            <w:r>
              <w:rPr>
                <w:color w:val="auto"/>
                <w:sz w:val="24"/>
              </w:rPr>
              <w:t>、PM</w:t>
            </w:r>
            <w:r>
              <w:rPr>
                <w:color w:val="auto"/>
                <w:sz w:val="24"/>
                <w:vertAlign w:val="subscript"/>
              </w:rPr>
              <w:t>2.5</w:t>
            </w:r>
            <w:r>
              <w:rPr>
                <w:color w:val="auto"/>
                <w:sz w:val="24"/>
              </w:rPr>
              <w:t>、CO和O</w:t>
            </w:r>
            <w:r>
              <w:rPr>
                <w:color w:val="auto"/>
                <w:sz w:val="24"/>
                <w:vertAlign w:val="subscript"/>
              </w:rPr>
              <w:t>3</w:t>
            </w:r>
            <w:r>
              <w:rPr>
                <w:color w:val="auto"/>
                <w:sz w:val="24"/>
              </w:rPr>
              <w:t>浓度均达到《环境空气质量标准》（GB3095-2012）中二级标准要求。因此，项目位于达标区。</w:t>
            </w:r>
          </w:p>
          <w:p w14:paraId="054BE105">
            <w:pPr>
              <w:adjustRightInd w:val="0"/>
              <w:snapToGrid w:val="0"/>
              <w:spacing w:line="360" w:lineRule="auto"/>
              <w:ind w:firstLine="482" w:firstLineChars="200"/>
              <w:rPr>
                <w:b/>
                <w:color w:val="auto"/>
                <w:sz w:val="24"/>
              </w:rPr>
            </w:pPr>
            <w:r>
              <w:rPr>
                <w:rFonts w:hint="eastAsia"/>
                <w:b/>
                <w:bCs/>
                <w:color w:val="auto"/>
                <w:sz w:val="24"/>
              </w:rPr>
              <w:t>2、地表水</w:t>
            </w:r>
          </w:p>
          <w:p w14:paraId="33125F99">
            <w:pPr>
              <w:spacing w:line="360" w:lineRule="auto"/>
              <w:ind w:firstLine="480" w:firstLineChars="200"/>
              <w:rPr>
                <w:rFonts w:hint="eastAsia" w:eastAsia="宋体"/>
                <w:color w:val="auto"/>
                <w:sz w:val="24"/>
                <w:lang w:val="en-US" w:eastAsia="zh-CN"/>
              </w:rPr>
            </w:pPr>
            <w:r>
              <w:rPr>
                <w:rFonts w:hint="default" w:ascii="Times New Roman" w:hAnsi="Times New Roman" w:cs="Times New Roman"/>
                <w:sz w:val="24"/>
                <w:szCs w:val="24"/>
              </w:rPr>
              <w:t>根据《环境影响评价技术导则</w:t>
            </w:r>
            <w:r>
              <w:rPr>
                <w:rFonts w:hint="eastAsia" w:cs="Times New Roman"/>
                <w:color w:val="FF0000"/>
                <w:sz w:val="24"/>
                <w:szCs w:val="24"/>
                <w:lang w:val="en-US" w:eastAsia="zh-CN"/>
              </w:rPr>
              <w:t>_</w:t>
            </w:r>
            <w:r>
              <w:rPr>
                <w:rFonts w:hint="default" w:ascii="Times New Roman" w:hAnsi="Times New Roman" w:cs="Times New Roman"/>
                <w:sz w:val="24"/>
                <w:szCs w:val="24"/>
              </w:rPr>
              <w:t>地表水环境》</w:t>
            </w:r>
            <w:r>
              <w:rPr>
                <w:rFonts w:hint="default" w:ascii="Times New Roman" w:hAnsi="Times New Roman" w:eastAsia="Times New Roman" w:cs="Times New Roman"/>
                <w:sz w:val="24"/>
                <w:szCs w:val="24"/>
              </w:rPr>
              <w:t>(HJ2.3-2018)</w:t>
            </w:r>
            <w:r>
              <w:rPr>
                <w:rFonts w:hint="default" w:ascii="Times New Roman" w:hAnsi="Times New Roman" w:cs="Times New Roman"/>
                <w:sz w:val="24"/>
                <w:szCs w:val="24"/>
              </w:rPr>
              <w:t>，水环境质量现状调查应优先采用国务院生态环境主管部门统一发布的水环境状况信息。</w:t>
            </w:r>
            <w:r>
              <w:rPr>
                <w:rFonts w:hint="default"/>
                <w:color w:val="auto"/>
                <w:sz w:val="24"/>
              </w:rPr>
              <w:t>2025</w:t>
            </w:r>
            <w:r>
              <w:rPr>
                <w:rFonts w:hint="eastAsia"/>
                <w:color w:val="auto"/>
                <w:sz w:val="24"/>
              </w:rPr>
              <w:t>年</w:t>
            </w:r>
            <w:r>
              <w:rPr>
                <w:rFonts w:hint="default"/>
                <w:color w:val="auto"/>
                <w:sz w:val="24"/>
              </w:rPr>
              <w:t>7</w:t>
            </w:r>
            <w:r>
              <w:rPr>
                <w:rFonts w:hint="eastAsia"/>
                <w:color w:val="auto"/>
                <w:sz w:val="24"/>
              </w:rPr>
              <w:t>月江西省宜春生态环境监测中心对全市主要流域</w:t>
            </w:r>
            <w:r>
              <w:rPr>
                <w:rFonts w:hint="default"/>
                <w:color w:val="auto"/>
                <w:sz w:val="24"/>
              </w:rPr>
              <w:t>18</w:t>
            </w:r>
            <w:r>
              <w:rPr>
                <w:rFonts w:hint="eastAsia"/>
                <w:color w:val="auto"/>
                <w:sz w:val="24"/>
              </w:rPr>
              <w:t>个断面水质进行了监测，对</w:t>
            </w:r>
            <w:r>
              <w:rPr>
                <w:rFonts w:hint="eastAsia"/>
                <w:color w:val="FF0000"/>
                <w:sz w:val="24"/>
              </w:rPr>
              <w:t>宜春市</w:t>
            </w:r>
            <w:r>
              <w:rPr>
                <w:rFonts w:hint="eastAsia"/>
                <w:color w:val="auto"/>
                <w:sz w:val="24"/>
              </w:rPr>
              <w:t>范围内其他</w:t>
            </w:r>
            <w:r>
              <w:rPr>
                <w:rFonts w:hint="eastAsia"/>
                <w:color w:val="auto"/>
                <w:sz w:val="24"/>
                <w:lang w:val="en-US" w:eastAsia="zh-CN"/>
              </w:rPr>
              <w:t>流域</w:t>
            </w:r>
            <w:r>
              <w:rPr>
                <w:rFonts w:hint="eastAsia"/>
                <w:color w:val="auto"/>
                <w:sz w:val="24"/>
              </w:rPr>
              <w:t>的</w:t>
            </w:r>
            <w:r>
              <w:rPr>
                <w:rFonts w:hint="default"/>
                <w:color w:val="auto"/>
                <w:sz w:val="24"/>
              </w:rPr>
              <w:t>15</w:t>
            </w:r>
            <w:r>
              <w:rPr>
                <w:rFonts w:hint="eastAsia"/>
                <w:color w:val="auto"/>
                <w:sz w:val="24"/>
              </w:rPr>
              <w:t>个断面水质</w:t>
            </w:r>
            <w:r>
              <w:rPr>
                <w:rFonts w:hint="eastAsia"/>
                <w:color w:val="auto"/>
                <w:sz w:val="24"/>
                <w:lang w:val="en-US" w:eastAsia="zh-CN"/>
              </w:rPr>
              <w:t>监测</w:t>
            </w:r>
            <w:r>
              <w:rPr>
                <w:rFonts w:hint="eastAsia"/>
                <w:color w:val="auto"/>
                <w:sz w:val="24"/>
              </w:rPr>
              <w:t>数据进行了收集</w:t>
            </w:r>
            <w:r>
              <w:rPr>
                <w:rFonts w:hint="eastAsia"/>
                <w:color w:val="auto"/>
                <w:sz w:val="24"/>
                <w:lang w:val="en-US" w:eastAsia="zh-CN"/>
              </w:rPr>
              <w:t>。</w:t>
            </w:r>
            <w:r>
              <w:rPr>
                <w:rFonts w:hint="eastAsia" w:ascii="宋体" w:hAnsi="宋体" w:eastAsia="宋体" w:cs="宋体"/>
                <w:i w:val="0"/>
                <w:iCs w:val="0"/>
                <w:caps w:val="0"/>
                <w:color w:val="000000"/>
                <w:spacing w:val="0"/>
                <w:sz w:val="24"/>
                <w:szCs w:val="24"/>
                <w:shd w:val="clear" w:fill="FFFFFF"/>
              </w:rPr>
              <w:t>监测评价指标为</w:t>
            </w:r>
            <w:r>
              <w:rPr>
                <w:rFonts w:hint="default" w:ascii="Times New Roman" w:hAnsi="Times New Roman" w:eastAsia="宋体" w:cs="Times New Roman"/>
                <w:i w:val="0"/>
                <w:iCs w:val="0"/>
                <w:caps w:val="0"/>
                <w:color w:val="000000"/>
                <w:spacing w:val="0"/>
                <w:sz w:val="24"/>
                <w:szCs w:val="24"/>
                <w:shd w:val="clear" w:fill="FFFFFF"/>
              </w:rPr>
              <w:t>pH</w:t>
            </w:r>
            <w:r>
              <w:rPr>
                <w:rFonts w:hint="eastAsia" w:ascii="宋体" w:hAnsi="宋体" w:eastAsia="宋体" w:cs="宋体"/>
                <w:i w:val="0"/>
                <w:iCs w:val="0"/>
                <w:caps w:val="0"/>
                <w:color w:val="000000"/>
                <w:spacing w:val="0"/>
                <w:sz w:val="24"/>
                <w:szCs w:val="24"/>
                <w:shd w:val="clear" w:fill="FFFFFF"/>
              </w:rPr>
              <w:t>、溶解氧、高锰酸盐指数、化学需氧量、五日生化需氧量、氨氮、总磷、铜、锌、氟化物、硒、砷、汞、镉、六价铬、铅、氰化物、挥发酚、石油类、阴离子表面活性剂、硫化物共</w:t>
            </w:r>
            <w:r>
              <w:rPr>
                <w:rFonts w:hint="default" w:ascii="Times New Roman" w:hAnsi="Times New Roman" w:eastAsia="宋体" w:cs="Times New Roman"/>
                <w:i w:val="0"/>
                <w:iCs w:val="0"/>
                <w:caps w:val="0"/>
                <w:color w:val="000000"/>
                <w:spacing w:val="0"/>
                <w:sz w:val="24"/>
                <w:szCs w:val="24"/>
                <w:shd w:val="clear" w:fill="FFFFFF"/>
              </w:rPr>
              <w:t>21</w:t>
            </w:r>
            <w:r>
              <w:rPr>
                <w:rFonts w:hint="eastAsia" w:ascii="宋体" w:hAnsi="宋体" w:eastAsia="宋体" w:cs="宋体"/>
                <w:i w:val="0"/>
                <w:iCs w:val="0"/>
                <w:caps w:val="0"/>
                <w:color w:val="000000"/>
                <w:spacing w:val="0"/>
                <w:sz w:val="24"/>
                <w:szCs w:val="24"/>
                <w:shd w:val="clear" w:fill="FFFFFF"/>
              </w:rPr>
              <w:t>项</w:t>
            </w:r>
            <w:r>
              <w:rPr>
                <w:rFonts w:hint="eastAsia" w:ascii="宋体" w:hAnsi="宋体" w:eastAsia="宋体" w:cs="宋体"/>
                <w:i w:val="0"/>
                <w:iCs w:val="0"/>
                <w:caps w:val="0"/>
                <w:color w:val="000000"/>
                <w:spacing w:val="0"/>
                <w:sz w:val="24"/>
                <w:szCs w:val="24"/>
                <w:shd w:val="clear" w:fill="FFFFFF"/>
                <w:lang w:eastAsia="zh-CN"/>
              </w:rPr>
              <w:t>。</w:t>
            </w:r>
            <w:r>
              <w:rPr>
                <w:color w:val="auto"/>
                <w:sz w:val="24"/>
              </w:rPr>
              <w:t>监测评价标准为《地表水环境质量标准》(GB3838-2002)</w:t>
            </w:r>
            <w:r>
              <w:rPr>
                <w:rFonts w:hint="eastAsia"/>
                <w:color w:val="auto"/>
                <w:sz w:val="24"/>
                <w:lang w:eastAsia="zh-CN"/>
              </w:rPr>
              <w:t>。</w:t>
            </w:r>
            <w:r>
              <w:rPr>
                <w:rFonts w:hint="default" w:ascii="Times New Roman" w:hAnsi="Times New Roman" w:cs="Times New Roman"/>
                <w:spacing w:val="-1"/>
                <w:sz w:val="24"/>
                <w:szCs w:val="24"/>
              </w:rPr>
              <w:t>其中距离项目最近的断面为</w:t>
            </w:r>
            <w:r>
              <w:rPr>
                <w:rFonts w:hint="eastAsia" w:cs="Times New Roman"/>
                <w:spacing w:val="-1"/>
                <w:sz w:val="24"/>
                <w:szCs w:val="24"/>
                <w:lang w:val="en-US" w:eastAsia="zh-CN"/>
              </w:rPr>
              <w:t>肖</w:t>
            </w:r>
            <w:r>
              <w:rPr>
                <w:rFonts w:hint="eastAsia" w:ascii="Times New Roman" w:hAnsi="Times New Roman" w:cs="Times New Roman"/>
                <w:spacing w:val="-1"/>
                <w:sz w:val="24"/>
                <w:szCs w:val="24"/>
                <w:lang w:val="en-US" w:eastAsia="zh-CN"/>
              </w:rPr>
              <w:t>江</w:t>
            </w:r>
            <w:r>
              <w:rPr>
                <w:rFonts w:hint="eastAsia" w:cs="Times New Roman"/>
                <w:spacing w:val="-1"/>
                <w:sz w:val="24"/>
                <w:szCs w:val="24"/>
                <w:lang w:val="en-US" w:eastAsia="zh-CN"/>
              </w:rPr>
              <w:t>江口</w:t>
            </w:r>
            <w:r>
              <w:rPr>
                <w:rFonts w:hint="eastAsia"/>
                <w:color w:val="000000" w:themeColor="text1"/>
                <w:sz w:val="24"/>
                <w:szCs w:val="24"/>
                <w14:textFill>
                  <w14:solidFill>
                    <w14:schemeClr w14:val="tx1"/>
                  </w14:solidFill>
                </w14:textFill>
              </w:rPr>
              <w:t>断面</w:t>
            </w:r>
            <w:r>
              <w:rPr>
                <w:rFonts w:hint="eastAsia"/>
                <w:color w:val="000000" w:themeColor="text1"/>
                <w:sz w:val="24"/>
                <w:szCs w:val="24"/>
                <w:lang w:eastAsia="zh-CN"/>
                <w14:textFill>
                  <w14:solidFill>
                    <w14:schemeClr w14:val="tx1"/>
                  </w14:solidFill>
                </w14:textFill>
              </w:rPr>
              <w:t>。</w:t>
            </w:r>
          </w:p>
          <w:p w14:paraId="381F230C">
            <w:pPr>
              <w:pStyle w:val="9"/>
              <w:autoSpaceDE/>
              <w:autoSpaceDN/>
              <w:adjustRightInd/>
              <w:spacing w:line="240" w:lineRule="auto"/>
              <w:ind w:left="0" w:firstLine="0"/>
              <w:jc w:val="center"/>
              <w:textAlignment w:val="auto"/>
              <w:rPr>
                <w:b/>
                <w:bCs/>
                <w:color w:val="auto"/>
                <w:kern w:val="2"/>
                <w:szCs w:val="24"/>
              </w:rPr>
            </w:pPr>
            <w:r>
              <w:rPr>
                <w:b/>
                <w:bCs/>
                <w:color w:val="auto"/>
                <w:kern w:val="2"/>
                <w:szCs w:val="24"/>
              </w:rPr>
              <w:t>表3-2  202</w:t>
            </w:r>
            <w:r>
              <w:rPr>
                <w:rFonts w:hint="eastAsia"/>
                <w:b/>
                <w:bCs/>
                <w:color w:val="auto"/>
                <w:kern w:val="2"/>
                <w:szCs w:val="24"/>
              </w:rPr>
              <w:t>5</w:t>
            </w:r>
            <w:r>
              <w:rPr>
                <w:b/>
                <w:bCs/>
                <w:color w:val="auto"/>
                <w:kern w:val="2"/>
                <w:szCs w:val="24"/>
              </w:rPr>
              <w:t>年</w:t>
            </w:r>
            <w:r>
              <w:rPr>
                <w:rFonts w:hint="eastAsia"/>
                <w:b/>
                <w:bCs/>
                <w:color w:val="auto"/>
                <w:kern w:val="2"/>
                <w:szCs w:val="24"/>
                <w:lang w:val="en-US" w:eastAsia="zh-CN"/>
              </w:rPr>
              <w:t>7</w:t>
            </w:r>
            <w:r>
              <w:rPr>
                <w:rFonts w:ascii="Times New Roman" w:hAnsi="Times New Roman" w:eastAsia="宋体" w:cs="Times New Roman"/>
                <w:b/>
                <w:bCs/>
                <w:color w:val="auto"/>
                <w:kern w:val="2"/>
                <w:szCs w:val="24"/>
              </w:rPr>
              <w:t>月</w:t>
            </w:r>
            <w:r>
              <w:rPr>
                <w:rFonts w:hint="eastAsia" w:ascii="Times New Roman" w:hAnsi="Times New Roman" w:eastAsia="宋体" w:cs="Times New Roman"/>
                <w:b/>
                <w:bCs/>
                <w:color w:val="auto"/>
                <w:kern w:val="2"/>
                <w:szCs w:val="24"/>
                <w:lang w:val="en-US" w:eastAsia="zh-CN"/>
              </w:rPr>
              <w:t>肖江江口</w:t>
            </w:r>
            <w:r>
              <w:rPr>
                <w:rFonts w:hint="eastAsia" w:ascii="Times New Roman" w:hAnsi="Times New Roman" w:eastAsia="宋体" w:cs="Times New Roman"/>
                <w:b/>
                <w:bCs/>
                <w:color w:val="auto"/>
                <w:kern w:val="2"/>
                <w:szCs w:val="24"/>
              </w:rPr>
              <w:t>断面</w:t>
            </w:r>
            <w:r>
              <w:rPr>
                <w:rFonts w:ascii="Times New Roman" w:hAnsi="Times New Roman" w:eastAsia="宋体" w:cs="Times New Roman"/>
                <w:b/>
                <w:bCs/>
                <w:color w:val="auto"/>
                <w:kern w:val="2"/>
                <w:szCs w:val="24"/>
              </w:rPr>
              <w:t>水质监测</w:t>
            </w:r>
            <w:r>
              <w:rPr>
                <w:b/>
                <w:bCs/>
                <w:color w:val="auto"/>
                <w:kern w:val="2"/>
                <w:szCs w:val="24"/>
              </w:rPr>
              <w:t>评价结果一览表</w:t>
            </w:r>
          </w:p>
          <w:tbl>
            <w:tblPr>
              <w:tblStyle w:val="2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02"/>
              <w:gridCol w:w="1135"/>
              <w:gridCol w:w="3756"/>
              <w:gridCol w:w="908"/>
              <w:gridCol w:w="832"/>
              <w:gridCol w:w="1083"/>
            </w:tblGrid>
            <w:tr w14:paraId="37DE65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7" w:type="pct"/>
                  <w:tcBorders>
                    <w:tl2br w:val="nil"/>
                    <w:tr2bl w:val="nil"/>
                  </w:tcBorders>
                  <w:vAlign w:val="center"/>
                </w:tcPr>
                <w:p w14:paraId="02E158F5">
                  <w:pPr>
                    <w:keepNext w:val="0"/>
                    <w:keepLines w:val="0"/>
                    <w:pageBreakBefore w:val="0"/>
                    <w:kinsoku/>
                    <w:wordWrap/>
                    <w:overflowPunct/>
                    <w:topLinePunct w:val="0"/>
                    <w:autoSpaceDE/>
                    <w:autoSpaceDN/>
                    <w:bidi w:val="0"/>
                    <w:adjustRightInd/>
                    <w:snapToGrid/>
                    <w:spacing w:line="240" w:lineRule="auto"/>
                    <w:jc w:val="center"/>
                    <w:textAlignment w:val="auto"/>
                    <w:rPr>
                      <w:b/>
                      <w:bCs/>
                      <w:color w:val="auto"/>
                      <w:szCs w:val="21"/>
                    </w:rPr>
                  </w:pPr>
                  <w:r>
                    <w:rPr>
                      <w:b/>
                      <w:bCs/>
                      <w:color w:val="auto"/>
                      <w:szCs w:val="21"/>
                    </w:rPr>
                    <w:t>序号</w:t>
                  </w:r>
                </w:p>
              </w:tc>
              <w:tc>
                <w:tcPr>
                  <w:tcW w:w="674" w:type="pct"/>
                  <w:tcBorders>
                    <w:tl2br w:val="nil"/>
                    <w:tr2bl w:val="nil"/>
                  </w:tcBorders>
                  <w:vAlign w:val="center"/>
                </w:tcPr>
                <w:p w14:paraId="3AB47E18">
                  <w:pPr>
                    <w:keepNext w:val="0"/>
                    <w:keepLines w:val="0"/>
                    <w:pageBreakBefore w:val="0"/>
                    <w:kinsoku/>
                    <w:wordWrap/>
                    <w:overflowPunct/>
                    <w:topLinePunct w:val="0"/>
                    <w:autoSpaceDE/>
                    <w:autoSpaceDN/>
                    <w:bidi w:val="0"/>
                    <w:adjustRightInd/>
                    <w:snapToGrid/>
                    <w:spacing w:line="240" w:lineRule="auto"/>
                    <w:jc w:val="center"/>
                    <w:textAlignment w:val="auto"/>
                    <w:rPr>
                      <w:b/>
                      <w:bCs/>
                      <w:color w:val="auto"/>
                      <w:szCs w:val="21"/>
                    </w:rPr>
                  </w:pPr>
                  <w:r>
                    <w:rPr>
                      <w:b/>
                      <w:bCs/>
                      <w:color w:val="auto"/>
                      <w:szCs w:val="21"/>
                    </w:rPr>
                    <w:t>河流名称</w:t>
                  </w:r>
                </w:p>
              </w:tc>
              <w:tc>
                <w:tcPr>
                  <w:tcW w:w="2230" w:type="pct"/>
                  <w:tcBorders>
                    <w:tl2br w:val="nil"/>
                    <w:tr2bl w:val="nil"/>
                  </w:tcBorders>
                  <w:vAlign w:val="center"/>
                </w:tcPr>
                <w:p w14:paraId="2EE4A50A">
                  <w:pPr>
                    <w:keepNext w:val="0"/>
                    <w:keepLines w:val="0"/>
                    <w:pageBreakBefore w:val="0"/>
                    <w:kinsoku/>
                    <w:wordWrap/>
                    <w:overflowPunct/>
                    <w:topLinePunct w:val="0"/>
                    <w:autoSpaceDE/>
                    <w:autoSpaceDN/>
                    <w:bidi w:val="0"/>
                    <w:adjustRightInd/>
                    <w:snapToGrid/>
                    <w:spacing w:line="240" w:lineRule="auto"/>
                    <w:jc w:val="center"/>
                    <w:textAlignment w:val="auto"/>
                    <w:rPr>
                      <w:b/>
                      <w:bCs/>
                      <w:color w:val="auto"/>
                      <w:szCs w:val="21"/>
                    </w:rPr>
                  </w:pPr>
                  <w:r>
                    <w:rPr>
                      <w:b/>
                      <w:bCs/>
                      <w:color w:val="auto"/>
                      <w:szCs w:val="21"/>
                    </w:rPr>
                    <w:t>断面名称</w:t>
                  </w:r>
                </w:p>
              </w:tc>
              <w:tc>
                <w:tcPr>
                  <w:tcW w:w="539" w:type="pct"/>
                  <w:tcBorders>
                    <w:tl2br w:val="nil"/>
                    <w:tr2bl w:val="nil"/>
                  </w:tcBorders>
                  <w:vAlign w:val="center"/>
                </w:tcPr>
                <w:p w14:paraId="74C0E19E">
                  <w:pPr>
                    <w:keepNext w:val="0"/>
                    <w:keepLines w:val="0"/>
                    <w:pageBreakBefore w:val="0"/>
                    <w:kinsoku/>
                    <w:wordWrap/>
                    <w:overflowPunct/>
                    <w:topLinePunct w:val="0"/>
                    <w:autoSpaceDE/>
                    <w:autoSpaceDN/>
                    <w:bidi w:val="0"/>
                    <w:adjustRightInd/>
                    <w:snapToGrid/>
                    <w:spacing w:line="240" w:lineRule="auto"/>
                    <w:jc w:val="center"/>
                    <w:textAlignment w:val="auto"/>
                    <w:rPr>
                      <w:b/>
                      <w:bCs/>
                      <w:color w:val="auto"/>
                      <w:szCs w:val="21"/>
                    </w:rPr>
                  </w:pPr>
                  <w:r>
                    <w:rPr>
                      <w:b/>
                      <w:bCs/>
                      <w:color w:val="auto"/>
                      <w:szCs w:val="21"/>
                    </w:rPr>
                    <w:t>执行标准</w:t>
                  </w:r>
                </w:p>
              </w:tc>
              <w:tc>
                <w:tcPr>
                  <w:tcW w:w="494" w:type="pct"/>
                  <w:tcBorders>
                    <w:tl2br w:val="nil"/>
                    <w:tr2bl w:val="nil"/>
                  </w:tcBorders>
                  <w:vAlign w:val="center"/>
                </w:tcPr>
                <w:p w14:paraId="485A42E6">
                  <w:pPr>
                    <w:keepNext w:val="0"/>
                    <w:keepLines w:val="0"/>
                    <w:pageBreakBefore w:val="0"/>
                    <w:kinsoku/>
                    <w:wordWrap/>
                    <w:overflowPunct/>
                    <w:topLinePunct w:val="0"/>
                    <w:autoSpaceDE/>
                    <w:autoSpaceDN/>
                    <w:bidi w:val="0"/>
                    <w:adjustRightInd/>
                    <w:snapToGrid/>
                    <w:spacing w:line="240" w:lineRule="auto"/>
                    <w:jc w:val="center"/>
                    <w:textAlignment w:val="auto"/>
                    <w:rPr>
                      <w:b/>
                      <w:bCs/>
                      <w:color w:val="auto"/>
                      <w:szCs w:val="21"/>
                    </w:rPr>
                  </w:pPr>
                  <w:r>
                    <w:rPr>
                      <w:b/>
                      <w:bCs/>
                      <w:color w:val="auto"/>
                      <w:szCs w:val="21"/>
                    </w:rPr>
                    <w:t>水质类别</w:t>
                  </w:r>
                </w:p>
              </w:tc>
              <w:tc>
                <w:tcPr>
                  <w:tcW w:w="643" w:type="pct"/>
                  <w:tcBorders>
                    <w:tl2br w:val="nil"/>
                    <w:tr2bl w:val="nil"/>
                  </w:tcBorders>
                  <w:vAlign w:val="center"/>
                </w:tcPr>
                <w:p w14:paraId="414F9E47">
                  <w:pPr>
                    <w:keepNext w:val="0"/>
                    <w:keepLines w:val="0"/>
                    <w:pageBreakBefore w:val="0"/>
                    <w:kinsoku/>
                    <w:wordWrap/>
                    <w:overflowPunct/>
                    <w:topLinePunct w:val="0"/>
                    <w:autoSpaceDE/>
                    <w:autoSpaceDN/>
                    <w:bidi w:val="0"/>
                    <w:adjustRightInd/>
                    <w:snapToGrid/>
                    <w:spacing w:line="240" w:lineRule="auto"/>
                    <w:jc w:val="center"/>
                    <w:textAlignment w:val="auto"/>
                    <w:rPr>
                      <w:b/>
                      <w:bCs/>
                      <w:color w:val="auto"/>
                      <w:szCs w:val="21"/>
                    </w:rPr>
                  </w:pPr>
                  <w:r>
                    <w:rPr>
                      <w:b/>
                      <w:bCs/>
                      <w:color w:val="auto"/>
                      <w:szCs w:val="21"/>
                    </w:rPr>
                    <w:t>超标因子</w:t>
                  </w:r>
                </w:p>
              </w:tc>
            </w:tr>
            <w:tr w14:paraId="305869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7" w:type="pct"/>
                  <w:tcBorders>
                    <w:tl2br w:val="nil"/>
                    <w:tr2bl w:val="nil"/>
                  </w:tcBorders>
                  <w:vAlign w:val="center"/>
                </w:tcPr>
                <w:p w14:paraId="7CFFFD60">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auto"/>
                      <w:kern w:val="0"/>
                      <w:szCs w:val="21"/>
                    </w:rPr>
                  </w:pPr>
                  <w:r>
                    <w:rPr>
                      <w:color w:val="auto"/>
                      <w:kern w:val="0"/>
                      <w:szCs w:val="21"/>
                    </w:rPr>
                    <w:t>1</w:t>
                  </w:r>
                </w:p>
              </w:tc>
              <w:tc>
                <w:tcPr>
                  <w:tcW w:w="674" w:type="pct"/>
                  <w:tcBorders>
                    <w:tl2br w:val="nil"/>
                    <w:tr2bl w:val="nil"/>
                  </w:tcBorders>
                  <w:vAlign w:val="center"/>
                </w:tcPr>
                <w:p w14:paraId="0DEF748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eastAsia="宋体"/>
                      <w:color w:val="auto"/>
                      <w:kern w:val="0"/>
                      <w:szCs w:val="21"/>
                      <w:lang w:val="en-US" w:eastAsia="zh-CN"/>
                    </w:rPr>
                  </w:pPr>
                  <w:r>
                    <w:rPr>
                      <w:rFonts w:hint="eastAsia"/>
                      <w:color w:val="auto"/>
                      <w:kern w:val="0"/>
                      <w:szCs w:val="21"/>
                      <w:lang w:val="en-US" w:eastAsia="zh-CN"/>
                    </w:rPr>
                    <w:t>肖江</w:t>
                  </w:r>
                </w:p>
              </w:tc>
              <w:tc>
                <w:tcPr>
                  <w:tcW w:w="2230" w:type="pct"/>
                  <w:tcBorders>
                    <w:tl2br w:val="nil"/>
                    <w:tr2bl w:val="nil"/>
                  </w:tcBorders>
                  <w:vAlign w:val="center"/>
                </w:tcPr>
                <w:p w14:paraId="0F3FA19A">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auto"/>
                      <w:kern w:val="0"/>
                      <w:szCs w:val="21"/>
                    </w:rPr>
                  </w:pPr>
                  <w:r>
                    <w:rPr>
                      <w:rFonts w:hint="eastAsia"/>
                      <w:color w:val="auto"/>
                      <w:kern w:val="0"/>
                      <w:szCs w:val="21"/>
                      <w:lang w:val="en-US" w:eastAsia="zh-CN"/>
                    </w:rPr>
                    <w:t>肖江江口</w:t>
                  </w:r>
                  <w:r>
                    <w:rPr>
                      <w:color w:val="auto"/>
                      <w:kern w:val="0"/>
                      <w:szCs w:val="21"/>
                    </w:rPr>
                    <w:t>（</w:t>
                  </w:r>
                  <w:r>
                    <w:rPr>
                      <w:rFonts w:hint="eastAsia"/>
                      <w:color w:val="auto"/>
                      <w:kern w:val="0"/>
                      <w:szCs w:val="21"/>
                      <w:lang w:val="en-US" w:eastAsia="zh-CN"/>
                    </w:rPr>
                    <w:t>国</w:t>
                  </w:r>
                  <w:r>
                    <w:rPr>
                      <w:color w:val="auto"/>
                      <w:kern w:val="0"/>
                      <w:szCs w:val="21"/>
                    </w:rPr>
                    <w:t>考、</w:t>
                  </w:r>
                  <w:r>
                    <w:rPr>
                      <w:rFonts w:hint="eastAsia"/>
                      <w:color w:val="auto"/>
                      <w:kern w:val="0"/>
                      <w:szCs w:val="21"/>
                      <w:lang w:val="en-US" w:eastAsia="zh-CN"/>
                    </w:rPr>
                    <w:t>国</w:t>
                  </w:r>
                  <w:r>
                    <w:rPr>
                      <w:color w:val="auto"/>
                      <w:kern w:val="0"/>
                      <w:szCs w:val="21"/>
                    </w:rPr>
                    <w:t>控）</w:t>
                  </w:r>
                </w:p>
              </w:tc>
              <w:tc>
                <w:tcPr>
                  <w:tcW w:w="539" w:type="pct"/>
                  <w:tcBorders>
                    <w:tl2br w:val="nil"/>
                    <w:tr2bl w:val="nil"/>
                  </w:tcBorders>
                  <w:vAlign w:val="center"/>
                </w:tcPr>
                <w:p w14:paraId="3A759783">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auto"/>
                      <w:kern w:val="0"/>
                      <w:szCs w:val="21"/>
                    </w:rPr>
                  </w:pPr>
                  <w:r>
                    <w:rPr>
                      <w:rFonts w:hint="default"/>
                      <w:color w:val="auto"/>
                    </w:rPr>
                    <w:t>Ⅲ</w:t>
                  </w:r>
                </w:p>
              </w:tc>
              <w:tc>
                <w:tcPr>
                  <w:tcW w:w="494" w:type="pct"/>
                  <w:tcBorders>
                    <w:tl2br w:val="nil"/>
                    <w:tr2bl w:val="nil"/>
                  </w:tcBorders>
                  <w:vAlign w:val="center"/>
                </w:tcPr>
                <w:p w14:paraId="1F12E3D2">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auto"/>
                      <w:kern w:val="0"/>
                      <w:szCs w:val="21"/>
                    </w:rPr>
                  </w:pPr>
                  <w:r>
                    <w:rPr>
                      <w:rFonts w:hint="default"/>
                      <w:color w:val="auto"/>
                    </w:rPr>
                    <w:t>Ⅲ</w:t>
                  </w:r>
                </w:p>
              </w:tc>
              <w:tc>
                <w:tcPr>
                  <w:tcW w:w="643" w:type="pct"/>
                  <w:tcBorders>
                    <w:tl2br w:val="nil"/>
                    <w:tr2bl w:val="nil"/>
                  </w:tcBorders>
                  <w:vAlign w:val="center"/>
                </w:tcPr>
                <w:p w14:paraId="253F91FE">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auto"/>
                      <w:kern w:val="0"/>
                      <w:szCs w:val="21"/>
                    </w:rPr>
                  </w:pPr>
                  <w:r>
                    <w:rPr>
                      <w:color w:val="auto"/>
                      <w:kern w:val="0"/>
                      <w:szCs w:val="21"/>
                    </w:rPr>
                    <w:t>/</w:t>
                  </w:r>
                </w:p>
              </w:tc>
            </w:tr>
          </w:tbl>
          <w:p w14:paraId="5719691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snapToGrid w:val="0"/>
                <w:color w:val="auto"/>
                <w:sz w:val="24"/>
              </w:rPr>
            </w:pPr>
            <w:r>
              <w:rPr>
                <w:rFonts w:hint="eastAsia"/>
                <w:color w:val="auto"/>
                <w:sz w:val="24"/>
                <w:lang w:val="en-US" w:eastAsia="zh-CN"/>
              </w:rPr>
              <w:t>根据</w:t>
            </w:r>
            <w:r>
              <w:rPr>
                <w:rFonts w:hint="eastAsia"/>
                <w:color w:val="auto"/>
                <w:sz w:val="24"/>
              </w:rPr>
              <w:t>江西省宜春生态环境监测中心</w:t>
            </w:r>
            <w:r>
              <w:rPr>
                <w:rFonts w:hint="default"/>
                <w:color w:val="auto"/>
                <w:sz w:val="24"/>
              </w:rPr>
              <w:t>2025</w:t>
            </w:r>
            <w:r>
              <w:rPr>
                <w:rFonts w:hint="eastAsia"/>
                <w:color w:val="auto"/>
                <w:sz w:val="24"/>
              </w:rPr>
              <w:t>年</w:t>
            </w:r>
            <w:r>
              <w:rPr>
                <w:rFonts w:hint="default"/>
                <w:color w:val="auto"/>
                <w:sz w:val="24"/>
              </w:rPr>
              <w:t>7</w:t>
            </w:r>
            <w:r>
              <w:rPr>
                <w:rFonts w:hint="eastAsia"/>
                <w:color w:val="auto"/>
                <w:sz w:val="24"/>
              </w:rPr>
              <w:t>月</w:t>
            </w:r>
            <w:r>
              <w:rPr>
                <w:rFonts w:hint="eastAsia"/>
                <w:color w:val="auto"/>
                <w:sz w:val="24"/>
                <w:lang w:val="en-US" w:eastAsia="zh-CN"/>
              </w:rPr>
              <w:t>对</w:t>
            </w:r>
            <w:r>
              <w:rPr>
                <w:rFonts w:hint="eastAsia" w:cs="Times New Roman"/>
                <w:spacing w:val="-1"/>
                <w:sz w:val="24"/>
                <w:szCs w:val="24"/>
                <w:lang w:val="en-US" w:eastAsia="zh-CN"/>
              </w:rPr>
              <w:t>肖</w:t>
            </w:r>
            <w:r>
              <w:rPr>
                <w:rFonts w:hint="eastAsia" w:ascii="Times New Roman" w:hAnsi="Times New Roman" w:cs="Times New Roman"/>
                <w:spacing w:val="-1"/>
                <w:sz w:val="24"/>
                <w:szCs w:val="24"/>
                <w:lang w:val="en-US" w:eastAsia="zh-CN"/>
              </w:rPr>
              <w:t>江</w:t>
            </w:r>
            <w:r>
              <w:rPr>
                <w:rFonts w:hint="eastAsia" w:cs="Times New Roman"/>
                <w:spacing w:val="-1"/>
                <w:sz w:val="24"/>
                <w:szCs w:val="24"/>
                <w:lang w:val="en-US" w:eastAsia="zh-CN"/>
              </w:rPr>
              <w:t>江口</w:t>
            </w:r>
            <w:r>
              <w:rPr>
                <w:rFonts w:hint="eastAsia" w:ascii="Times New Roman" w:hAnsi="Times New Roman" w:eastAsia="宋体" w:cs="Times New Roman"/>
                <w:sz w:val="24"/>
                <w:lang w:val="en-US" w:eastAsia="zh-CN"/>
              </w:rPr>
              <w:t>断面水质监测结果，监测断面</w:t>
            </w:r>
            <w:r>
              <w:rPr>
                <w:rFonts w:hint="default" w:ascii="Times New Roman" w:hAnsi="Times New Roman" w:eastAsia="宋体" w:cs="Times New Roman"/>
                <w:sz w:val="24"/>
              </w:rPr>
              <w:t>各项污</w:t>
            </w:r>
            <w:r>
              <w:rPr>
                <w:rFonts w:hint="default" w:ascii="Times New Roman" w:hAnsi="Times New Roman" w:cs="Times New Roman"/>
                <w:sz w:val="24"/>
              </w:rPr>
              <w:t>染物指标均可以满足《地表水环境质量标准》（</w:t>
            </w:r>
            <w:r>
              <w:rPr>
                <w:rFonts w:hint="default" w:ascii="Times New Roman" w:hAnsi="Times New Roman" w:eastAsia="Times New Roman" w:cs="Times New Roman"/>
                <w:sz w:val="24"/>
              </w:rPr>
              <w:t>GB3838—2002</w:t>
            </w:r>
            <w:r>
              <w:rPr>
                <w:rFonts w:hint="default" w:ascii="Times New Roman" w:hAnsi="Times New Roman" w:cs="Times New Roman"/>
                <w:sz w:val="24"/>
              </w:rPr>
              <w:t>）</w:t>
            </w:r>
            <w:r>
              <w:rPr>
                <w:rFonts w:hint="default"/>
                <w:color w:val="auto"/>
                <w:sz w:val="24"/>
                <w:szCs w:val="24"/>
              </w:rPr>
              <w:t>Ⅲ</w:t>
            </w:r>
            <w:r>
              <w:rPr>
                <w:rFonts w:hint="default" w:ascii="Times New Roman" w:hAnsi="Times New Roman" w:cs="Times New Roman"/>
                <w:sz w:val="24"/>
              </w:rPr>
              <w:t>类标准要求，项目所在区域</w:t>
            </w:r>
            <w:r>
              <w:rPr>
                <w:rFonts w:hint="eastAsia"/>
                <w:color w:val="auto"/>
                <w:kern w:val="0"/>
                <w:sz w:val="24"/>
                <w:szCs w:val="24"/>
                <w:lang w:val="en-US" w:eastAsia="zh-CN"/>
              </w:rPr>
              <w:t>肖江江口</w:t>
            </w:r>
            <w:r>
              <w:rPr>
                <w:rFonts w:hint="eastAsia"/>
                <w:kern w:val="0"/>
                <w:sz w:val="24"/>
                <w:szCs w:val="24"/>
                <w:lang w:val="en-US" w:eastAsia="zh-CN"/>
              </w:rPr>
              <w:t>断面</w:t>
            </w:r>
            <w:r>
              <w:rPr>
                <w:rFonts w:hint="default" w:ascii="Times New Roman" w:hAnsi="Times New Roman" w:cs="Times New Roman"/>
                <w:sz w:val="24"/>
              </w:rPr>
              <w:t>水质良好</w:t>
            </w:r>
            <w:r>
              <w:rPr>
                <w:rFonts w:hint="default" w:ascii="Times New Roman" w:hAnsi="Times New Roman" w:cs="Times New Roman"/>
                <w:sz w:val="24"/>
                <w:lang w:eastAsia="zh-CN"/>
              </w:rPr>
              <w:t>。</w:t>
            </w:r>
          </w:p>
          <w:p w14:paraId="5626968F">
            <w:pPr>
              <w:spacing w:line="360" w:lineRule="auto"/>
              <w:ind w:firstLine="482" w:firstLineChars="200"/>
              <w:rPr>
                <w:b/>
                <w:bCs/>
                <w:color w:val="auto"/>
                <w:sz w:val="24"/>
              </w:rPr>
            </w:pPr>
            <w:r>
              <w:rPr>
                <w:b/>
                <w:bCs/>
                <w:color w:val="auto"/>
                <w:sz w:val="24"/>
              </w:rPr>
              <w:t>3、声环境质量现状</w:t>
            </w:r>
          </w:p>
          <w:p w14:paraId="22795A77">
            <w:pPr>
              <w:spacing w:line="360" w:lineRule="auto"/>
              <w:ind w:firstLine="480" w:firstLineChars="200"/>
              <w:rPr>
                <w:color w:val="auto"/>
                <w:sz w:val="24"/>
              </w:rPr>
            </w:pPr>
            <w:r>
              <w:rPr>
                <w:color w:val="auto"/>
                <w:sz w:val="24"/>
              </w:rPr>
              <w:t>根据《建设项目环境影响报告表编制技术指南（污染影响类）（试行）》的相关规定：厂界外周边50m范围内存在声环境保护目标的建设项目，应监测保护目标声环境质量现状并评价达标情况。</w:t>
            </w:r>
            <w:r>
              <w:rPr>
                <w:rFonts w:hint="eastAsia"/>
                <w:color w:val="FF0000"/>
                <w:sz w:val="24"/>
                <w:lang w:val="en-US" w:eastAsia="zh-CN"/>
              </w:rPr>
              <w:t>距</w:t>
            </w:r>
            <w:r>
              <w:rPr>
                <w:color w:val="auto"/>
                <w:sz w:val="24"/>
              </w:rPr>
              <w:t>本项目50m之内无声环境保护目标，因此本次评价无需开展声环境质量现状达标情况评价。</w:t>
            </w:r>
          </w:p>
          <w:p w14:paraId="78A42C79">
            <w:pPr>
              <w:pStyle w:val="48"/>
              <w:ind w:firstLine="482"/>
              <w:rPr>
                <w:b/>
                <w:bCs/>
                <w:color w:val="auto"/>
              </w:rPr>
            </w:pPr>
            <w:r>
              <w:rPr>
                <w:b/>
                <w:bCs/>
                <w:color w:val="auto"/>
              </w:rPr>
              <w:t>4、生态环境</w:t>
            </w:r>
          </w:p>
          <w:p w14:paraId="43CDA395">
            <w:pPr>
              <w:spacing w:line="360" w:lineRule="auto"/>
              <w:ind w:firstLine="480" w:firstLineChars="200"/>
              <w:rPr>
                <w:color w:val="auto"/>
                <w:sz w:val="24"/>
              </w:rPr>
            </w:pPr>
            <w:r>
              <w:rPr>
                <w:color w:val="auto"/>
                <w:sz w:val="24"/>
              </w:rPr>
              <w:t>本</w:t>
            </w:r>
            <w:r>
              <w:rPr>
                <w:rFonts w:hint="eastAsia"/>
                <w:color w:val="auto"/>
                <w:sz w:val="24"/>
                <w:lang w:val="en-US" w:eastAsia="zh-CN"/>
              </w:rPr>
              <w:t>技改</w:t>
            </w:r>
            <w:r>
              <w:rPr>
                <w:color w:val="auto"/>
                <w:sz w:val="24"/>
              </w:rPr>
              <w:t>项目位于</w:t>
            </w:r>
            <w:r>
              <w:rPr>
                <w:rFonts w:hint="default" w:ascii="Times New Roman" w:hAnsi="Times New Roman" w:eastAsia="宋体" w:cs="Times New Roman"/>
                <w:color w:val="auto"/>
                <w:kern w:val="24"/>
                <w:sz w:val="24"/>
                <w:szCs w:val="24"/>
                <w:lang w:bidi="ar"/>
              </w:rPr>
              <w:t>江西省宜春市高安市八景镇江西高安大北农饲料有限公司</w:t>
            </w:r>
            <w:r>
              <w:rPr>
                <w:rFonts w:hint="eastAsia" w:ascii="Times New Roman" w:hAnsi="Times New Roman" w:eastAsia="宋体" w:cs="Times New Roman"/>
                <w:color w:val="auto"/>
                <w:kern w:val="24"/>
                <w:sz w:val="24"/>
                <w:szCs w:val="24"/>
                <w:lang w:val="en-US" w:eastAsia="zh-CN" w:bidi="ar"/>
              </w:rPr>
              <w:t>内</w:t>
            </w:r>
            <w:r>
              <w:rPr>
                <w:color w:val="auto"/>
                <w:sz w:val="24"/>
              </w:rPr>
              <w:t>，建设项目不涉及生态环境保护目标，项目周边无风景名胜区和文物古迹等特殊保护对象。</w:t>
            </w:r>
          </w:p>
          <w:p w14:paraId="7E20CED0">
            <w:pPr>
              <w:pStyle w:val="48"/>
              <w:ind w:firstLine="482"/>
              <w:rPr>
                <w:b/>
                <w:bCs/>
                <w:color w:val="auto"/>
              </w:rPr>
            </w:pPr>
            <w:r>
              <w:rPr>
                <w:rFonts w:hint="eastAsia"/>
                <w:b/>
                <w:bCs/>
                <w:color w:val="auto"/>
              </w:rPr>
              <w:t>5</w:t>
            </w:r>
            <w:r>
              <w:rPr>
                <w:b/>
                <w:bCs/>
                <w:color w:val="auto"/>
              </w:rPr>
              <w:t>、土壤环境</w:t>
            </w:r>
          </w:p>
          <w:p w14:paraId="03B022AC">
            <w:pPr>
              <w:spacing w:line="360" w:lineRule="auto"/>
              <w:ind w:firstLine="480" w:firstLineChars="200"/>
              <w:rPr>
                <w:color w:val="auto"/>
                <w:kern w:val="0"/>
                <w:sz w:val="24"/>
                <w:lang w:bidi="ar"/>
              </w:rPr>
            </w:pPr>
            <w:r>
              <w:rPr>
                <w:color w:val="auto"/>
                <w:kern w:val="0"/>
                <w:sz w:val="24"/>
                <w:lang w:bidi="ar"/>
              </w:rPr>
              <w:t>根据《建设项目环境影响报告表编制技术指南（污染影响类）（试行）》的相关规定：原则上不开展土壤环境质量现状调查，建设项目存在土壤、地下水环境污染途径的，应结合污染源、保护目标分布情况开展现状调查以留作背景值。</w:t>
            </w:r>
            <w:r>
              <w:rPr>
                <w:rFonts w:hint="eastAsia"/>
                <w:color w:val="auto"/>
                <w:kern w:val="0"/>
                <w:sz w:val="24"/>
                <w:lang w:val="en-US" w:eastAsia="zh-CN" w:bidi="ar"/>
              </w:rPr>
              <w:t>本次技改</w:t>
            </w:r>
            <w:r>
              <w:rPr>
                <w:color w:val="auto"/>
                <w:kern w:val="0"/>
                <w:sz w:val="24"/>
                <w:lang w:bidi="ar"/>
              </w:rPr>
              <w:t>项目</w:t>
            </w:r>
            <w:r>
              <w:rPr>
                <w:rFonts w:hint="eastAsia"/>
                <w:color w:val="auto"/>
                <w:kern w:val="0"/>
                <w:sz w:val="24"/>
                <w:lang w:val="en-US" w:eastAsia="zh-CN" w:bidi="ar"/>
              </w:rPr>
              <w:t>依托现有项目锅炉房进行建造，地面已</w:t>
            </w:r>
            <w:r>
              <w:rPr>
                <w:color w:val="auto"/>
                <w:kern w:val="0"/>
                <w:sz w:val="24"/>
                <w:lang w:bidi="ar"/>
              </w:rPr>
              <w:t>采用了防腐防渗措施，原则上不会对土壤造成污染，且</w:t>
            </w:r>
            <w:r>
              <w:rPr>
                <w:rFonts w:hint="eastAsia"/>
                <w:color w:val="auto"/>
                <w:kern w:val="0"/>
                <w:sz w:val="24"/>
                <w:lang w:val="en-US" w:eastAsia="zh-CN" w:bidi="ar"/>
              </w:rPr>
              <w:t>5</w:t>
            </w:r>
            <w:r>
              <w:rPr>
                <w:color w:val="auto"/>
                <w:kern w:val="0"/>
                <w:sz w:val="24"/>
                <w:lang w:bidi="ar"/>
              </w:rPr>
              <w:t>0m范围内无敏感目标；根据《环境影响评价技术导则土壤环境（试行）》（HJ964-2018），项目为Ⅳ类建设项目，故本项目可不开展土壤环境质量现状调查。</w:t>
            </w:r>
          </w:p>
          <w:p w14:paraId="499F8149">
            <w:pPr>
              <w:pStyle w:val="48"/>
              <w:ind w:firstLine="482"/>
              <w:rPr>
                <w:b/>
                <w:bCs/>
                <w:color w:val="auto"/>
              </w:rPr>
            </w:pPr>
            <w:r>
              <w:rPr>
                <w:b/>
                <w:bCs/>
                <w:color w:val="auto"/>
              </w:rPr>
              <w:t>6、地下水环境</w:t>
            </w:r>
          </w:p>
          <w:p w14:paraId="262113E5">
            <w:pPr>
              <w:pStyle w:val="37"/>
              <w:ind w:firstLine="480"/>
              <w:jc w:val="left"/>
              <w:rPr>
                <w:rFonts w:ascii="Times New Roman" w:hAnsi="Times New Roman" w:cs="Times New Roman"/>
                <w:color w:val="auto"/>
                <w:lang w:val="en-GB"/>
              </w:rPr>
            </w:pPr>
            <w:r>
              <w:rPr>
                <w:rFonts w:hint="eastAsia"/>
                <w:color w:val="auto"/>
                <w:kern w:val="0"/>
                <w:sz w:val="24"/>
                <w:lang w:val="en-US" w:eastAsia="zh-CN" w:bidi="ar"/>
              </w:rPr>
              <w:t>本次技改</w:t>
            </w:r>
            <w:r>
              <w:rPr>
                <w:color w:val="auto"/>
                <w:kern w:val="0"/>
                <w:sz w:val="24"/>
                <w:lang w:bidi="ar"/>
              </w:rPr>
              <w:t>项目</w:t>
            </w:r>
            <w:r>
              <w:rPr>
                <w:rFonts w:hint="eastAsia"/>
                <w:color w:val="auto"/>
                <w:kern w:val="0"/>
                <w:sz w:val="24"/>
                <w:lang w:val="en-US" w:eastAsia="zh-CN" w:bidi="ar"/>
              </w:rPr>
              <w:t>依托现有项目锅炉房进行建造，锅炉地面</w:t>
            </w:r>
            <w:r>
              <w:rPr>
                <w:rFonts w:ascii="Times New Roman" w:hAnsi="Times New Roman" w:cs="Times New Roman"/>
                <w:color w:val="auto"/>
              </w:rPr>
              <w:t>均采用了防腐防渗措施，原则上不会对地下水造成污染；</w:t>
            </w:r>
            <w:r>
              <w:rPr>
                <w:rFonts w:ascii="Times New Roman" w:hAnsi="Times New Roman" w:cs="Times New Roman"/>
                <w:color w:val="auto"/>
                <w:szCs w:val="24"/>
              </w:rPr>
              <w:t>根据《环境影响评价技术导则 地下水环境》（HJ610-2016），项目为Ⅳ类建设项目，故本项目</w:t>
            </w:r>
            <w:r>
              <w:rPr>
                <w:rFonts w:ascii="Times New Roman" w:hAnsi="Times New Roman" w:cs="Times New Roman"/>
                <w:color w:val="auto"/>
              </w:rPr>
              <w:t>可不开展地下水环境质量现状调查，鉴于项目不以地下水作为供水水源，采取上述措施后，预计项目的建设对周围地下水环境影响不大。</w:t>
            </w:r>
          </w:p>
          <w:p w14:paraId="6E114214">
            <w:pPr>
              <w:pStyle w:val="37"/>
              <w:keepNext w:val="0"/>
              <w:keepLines w:val="0"/>
              <w:pageBreakBefore w:val="0"/>
              <w:widowControl w:val="0"/>
              <w:kinsoku/>
              <w:wordWrap/>
              <w:overflowPunct/>
              <w:topLinePunct w:val="0"/>
              <w:autoSpaceDE w:val="0"/>
              <w:autoSpaceDN w:val="0"/>
              <w:bidi w:val="0"/>
              <w:adjustRightInd w:val="0"/>
              <w:snapToGrid/>
              <w:ind w:firstLine="480" w:firstLineChars="200"/>
              <w:jc w:val="left"/>
              <w:textAlignment w:val="auto"/>
              <w:rPr>
                <w:rFonts w:hint="eastAsia" w:ascii="Times New Roman" w:hAnsi="Times New Roman" w:eastAsia="宋体" w:cs="Times New Roman"/>
                <w:b/>
                <w:szCs w:val="24"/>
                <w:lang w:val="en-US" w:eastAsia="zh-CN"/>
              </w:rPr>
            </w:pPr>
            <w:r>
              <w:rPr>
                <w:rFonts w:ascii="Times New Roman" w:hAnsi="Times New Roman" w:cs="Times New Roman"/>
                <w:color w:val="auto"/>
                <w:lang w:val="en-GB"/>
              </w:rPr>
              <w:t>综合以上分析可知</w:t>
            </w:r>
            <w:r>
              <w:rPr>
                <w:rFonts w:ascii="Times New Roman" w:hAnsi="Times New Roman" w:cs="Times New Roman"/>
                <w:color w:val="auto"/>
              </w:rPr>
              <w:t>，项目选址周边环境空气质量、地表水环境质量、声环境质量均符合功能区划的要求</w:t>
            </w:r>
            <w:r>
              <w:rPr>
                <w:rFonts w:hint="eastAsia" w:ascii="Times New Roman" w:hAnsi="Times New Roman" w:cs="Times New Roman"/>
                <w:color w:val="auto"/>
                <w:lang w:eastAsia="zh-CN"/>
              </w:rPr>
              <w:t>。</w:t>
            </w:r>
          </w:p>
        </w:tc>
      </w:tr>
      <w:tr w14:paraId="0B32A2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5" w:type="pct"/>
            <w:vAlign w:val="center"/>
          </w:tcPr>
          <w:p w14:paraId="2F79AE7D">
            <w:pPr>
              <w:adjustRightInd w:val="0"/>
              <w:snapToGrid w:val="0"/>
              <w:jc w:val="center"/>
              <w:rPr>
                <w:rFonts w:ascii="宋体" w:hAnsi="宋体" w:cs="宋体"/>
                <w:kern w:val="0"/>
                <w:szCs w:val="21"/>
              </w:rPr>
            </w:pPr>
            <w:r>
              <w:rPr>
                <w:rFonts w:hint="eastAsia" w:ascii="宋体" w:hAnsi="宋体" w:cs="宋体"/>
                <w:kern w:val="0"/>
                <w:szCs w:val="21"/>
              </w:rPr>
              <w:t>环境</w:t>
            </w:r>
          </w:p>
          <w:p w14:paraId="67887F18">
            <w:pPr>
              <w:adjustRightInd w:val="0"/>
              <w:snapToGrid w:val="0"/>
              <w:jc w:val="center"/>
              <w:rPr>
                <w:rFonts w:ascii="宋体" w:hAnsi="宋体" w:cs="宋体"/>
                <w:kern w:val="0"/>
                <w:szCs w:val="21"/>
              </w:rPr>
            </w:pPr>
            <w:r>
              <w:rPr>
                <w:rFonts w:hint="eastAsia" w:ascii="宋体" w:hAnsi="宋体" w:cs="宋体"/>
                <w:kern w:val="0"/>
                <w:szCs w:val="21"/>
              </w:rPr>
              <w:t>保护</w:t>
            </w:r>
          </w:p>
          <w:p w14:paraId="7A746431">
            <w:pPr>
              <w:adjustRightInd w:val="0"/>
              <w:snapToGrid w:val="0"/>
              <w:jc w:val="center"/>
              <w:rPr>
                <w:rFonts w:ascii="宋体" w:hAnsi="宋体" w:cs="宋体"/>
                <w:kern w:val="0"/>
                <w:szCs w:val="21"/>
              </w:rPr>
            </w:pPr>
            <w:r>
              <w:rPr>
                <w:rFonts w:hint="eastAsia" w:ascii="宋体" w:hAnsi="宋体" w:cs="宋体"/>
                <w:kern w:val="0"/>
                <w:szCs w:val="21"/>
              </w:rPr>
              <w:t>目标</w:t>
            </w:r>
          </w:p>
        </w:tc>
        <w:tc>
          <w:tcPr>
            <w:tcW w:w="4764" w:type="pct"/>
            <w:vAlign w:val="center"/>
          </w:tcPr>
          <w:p w14:paraId="0B078FBA">
            <w:pPr>
              <w:adjustRightInd w:val="0"/>
              <w:snapToGrid w:val="0"/>
              <w:spacing w:line="360" w:lineRule="auto"/>
              <w:ind w:firstLine="482" w:firstLineChars="200"/>
              <w:rPr>
                <w:b/>
                <w:bCs/>
                <w:color w:val="auto"/>
              </w:rPr>
            </w:pPr>
            <w:r>
              <w:rPr>
                <w:rFonts w:hint="eastAsia" w:ascii="宋体" w:hAnsi="宋体" w:cs="宋体"/>
                <w:b/>
                <w:bCs/>
                <w:color w:val="auto"/>
                <w:kern w:val="0"/>
                <w:sz w:val="24"/>
              </w:rPr>
              <w:t>1、环境保护目标</w:t>
            </w:r>
          </w:p>
          <w:p w14:paraId="59C6FD78">
            <w:pPr>
              <w:pStyle w:val="9"/>
              <w:autoSpaceDE/>
              <w:autoSpaceDN/>
              <w:adjustRightInd/>
              <w:spacing w:line="240" w:lineRule="auto"/>
              <w:ind w:left="0" w:firstLine="0"/>
              <w:jc w:val="center"/>
              <w:textAlignment w:val="auto"/>
              <w:rPr>
                <w:b/>
                <w:bCs/>
                <w:color w:val="auto"/>
                <w:kern w:val="2"/>
                <w:szCs w:val="24"/>
              </w:rPr>
            </w:pPr>
            <w:r>
              <w:rPr>
                <w:b/>
                <w:bCs/>
                <w:color w:val="auto"/>
                <w:kern w:val="2"/>
                <w:szCs w:val="24"/>
              </w:rPr>
              <w:t>表3-</w:t>
            </w:r>
            <w:r>
              <w:rPr>
                <w:rFonts w:hint="eastAsia"/>
                <w:b/>
                <w:bCs/>
                <w:color w:val="auto"/>
                <w:kern w:val="2"/>
                <w:szCs w:val="24"/>
                <w:lang w:val="en-US" w:eastAsia="zh-CN"/>
              </w:rPr>
              <w:t>3</w:t>
            </w:r>
            <w:r>
              <w:rPr>
                <w:rFonts w:hint="eastAsia"/>
                <w:b/>
                <w:bCs/>
                <w:color w:val="auto"/>
                <w:kern w:val="2"/>
                <w:szCs w:val="24"/>
              </w:rPr>
              <w:t xml:space="preserve"> </w:t>
            </w:r>
            <w:r>
              <w:rPr>
                <w:b/>
                <w:bCs/>
                <w:color w:val="auto"/>
                <w:kern w:val="2"/>
                <w:szCs w:val="24"/>
              </w:rPr>
              <w:t>本项目环境保护目标一览表</w:t>
            </w:r>
          </w:p>
          <w:tbl>
            <w:tblPr>
              <w:tblStyle w:val="28"/>
              <w:tblW w:w="4998"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14"/>
              <w:gridCol w:w="893"/>
              <w:gridCol w:w="818"/>
              <w:gridCol w:w="1065"/>
              <w:gridCol w:w="829"/>
              <w:gridCol w:w="1067"/>
              <w:gridCol w:w="1041"/>
              <w:gridCol w:w="2089"/>
            </w:tblGrid>
            <w:tr w14:paraId="257F2CB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52" w:type="dxa"/>
                  <w:vMerge w:val="restart"/>
                  <w:vAlign w:val="center"/>
                </w:tcPr>
                <w:p w14:paraId="33839A40">
                  <w:pPr>
                    <w:pStyle w:val="17"/>
                    <w:spacing w:line="0" w:lineRule="atLeast"/>
                    <w:jc w:val="center"/>
                    <w:rPr>
                      <w:rFonts w:ascii="Times New Roman" w:hAnsi="Times New Roman"/>
                      <w:b/>
                      <w:bCs/>
                      <w:color w:val="auto"/>
                      <w:szCs w:val="21"/>
                    </w:rPr>
                  </w:pPr>
                  <w:r>
                    <w:rPr>
                      <w:rFonts w:ascii="Times New Roman" w:hAnsi="Times New Roman"/>
                      <w:b/>
                      <w:bCs/>
                      <w:color w:val="000000" w:themeColor="text1"/>
                      <w:szCs w:val="21"/>
                      <w14:textFill>
                        <w14:solidFill>
                          <w14:schemeClr w14:val="tx1"/>
                        </w14:solidFill>
                      </w14:textFill>
                    </w:rPr>
                    <w:t>环境要素</w:t>
                  </w:r>
                </w:p>
              </w:tc>
              <w:tc>
                <w:tcPr>
                  <w:tcW w:w="1591" w:type="dxa"/>
                  <w:gridSpan w:val="2"/>
                  <w:vAlign w:val="center"/>
                </w:tcPr>
                <w:p w14:paraId="326CB01A">
                  <w:pPr>
                    <w:pStyle w:val="17"/>
                    <w:spacing w:line="0" w:lineRule="atLeast"/>
                    <w:jc w:val="center"/>
                    <w:rPr>
                      <w:rFonts w:ascii="Times New Roman" w:hAnsi="Times New Roman"/>
                      <w:b/>
                      <w:bCs/>
                      <w:color w:val="auto"/>
                      <w:szCs w:val="21"/>
                    </w:rPr>
                  </w:pPr>
                  <w:r>
                    <w:rPr>
                      <w:rFonts w:ascii="Times New Roman" w:hAnsi="Times New Roman"/>
                      <w:b/>
                      <w:bCs/>
                      <w:color w:val="000000" w:themeColor="text1"/>
                      <w:szCs w:val="21"/>
                      <w14:textFill>
                        <w14:solidFill>
                          <w14:schemeClr w14:val="tx1"/>
                        </w14:solidFill>
                      </w14:textFill>
                    </w:rPr>
                    <w:t>坐标</w:t>
                  </w:r>
                </w:p>
              </w:tc>
              <w:tc>
                <w:tcPr>
                  <w:tcW w:w="1116" w:type="dxa"/>
                  <w:vMerge w:val="restart"/>
                  <w:vAlign w:val="center"/>
                </w:tcPr>
                <w:p w14:paraId="666652F3">
                  <w:pPr>
                    <w:pStyle w:val="17"/>
                    <w:spacing w:line="0" w:lineRule="atLeast"/>
                    <w:jc w:val="center"/>
                    <w:rPr>
                      <w:rFonts w:ascii="Times New Roman" w:hAnsi="Times New Roman"/>
                      <w:b/>
                      <w:bCs/>
                      <w:color w:val="auto"/>
                      <w:szCs w:val="21"/>
                    </w:rPr>
                  </w:pPr>
                  <w:r>
                    <w:rPr>
                      <w:rFonts w:ascii="Times New Roman" w:hAnsi="Times New Roman"/>
                      <w:b/>
                      <w:bCs/>
                      <w:color w:val="000000" w:themeColor="text1"/>
                      <w:szCs w:val="21"/>
                      <w14:textFill>
                        <w14:solidFill>
                          <w14:schemeClr w14:val="tx1"/>
                        </w14:solidFill>
                      </w14:textFill>
                    </w:rPr>
                    <w:t>对象名称</w:t>
                  </w:r>
                </w:p>
              </w:tc>
              <w:tc>
                <w:tcPr>
                  <w:tcW w:w="872" w:type="dxa"/>
                  <w:vMerge w:val="restart"/>
                  <w:vAlign w:val="center"/>
                </w:tcPr>
                <w:p w14:paraId="007F79DC">
                  <w:pPr>
                    <w:pStyle w:val="17"/>
                    <w:spacing w:line="0" w:lineRule="atLeast"/>
                    <w:jc w:val="center"/>
                    <w:rPr>
                      <w:rFonts w:ascii="Times New Roman" w:hAnsi="Times New Roman"/>
                      <w:b/>
                      <w:bCs/>
                      <w:color w:val="auto"/>
                      <w:szCs w:val="21"/>
                    </w:rPr>
                  </w:pPr>
                  <w:r>
                    <w:rPr>
                      <w:rFonts w:ascii="Times New Roman" w:hAnsi="Times New Roman"/>
                      <w:b/>
                      <w:bCs/>
                      <w:color w:val="000000" w:themeColor="text1"/>
                      <w:szCs w:val="21"/>
                      <w14:textFill>
                        <w14:solidFill>
                          <w14:schemeClr w14:val="tx1"/>
                        </w14:solidFill>
                      </w14:textFill>
                    </w:rPr>
                    <w:t>方位</w:t>
                  </w:r>
                </w:p>
              </w:tc>
              <w:tc>
                <w:tcPr>
                  <w:tcW w:w="1118" w:type="dxa"/>
                  <w:vMerge w:val="restart"/>
                  <w:vAlign w:val="center"/>
                </w:tcPr>
                <w:p w14:paraId="7070434B">
                  <w:pPr>
                    <w:pStyle w:val="17"/>
                    <w:spacing w:line="0" w:lineRule="atLeast"/>
                    <w:jc w:val="center"/>
                    <w:rPr>
                      <w:rFonts w:ascii="Times New Roman" w:hAnsi="Times New Roman"/>
                      <w:b/>
                      <w:bCs/>
                      <w:color w:val="auto"/>
                      <w:szCs w:val="21"/>
                    </w:rPr>
                  </w:pPr>
                  <w:r>
                    <w:rPr>
                      <w:rFonts w:ascii="Times New Roman" w:hAnsi="Times New Roman"/>
                      <w:b/>
                      <w:bCs/>
                      <w:color w:val="000000" w:themeColor="text1"/>
                      <w:szCs w:val="21"/>
                      <w14:textFill>
                        <w14:solidFill>
                          <w14:schemeClr w14:val="tx1"/>
                        </w14:solidFill>
                      </w14:textFill>
                    </w:rPr>
                    <w:t>相对厂界（m）</w:t>
                  </w:r>
                </w:p>
              </w:tc>
              <w:tc>
                <w:tcPr>
                  <w:tcW w:w="1091" w:type="dxa"/>
                  <w:vMerge w:val="restart"/>
                  <w:vAlign w:val="center"/>
                </w:tcPr>
                <w:p w14:paraId="6BEC69B0">
                  <w:pPr>
                    <w:pStyle w:val="17"/>
                    <w:spacing w:line="0" w:lineRule="atLeast"/>
                    <w:jc w:val="center"/>
                    <w:rPr>
                      <w:rFonts w:ascii="Times New Roman" w:hAnsi="Times New Roman"/>
                      <w:b/>
                      <w:bCs/>
                      <w:color w:val="auto"/>
                      <w:szCs w:val="21"/>
                    </w:rPr>
                  </w:pPr>
                  <w:r>
                    <w:rPr>
                      <w:rFonts w:ascii="Times New Roman" w:hAnsi="Times New Roman"/>
                      <w:b/>
                      <w:bCs/>
                      <w:color w:val="000000" w:themeColor="text1"/>
                      <w:szCs w:val="21"/>
                      <w14:textFill>
                        <w14:solidFill>
                          <w14:schemeClr w14:val="tx1"/>
                        </w14:solidFill>
                      </w14:textFill>
                    </w:rPr>
                    <w:t>规模（人）</w:t>
                  </w:r>
                </w:p>
              </w:tc>
              <w:tc>
                <w:tcPr>
                  <w:tcW w:w="1976" w:type="dxa"/>
                  <w:vMerge w:val="restart"/>
                  <w:vAlign w:val="center"/>
                </w:tcPr>
                <w:p w14:paraId="0AE99EA4">
                  <w:pPr>
                    <w:pStyle w:val="17"/>
                    <w:spacing w:line="0" w:lineRule="atLeast"/>
                    <w:jc w:val="center"/>
                    <w:rPr>
                      <w:rFonts w:ascii="Times New Roman" w:hAnsi="Times New Roman"/>
                      <w:b/>
                      <w:bCs/>
                      <w:color w:val="auto"/>
                      <w:szCs w:val="21"/>
                    </w:rPr>
                  </w:pPr>
                  <w:r>
                    <w:rPr>
                      <w:rFonts w:ascii="Times New Roman" w:hAnsi="Times New Roman"/>
                      <w:b/>
                      <w:bCs/>
                      <w:color w:val="000000" w:themeColor="text1"/>
                      <w:szCs w:val="21"/>
                      <w14:textFill>
                        <w14:solidFill>
                          <w14:schemeClr w14:val="tx1"/>
                        </w14:solidFill>
                      </w14:textFill>
                    </w:rPr>
                    <w:t>环境功能</w:t>
                  </w:r>
                </w:p>
              </w:tc>
            </w:tr>
            <w:tr w14:paraId="5675AF3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52" w:type="dxa"/>
                  <w:vMerge w:val="continue"/>
                  <w:vAlign w:val="center"/>
                </w:tcPr>
                <w:p w14:paraId="74ADC957">
                  <w:pPr>
                    <w:pStyle w:val="17"/>
                    <w:spacing w:line="0" w:lineRule="atLeast"/>
                    <w:jc w:val="center"/>
                    <w:rPr>
                      <w:rFonts w:ascii="Times New Roman" w:hAnsi="Times New Roman"/>
                      <w:b/>
                      <w:bCs/>
                      <w:color w:val="auto"/>
                      <w:szCs w:val="21"/>
                    </w:rPr>
                  </w:pPr>
                </w:p>
              </w:tc>
              <w:tc>
                <w:tcPr>
                  <w:tcW w:w="759" w:type="dxa"/>
                  <w:vAlign w:val="center"/>
                </w:tcPr>
                <w:p w14:paraId="6F3EB2AA">
                  <w:pPr>
                    <w:pStyle w:val="17"/>
                    <w:spacing w:line="0" w:lineRule="atLeast"/>
                    <w:jc w:val="center"/>
                    <w:rPr>
                      <w:rFonts w:ascii="Times New Roman" w:hAnsi="Times New Roman"/>
                      <w:b/>
                      <w:bCs/>
                      <w:color w:val="auto"/>
                      <w:szCs w:val="21"/>
                    </w:rPr>
                  </w:pPr>
                  <w:r>
                    <w:rPr>
                      <w:rFonts w:ascii="Times New Roman" w:hAnsi="Times New Roman"/>
                      <w:b/>
                      <w:bCs/>
                      <w:color w:val="000000" w:themeColor="text1"/>
                      <w:szCs w:val="21"/>
                      <w14:textFill>
                        <w14:solidFill>
                          <w14:schemeClr w14:val="tx1"/>
                        </w14:solidFill>
                      </w14:textFill>
                    </w:rPr>
                    <w:t>X</w:t>
                  </w:r>
                </w:p>
              </w:tc>
              <w:tc>
                <w:tcPr>
                  <w:tcW w:w="832" w:type="dxa"/>
                  <w:vAlign w:val="center"/>
                </w:tcPr>
                <w:p w14:paraId="29647A64">
                  <w:pPr>
                    <w:pStyle w:val="17"/>
                    <w:spacing w:line="0" w:lineRule="atLeast"/>
                    <w:jc w:val="center"/>
                    <w:rPr>
                      <w:rFonts w:ascii="Times New Roman" w:hAnsi="Times New Roman"/>
                      <w:b/>
                      <w:bCs/>
                      <w:color w:val="auto"/>
                      <w:szCs w:val="21"/>
                    </w:rPr>
                  </w:pPr>
                  <w:r>
                    <w:rPr>
                      <w:rFonts w:ascii="Times New Roman" w:hAnsi="Times New Roman"/>
                      <w:b/>
                      <w:bCs/>
                      <w:color w:val="000000" w:themeColor="text1"/>
                      <w:szCs w:val="21"/>
                      <w14:textFill>
                        <w14:solidFill>
                          <w14:schemeClr w14:val="tx1"/>
                        </w14:solidFill>
                      </w14:textFill>
                    </w:rPr>
                    <w:t>Y</w:t>
                  </w:r>
                </w:p>
              </w:tc>
              <w:tc>
                <w:tcPr>
                  <w:tcW w:w="1116" w:type="dxa"/>
                  <w:vMerge w:val="continue"/>
                  <w:vAlign w:val="center"/>
                </w:tcPr>
                <w:p w14:paraId="1B59B3C4">
                  <w:pPr>
                    <w:pStyle w:val="17"/>
                    <w:spacing w:line="0" w:lineRule="atLeast"/>
                    <w:jc w:val="center"/>
                    <w:rPr>
                      <w:rFonts w:ascii="Times New Roman" w:hAnsi="Times New Roman"/>
                      <w:b/>
                      <w:bCs/>
                      <w:color w:val="auto"/>
                      <w:szCs w:val="21"/>
                    </w:rPr>
                  </w:pPr>
                </w:p>
              </w:tc>
              <w:tc>
                <w:tcPr>
                  <w:tcW w:w="872" w:type="dxa"/>
                  <w:vMerge w:val="continue"/>
                  <w:vAlign w:val="center"/>
                </w:tcPr>
                <w:p w14:paraId="2469423D">
                  <w:pPr>
                    <w:pStyle w:val="17"/>
                    <w:spacing w:line="0" w:lineRule="atLeast"/>
                    <w:jc w:val="center"/>
                    <w:rPr>
                      <w:rFonts w:ascii="Times New Roman" w:hAnsi="Times New Roman"/>
                      <w:b/>
                      <w:bCs/>
                      <w:color w:val="auto"/>
                      <w:szCs w:val="21"/>
                    </w:rPr>
                  </w:pPr>
                </w:p>
              </w:tc>
              <w:tc>
                <w:tcPr>
                  <w:tcW w:w="1118" w:type="dxa"/>
                  <w:vMerge w:val="continue"/>
                  <w:vAlign w:val="center"/>
                </w:tcPr>
                <w:p w14:paraId="3E7F78FE">
                  <w:pPr>
                    <w:pStyle w:val="17"/>
                    <w:spacing w:line="0" w:lineRule="atLeast"/>
                    <w:jc w:val="center"/>
                    <w:rPr>
                      <w:rFonts w:ascii="Times New Roman" w:hAnsi="Times New Roman"/>
                      <w:b/>
                      <w:bCs/>
                      <w:color w:val="auto"/>
                      <w:szCs w:val="21"/>
                    </w:rPr>
                  </w:pPr>
                </w:p>
              </w:tc>
              <w:tc>
                <w:tcPr>
                  <w:tcW w:w="1091" w:type="dxa"/>
                  <w:vMerge w:val="continue"/>
                  <w:vAlign w:val="center"/>
                </w:tcPr>
                <w:p w14:paraId="755143C9">
                  <w:pPr>
                    <w:pStyle w:val="17"/>
                    <w:spacing w:line="0" w:lineRule="atLeast"/>
                    <w:jc w:val="center"/>
                    <w:rPr>
                      <w:rFonts w:ascii="Times New Roman" w:hAnsi="Times New Roman"/>
                      <w:b/>
                      <w:bCs/>
                      <w:color w:val="auto"/>
                      <w:szCs w:val="21"/>
                    </w:rPr>
                  </w:pPr>
                </w:p>
              </w:tc>
              <w:tc>
                <w:tcPr>
                  <w:tcW w:w="1976" w:type="dxa"/>
                  <w:vMerge w:val="continue"/>
                  <w:vAlign w:val="center"/>
                </w:tcPr>
                <w:p w14:paraId="6D4C9622">
                  <w:pPr>
                    <w:pStyle w:val="17"/>
                    <w:spacing w:line="0" w:lineRule="atLeast"/>
                    <w:jc w:val="center"/>
                    <w:rPr>
                      <w:rFonts w:ascii="Times New Roman" w:hAnsi="Times New Roman"/>
                      <w:b/>
                      <w:bCs/>
                      <w:color w:val="auto"/>
                      <w:szCs w:val="21"/>
                    </w:rPr>
                  </w:pPr>
                </w:p>
              </w:tc>
            </w:tr>
            <w:tr w14:paraId="17B233B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652" w:type="dxa"/>
                  <w:vMerge w:val="restart"/>
                  <w:vAlign w:val="center"/>
                </w:tcPr>
                <w:p w14:paraId="3266287F">
                  <w:pPr>
                    <w:pStyle w:val="17"/>
                    <w:spacing w:line="0" w:lineRule="atLeast"/>
                    <w:jc w:val="center"/>
                    <w:rPr>
                      <w:rFonts w:ascii="Times New Roman" w:hAnsi="Times New Roman"/>
                      <w:color w:val="auto"/>
                      <w:szCs w:val="21"/>
                    </w:rPr>
                  </w:pPr>
                  <w:r>
                    <w:rPr>
                      <w:rFonts w:eastAsia="新宋体"/>
                      <w:bCs/>
                      <w:color w:val="000000" w:themeColor="text1"/>
                      <w:kern w:val="0"/>
                      <w:szCs w:val="21"/>
                      <w:lang w:bidi="ar"/>
                      <w14:textFill>
                        <w14:solidFill>
                          <w14:schemeClr w14:val="tx1"/>
                        </w14:solidFill>
                      </w14:textFill>
                    </w:rPr>
                    <w:t>大气环境</w:t>
                  </w:r>
                </w:p>
              </w:tc>
              <w:tc>
                <w:tcPr>
                  <w:tcW w:w="759" w:type="dxa"/>
                  <w:vAlign w:val="center"/>
                </w:tcPr>
                <w:p w14:paraId="4FB3138B">
                  <w:pPr>
                    <w:spacing w:line="0" w:lineRule="atLeast"/>
                    <w:jc w:val="center"/>
                    <w:rPr>
                      <w:rFonts w:hint="default" w:eastAsia="宋体"/>
                      <w:color w:val="auto"/>
                      <w:szCs w:val="21"/>
                      <w:lang w:val="en-US" w:eastAsia="zh-CN"/>
                    </w:rPr>
                  </w:pPr>
                  <w:r>
                    <w:rPr>
                      <w:rFonts w:hint="eastAsia"/>
                      <w:color w:val="000000" w:themeColor="text1"/>
                      <w:szCs w:val="21"/>
                      <w:lang w:val="en-US" w:eastAsia="zh-CN"/>
                      <w14:textFill>
                        <w14:solidFill>
                          <w14:schemeClr w14:val="tx1"/>
                        </w14:solidFill>
                      </w14:textFill>
                    </w:rPr>
                    <w:t>92.2</w:t>
                  </w:r>
                </w:p>
              </w:tc>
              <w:tc>
                <w:tcPr>
                  <w:tcW w:w="832" w:type="dxa"/>
                  <w:vAlign w:val="center"/>
                </w:tcPr>
                <w:p w14:paraId="4577168D">
                  <w:pPr>
                    <w:spacing w:line="0" w:lineRule="atLeast"/>
                    <w:jc w:val="center"/>
                    <w:rPr>
                      <w:rFonts w:hint="default" w:eastAsia="宋体"/>
                      <w:color w:val="auto"/>
                      <w:szCs w:val="21"/>
                      <w:lang w:val="en-US" w:eastAsia="zh-CN"/>
                    </w:rPr>
                  </w:pPr>
                  <w:r>
                    <w:rPr>
                      <w:rFonts w:hint="eastAsia"/>
                      <w:color w:val="000000" w:themeColor="text1"/>
                      <w:szCs w:val="21"/>
                      <w:lang w:val="en-US" w:eastAsia="zh-CN"/>
                      <w14:textFill>
                        <w14:solidFill>
                          <w14:schemeClr w14:val="tx1"/>
                        </w14:solidFill>
                      </w14:textFill>
                    </w:rPr>
                    <w:t>135.5</w:t>
                  </w:r>
                </w:p>
              </w:tc>
              <w:tc>
                <w:tcPr>
                  <w:tcW w:w="1116" w:type="dxa"/>
                  <w:vAlign w:val="center"/>
                </w:tcPr>
                <w:p w14:paraId="76BCCB42">
                  <w:pPr>
                    <w:pStyle w:val="51"/>
                    <w:spacing w:line="0" w:lineRule="atLeast"/>
                    <w:ind w:firstLine="0" w:firstLineChars="0"/>
                    <w:jc w:val="center"/>
                    <w:rPr>
                      <w:rFonts w:hint="default" w:ascii="Times New Roman" w:hAnsi="Times New Roman" w:eastAsia="宋体"/>
                      <w:color w:val="auto"/>
                      <w:sz w:val="21"/>
                      <w:szCs w:val="21"/>
                      <w:lang w:val="en-US" w:eastAsia="zh-CN"/>
                    </w:rPr>
                  </w:pPr>
                  <w:r>
                    <w:rPr>
                      <w:rFonts w:hint="eastAsia" w:ascii="Times New Roman" w:hAnsi="Times New Roman"/>
                      <w:color w:val="000000" w:themeColor="text1"/>
                      <w:sz w:val="21"/>
                      <w:szCs w:val="21"/>
                      <w:lang w:val="en-US" w:eastAsia="zh-CN"/>
                      <w14:textFill>
                        <w14:solidFill>
                          <w14:schemeClr w14:val="tx1"/>
                        </w14:solidFill>
                      </w14:textFill>
                    </w:rPr>
                    <w:t>果溪村</w:t>
                  </w:r>
                </w:p>
              </w:tc>
              <w:tc>
                <w:tcPr>
                  <w:tcW w:w="872" w:type="dxa"/>
                  <w:vAlign w:val="center"/>
                </w:tcPr>
                <w:p w14:paraId="016CC6CF">
                  <w:pPr>
                    <w:pStyle w:val="51"/>
                    <w:spacing w:line="0" w:lineRule="atLeast"/>
                    <w:ind w:firstLine="0" w:firstLineChars="0"/>
                    <w:jc w:val="center"/>
                    <w:rPr>
                      <w:rFonts w:hint="eastAsia" w:ascii="Times New Roman" w:hAnsi="Times New Roman" w:eastAsia="宋体"/>
                      <w:color w:val="auto"/>
                      <w:sz w:val="21"/>
                      <w:szCs w:val="21"/>
                      <w:lang w:val="en-US" w:eastAsia="zh-CN"/>
                    </w:rPr>
                  </w:pPr>
                  <w:r>
                    <w:rPr>
                      <w:rFonts w:hint="eastAsia" w:ascii="Times New Roman" w:hAnsi="Times New Roman"/>
                      <w:color w:val="000000" w:themeColor="text1"/>
                      <w:sz w:val="21"/>
                      <w:szCs w:val="21"/>
                      <w:lang w:val="en-US" w:eastAsia="zh-CN"/>
                      <w14:textFill>
                        <w14:solidFill>
                          <w14:schemeClr w14:val="tx1"/>
                        </w14:solidFill>
                      </w14:textFill>
                    </w:rPr>
                    <w:t>东北侧</w:t>
                  </w:r>
                </w:p>
              </w:tc>
              <w:tc>
                <w:tcPr>
                  <w:tcW w:w="1118" w:type="dxa"/>
                  <w:vAlign w:val="center"/>
                </w:tcPr>
                <w:p w14:paraId="6629CF3D">
                  <w:pPr>
                    <w:pStyle w:val="51"/>
                    <w:spacing w:line="0" w:lineRule="atLeast"/>
                    <w:ind w:firstLine="0" w:firstLineChars="0"/>
                    <w:jc w:val="center"/>
                    <w:rPr>
                      <w:rFonts w:hint="default" w:ascii="Times New Roman" w:hAnsi="Times New Roman" w:eastAsia="宋体"/>
                      <w:color w:val="auto"/>
                      <w:sz w:val="21"/>
                      <w:szCs w:val="21"/>
                      <w:lang w:val="en-US" w:eastAsia="zh-CN"/>
                    </w:rPr>
                  </w:pPr>
                  <w:r>
                    <w:rPr>
                      <w:rFonts w:hint="eastAsia" w:ascii="Times New Roman" w:hAnsi="Times New Roman"/>
                      <w:color w:val="000000" w:themeColor="text1"/>
                      <w:sz w:val="21"/>
                      <w:szCs w:val="21"/>
                      <w:lang w:val="en-US" w:eastAsia="zh-CN"/>
                      <w14:textFill>
                        <w14:solidFill>
                          <w14:schemeClr w14:val="tx1"/>
                        </w14:solidFill>
                      </w14:textFill>
                    </w:rPr>
                    <w:t>149.7</w:t>
                  </w:r>
                </w:p>
              </w:tc>
              <w:tc>
                <w:tcPr>
                  <w:tcW w:w="1091" w:type="dxa"/>
                  <w:vAlign w:val="center"/>
                </w:tcPr>
                <w:p w14:paraId="3F6F6F11">
                  <w:pPr>
                    <w:pStyle w:val="51"/>
                    <w:spacing w:line="0" w:lineRule="atLeast"/>
                    <w:ind w:firstLine="0" w:firstLineChars="0"/>
                    <w:jc w:val="center"/>
                    <w:rPr>
                      <w:rFonts w:hint="default" w:ascii="Times New Roman" w:hAnsi="Times New Roman" w:eastAsia="宋体"/>
                      <w:color w:val="auto"/>
                      <w:sz w:val="21"/>
                      <w:szCs w:val="21"/>
                      <w:lang w:val="en-US" w:eastAsia="zh-CN"/>
                    </w:rPr>
                  </w:pPr>
                  <w:r>
                    <w:rPr>
                      <w:rFonts w:hint="eastAsia" w:ascii="Times New Roman" w:hAnsi="Times New Roman"/>
                      <w:color w:val="000000" w:themeColor="text1"/>
                      <w:sz w:val="21"/>
                      <w:szCs w:val="21"/>
                      <w:lang w:val="en-US" w:eastAsia="zh-CN"/>
                      <w14:textFill>
                        <w14:solidFill>
                          <w14:schemeClr w14:val="tx1"/>
                        </w14:solidFill>
                      </w14:textFill>
                    </w:rPr>
                    <w:t>120</w:t>
                  </w:r>
                </w:p>
              </w:tc>
              <w:tc>
                <w:tcPr>
                  <w:tcW w:w="1976" w:type="dxa"/>
                  <w:vMerge w:val="restart"/>
                  <w:vAlign w:val="center"/>
                </w:tcPr>
                <w:p w14:paraId="086FB38B">
                  <w:pPr>
                    <w:pStyle w:val="17"/>
                    <w:spacing w:line="0" w:lineRule="atLeast"/>
                    <w:jc w:val="both"/>
                    <w:rPr>
                      <w:rFonts w:ascii="Times New Roman" w:hAnsi="Times New Roman"/>
                      <w:color w:val="auto"/>
                      <w:szCs w:val="21"/>
                    </w:rPr>
                  </w:pPr>
                  <w:r>
                    <w:rPr>
                      <w:rFonts w:ascii="Times New Roman" w:hAnsi="Times New Roman"/>
                      <w:color w:val="000000" w:themeColor="text1"/>
                      <w:kern w:val="0"/>
                      <w:szCs w:val="21"/>
                      <w:lang w:bidi="ar"/>
                      <w14:textFill>
                        <w14:solidFill>
                          <w14:schemeClr w14:val="tx1"/>
                        </w14:solidFill>
                      </w14:textFill>
                    </w:rPr>
                    <w:t>《环境空气质量标准》（GB3095-2012）二级标准</w:t>
                  </w:r>
                </w:p>
              </w:tc>
            </w:tr>
            <w:tr w14:paraId="0E5D2E6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52" w:type="dxa"/>
                  <w:vMerge w:val="continue"/>
                  <w:vAlign w:val="center"/>
                </w:tcPr>
                <w:p w14:paraId="636C5F44">
                  <w:pPr>
                    <w:pStyle w:val="17"/>
                    <w:spacing w:line="0" w:lineRule="atLeast"/>
                    <w:jc w:val="center"/>
                    <w:rPr>
                      <w:rFonts w:ascii="Times New Roman" w:hAnsi="Times New Roman"/>
                      <w:color w:val="auto"/>
                      <w:szCs w:val="21"/>
                    </w:rPr>
                  </w:pPr>
                </w:p>
              </w:tc>
              <w:tc>
                <w:tcPr>
                  <w:tcW w:w="759" w:type="dxa"/>
                  <w:vAlign w:val="center"/>
                </w:tcPr>
                <w:p w14:paraId="3C283810">
                  <w:pPr>
                    <w:spacing w:line="0" w:lineRule="atLeast"/>
                    <w:jc w:val="center"/>
                    <w:rPr>
                      <w:rFonts w:hint="default" w:eastAsia="宋体"/>
                      <w:color w:val="auto"/>
                      <w:szCs w:val="21"/>
                      <w:lang w:val="en-US" w:eastAsia="zh-CN"/>
                    </w:rPr>
                  </w:pPr>
                  <w:r>
                    <w:rPr>
                      <w:rFonts w:hint="eastAsia"/>
                      <w:color w:val="000000" w:themeColor="text1"/>
                      <w:szCs w:val="21"/>
                      <w14:textFill>
                        <w14:solidFill>
                          <w14:schemeClr w14:val="tx1"/>
                        </w14:solidFill>
                      </w14:textFill>
                    </w:rPr>
                    <w:t>-</w:t>
                  </w:r>
                  <w:r>
                    <w:rPr>
                      <w:rFonts w:hint="eastAsia"/>
                      <w:color w:val="000000" w:themeColor="text1"/>
                      <w:szCs w:val="21"/>
                      <w:lang w:val="en-US" w:eastAsia="zh-CN"/>
                      <w14:textFill>
                        <w14:solidFill>
                          <w14:schemeClr w14:val="tx1"/>
                        </w14:solidFill>
                      </w14:textFill>
                    </w:rPr>
                    <w:t>440.5</w:t>
                  </w:r>
                </w:p>
              </w:tc>
              <w:tc>
                <w:tcPr>
                  <w:tcW w:w="832" w:type="dxa"/>
                  <w:vAlign w:val="center"/>
                </w:tcPr>
                <w:p w14:paraId="7D863A99">
                  <w:pPr>
                    <w:spacing w:line="0" w:lineRule="atLeast"/>
                    <w:jc w:val="center"/>
                    <w:rPr>
                      <w:rFonts w:hint="default" w:eastAsia="宋体"/>
                      <w:color w:val="auto"/>
                      <w:szCs w:val="21"/>
                      <w:lang w:val="en-US" w:eastAsia="zh-CN"/>
                    </w:rPr>
                  </w:pPr>
                  <w:r>
                    <w:rPr>
                      <w:rFonts w:hint="eastAsia"/>
                      <w:color w:val="000000" w:themeColor="text1"/>
                      <w:szCs w:val="21"/>
                      <w:lang w:val="en-US" w:eastAsia="zh-CN"/>
                      <w14:textFill>
                        <w14:solidFill>
                          <w14:schemeClr w14:val="tx1"/>
                        </w14:solidFill>
                      </w14:textFill>
                    </w:rPr>
                    <w:t>100.4</w:t>
                  </w:r>
                </w:p>
              </w:tc>
              <w:tc>
                <w:tcPr>
                  <w:tcW w:w="1116" w:type="dxa"/>
                  <w:vAlign w:val="center"/>
                </w:tcPr>
                <w:p w14:paraId="239CFDC8">
                  <w:pPr>
                    <w:pStyle w:val="51"/>
                    <w:spacing w:line="0" w:lineRule="atLeast"/>
                    <w:ind w:firstLine="0" w:firstLineChars="0"/>
                    <w:jc w:val="center"/>
                    <w:rPr>
                      <w:rFonts w:hint="default" w:ascii="Times New Roman" w:hAnsi="Times New Roman" w:eastAsia="宋体"/>
                      <w:color w:val="auto"/>
                      <w:sz w:val="21"/>
                      <w:szCs w:val="21"/>
                      <w:lang w:val="en-US" w:eastAsia="zh-CN" w:bidi="ar"/>
                    </w:rPr>
                  </w:pPr>
                  <w:r>
                    <w:rPr>
                      <w:rFonts w:hint="eastAsia" w:ascii="Times New Roman" w:hAnsi="Times New Roman"/>
                      <w:color w:val="000000" w:themeColor="text1"/>
                      <w:sz w:val="21"/>
                      <w:szCs w:val="21"/>
                      <w:lang w:val="en-US" w:eastAsia="zh-CN" w:bidi="ar"/>
                      <w14:textFill>
                        <w14:solidFill>
                          <w14:schemeClr w14:val="tx1"/>
                        </w14:solidFill>
                      </w14:textFill>
                    </w:rPr>
                    <w:t>南头村</w:t>
                  </w:r>
                </w:p>
              </w:tc>
              <w:tc>
                <w:tcPr>
                  <w:tcW w:w="872" w:type="dxa"/>
                  <w:vAlign w:val="center"/>
                </w:tcPr>
                <w:p w14:paraId="1D8BE826">
                  <w:pPr>
                    <w:pStyle w:val="51"/>
                    <w:spacing w:line="0" w:lineRule="atLeast"/>
                    <w:ind w:firstLine="0" w:firstLineChars="0"/>
                    <w:jc w:val="center"/>
                    <w:rPr>
                      <w:rFonts w:hint="eastAsia" w:ascii="Times New Roman" w:hAnsi="Times New Roman" w:eastAsia="宋体"/>
                      <w:snapToGrid w:val="0"/>
                      <w:color w:val="auto"/>
                      <w:sz w:val="21"/>
                      <w:szCs w:val="21"/>
                      <w:lang w:val="en-US" w:eastAsia="zh-CN"/>
                    </w:rPr>
                  </w:pPr>
                  <w:r>
                    <w:rPr>
                      <w:rFonts w:hint="eastAsia" w:ascii="Times New Roman" w:hAnsi="Times New Roman"/>
                      <w:snapToGrid w:val="0"/>
                      <w:color w:val="000000" w:themeColor="text1"/>
                      <w:sz w:val="21"/>
                      <w:szCs w:val="21"/>
                      <w14:textFill>
                        <w14:solidFill>
                          <w14:schemeClr w14:val="tx1"/>
                        </w14:solidFill>
                      </w14:textFill>
                    </w:rPr>
                    <w:t>西</w:t>
                  </w:r>
                  <w:r>
                    <w:rPr>
                      <w:rFonts w:hint="eastAsia" w:ascii="Times New Roman" w:hAnsi="Times New Roman"/>
                      <w:snapToGrid w:val="0"/>
                      <w:color w:val="000000" w:themeColor="text1"/>
                      <w:sz w:val="21"/>
                      <w:szCs w:val="21"/>
                      <w:lang w:val="en-US" w:eastAsia="zh-CN"/>
                      <w14:textFill>
                        <w14:solidFill>
                          <w14:schemeClr w14:val="tx1"/>
                        </w14:solidFill>
                      </w14:textFill>
                    </w:rPr>
                    <w:t>北</w:t>
                  </w:r>
                </w:p>
              </w:tc>
              <w:tc>
                <w:tcPr>
                  <w:tcW w:w="1118" w:type="dxa"/>
                  <w:vAlign w:val="center"/>
                </w:tcPr>
                <w:p w14:paraId="0694B11C">
                  <w:pPr>
                    <w:pStyle w:val="51"/>
                    <w:spacing w:line="0" w:lineRule="atLeast"/>
                    <w:ind w:firstLine="0" w:firstLineChars="0"/>
                    <w:jc w:val="center"/>
                    <w:rPr>
                      <w:rFonts w:hint="default" w:ascii="Times New Roman" w:hAnsi="Times New Roman" w:eastAsia="宋体"/>
                      <w:snapToGrid w:val="0"/>
                      <w:color w:val="auto"/>
                      <w:sz w:val="21"/>
                      <w:szCs w:val="21"/>
                      <w:lang w:val="en-US" w:eastAsia="zh-CN"/>
                    </w:rPr>
                  </w:pPr>
                  <w:r>
                    <w:rPr>
                      <w:rFonts w:hint="eastAsia" w:ascii="Times New Roman" w:hAnsi="Times New Roman"/>
                      <w:snapToGrid w:val="0"/>
                      <w:color w:val="000000" w:themeColor="text1"/>
                      <w:sz w:val="21"/>
                      <w:szCs w:val="21"/>
                      <w:lang w:val="en-US" w:eastAsia="zh-CN"/>
                      <w14:textFill>
                        <w14:solidFill>
                          <w14:schemeClr w14:val="tx1"/>
                        </w14:solidFill>
                      </w14:textFill>
                    </w:rPr>
                    <w:t>432.3</w:t>
                  </w:r>
                </w:p>
              </w:tc>
              <w:tc>
                <w:tcPr>
                  <w:tcW w:w="1091" w:type="dxa"/>
                  <w:vAlign w:val="center"/>
                </w:tcPr>
                <w:p w14:paraId="7FDDE471">
                  <w:pPr>
                    <w:pStyle w:val="51"/>
                    <w:spacing w:line="0" w:lineRule="atLeast"/>
                    <w:ind w:firstLine="0" w:firstLineChars="0"/>
                    <w:jc w:val="center"/>
                    <w:rPr>
                      <w:rFonts w:hint="default" w:ascii="Times New Roman" w:hAnsi="Times New Roman" w:eastAsia="宋体"/>
                      <w:snapToGrid w:val="0"/>
                      <w:color w:val="auto"/>
                      <w:sz w:val="21"/>
                      <w:szCs w:val="21"/>
                      <w:lang w:val="en-US" w:eastAsia="zh-CN"/>
                    </w:rPr>
                  </w:pPr>
                  <w:r>
                    <w:rPr>
                      <w:rFonts w:hint="eastAsia" w:ascii="Times New Roman" w:hAnsi="Times New Roman"/>
                      <w:snapToGrid w:val="0"/>
                      <w:color w:val="000000" w:themeColor="text1"/>
                      <w:sz w:val="21"/>
                      <w:szCs w:val="21"/>
                      <w:lang w:val="en-US" w:eastAsia="zh-CN"/>
                      <w14:textFill>
                        <w14:solidFill>
                          <w14:schemeClr w14:val="tx1"/>
                        </w14:solidFill>
                      </w14:textFill>
                    </w:rPr>
                    <w:t>80</w:t>
                  </w:r>
                </w:p>
              </w:tc>
              <w:tc>
                <w:tcPr>
                  <w:tcW w:w="1976" w:type="dxa"/>
                  <w:vMerge w:val="continue"/>
                  <w:vAlign w:val="center"/>
                </w:tcPr>
                <w:p w14:paraId="79A732CB">
                  <w:pPr>
                    <w:pStyle w:val="17"/>
                    <w:spacing w:line="0" w:lineRule="atLeast"/>
                    <w:jc w:val="both"/>
                    <w:rPr>
                      <w:rFonts w:ascii="Times New Roman" w:hAnsi="Times New Roman"/>
                      <w:color w:val="auto"/>
                      <w:szCs w:val="21"/>
                    </w:rPr>
                  </w:pPr>
                </w:p>
              </w:tc>
            </w:tr>
            <w:tr w14:paraId="1F82FD5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652" w:type="dxa"/>
                  <w:vAlign w:val="center"/>
                </w:tcPr>
                <w:p w14:paraId="10028341">
                  <w:pPr>
                    <w:pStyle w:val="51"/>
                    <w:spacing w:line="0" w:lineRule="atLeast"/>
                    <w:ind w:firstLine="0" w:firstLineChars="0"/>
                    <w:jc w:val="center"/>
                    <w:rPr>
                      <w:rFonts w:ascii="Times New Roman" w:hAnsi="Times New Roman"/>
                      <w:color w:val="auto"/>
                      <w:sz w:val="21"/>
                      <w:szCs w:val="21"/>
                    </w:rPr>
                  </w:pPr>
                  <w:r>
                    <w:rPr>
                      <w:rFonts w:ascii="Times New Roman" w:hAnsi="Times New Roman"/>
                      <w:color w:val="000000" w:themeColor="text1"/>
                      <w:sz w:val="21"/>
                      <w:szCs w:val="21"/>
                      <w14:textFill>
                        <w14:solidFill>
                          <w14:schemeClr w14:val="tx1"/>
                        </w14:solidFill>
                      </w14:textFill>
                    </w:rPr>
                    <w:t>地表水环境</w:t>
                  </w:r>
                </w:p>
              </w:tc>
              <w:tc>
                <w:tcPr>
                  <w:tcW w:w="1591" w:type="dxa"/>
                  <w:gridSpan w:val="2"/>
                  <w:vAlign w:val="center"/>
                </w:tcPr>
                <w:p w14:paraId="0527EF75">
                  <w:pPr>
                    <w:pStyle w:val="51"/>
                    <w:spacing w:line="0" w:lineRule="atLeast"/>
                    <w:ind w:firstLine="0" w:firstLineChars="0"/>
                    <w:jc w:val="center"/>
                    <w:rPr>
                      <w:rFonts w:hint="eastAsia" w:ascii="Times New Roman" w:hAnsi="Times New Roman" w:eastAsia="宋体"/>
                      <w:color w:val="auto"/>
                      <w:sz w:val="21"/>
                      <w:szCs w:val="21"/>
                      <w:lang w:val="en-US" w:eastAsia="zh-CN"/>
                    </w:rPr>
                  </w:pPr>
                  <w:r>
                    <w:rPr>
                      <w:rFonts w:hint="eastAsia" w:ascii="Times New Roman" w:hAnsi="Times New Roman"/>
                      <w:color w:val="000000" w:themeColor="text1"/>
                      <w:sz w:val="21"/>
                      <w:szCs w:val="21"/>
                      <w:lang w:val="en-US" w:eastAsia="zh-CN"/>
                      <w14:textFill>
                        <w14:solidFill>
                          <w14:schemeClr w14:val="tx1"/>
                        </w14:solidFill>
                      </w14:textFill>
                    </w:rPr>
                    <w:t>/</w:t>
                  </w:r>
                </w:p>
              </w:tc>
              <w:tc>
                <w:tcPr>
                  <w:tcW w:w="1116" w:type="dxa"/>
                  <w:vAlign w:val="center"/>
                </w:tcPr>
                <w:p w14:paraId="175C650D">
                  <w:pPr>
                    <w:pStyle w:val="51"/>
                    <w:spacing w:line="0" w:lineRule="atLeast"/>
                    <w:ind w:firstLine="0" w:firstLineChars="0"/>
                    <w:jc w:val="center"/>
                    <w:rPr>
                      <w:rFonts w:hint="default" w:ascii="Times New Roman" w:hAnsi="Times New Roman" w:eastAsia="宋体"/>
                      <w:color w:val="auto"/>
                      <w:sz w:val="21"/>
                      <w:szCs w:val="21"/>
                      <w:lang w:val="en-US" w:eastAsia="zh-CN"/>
                    </w:rPr>
                  </w:pPr>
                  <w:r>
                    <w:rPr>
                      <w:rFonts w:hint="eastAsia" w:ascii="Times New Roman" w:hAnsi="Times New Roman"/>
                      <w:color w:val="000000" w:themeColor="text1"/>
                      <w:sz w:val="21"/>
                      <w:szCs w:val="21"/>
                      <w:lang w:val="en-US" w:eastAsia="zh-CN"/>
                      <w14:textFill>
                        <w14:solidFill>
                          <w14:schemeClr w14:val="tx1"/>
                        </w14:solidFill>
                      </w14:textFill>
                    </w:rPr>
                    <w:t>肖江</w:t>
                  </w:r>
                </w:p>
              </w:tc>
              <w:tc>
                <w:tcPr>
                  <w:tcW w:w="872" w:type="dxa"/>
                  <w:vAlign w:val="center"/>
                </w:tcPr>
                <w:p w14:paraId="326A52D3">
                  <w:pPr>
                    <w:pStyle w:val="51"/>
                    <w:spacing w:line="0" w:lineRule="atLeast"/>
                    <w:ind w:firstLine="0" w:firstLineChars="0"/>
                    <w:jc w:val="center"/>
                    <w:rPr>
                      <w:rFonts w:hint="default" w:ascii="Times New Roman" w:hAnsi="Times New Roman" w:eastAsia="宋体"/>
                      <w:color w:val="auto"/>
                      <w:sz w:val="21"/>
                      <w:szCs w:val="21"/>
                      <w:lang w:val="en-US" w:eastAsia="zh-CN"/>
                    </w:rPr>
                  </w:pPr>
                  <w:r>
                    <w:rPr>
                      <w:rFonts w:hint="eastAsia" w:ascii="Times New Roman" w:hAnsi="Times New Roman"/>
                      <w:color w:val="000000" w:themeColor="text1"/>
                      <w:sz w:val="21"/>
                      <w:szCs w:val="21"/>
                      <w:lang w:val="en-US" w:eastAsia="zh-CN"/>
                      <w14:textFill>
                        <w14:solidFill>
                          <w14:schemeClr w14:val="tx1"/>
                        </w14:solidFill>
                      </w14:textFill>
                    </w:rPr>
                    <w:t>东北</w:t>
                  </w:r>
                </w:p>
              </w:tc>
              <w:tc>
                <w:tcPr>
                  <w:tcW w:w="1118" w:type="dxa"/>
                  <w:vAlign w:val="center"/>
                </w:tcPr>
                <w:p w14:paraId="04924816">
                  <w:pPr>
                    <w:pStyle w:val="51"/>
                    <w:spacing w:line="0" w:lineRule="atLeast"/>
                    <w:ind w:firstLine="0" w:firstLineChars="0"/>
                    <w:jc w:val="center"/>
                    <w:rPr>
                      <w:rFonts w:hint="default" w:ascii="Times New Roman" w:hAnsi="Times New Roman" w:eastAsia="宋体"/>
                      <w:color w:val="auto"/>
                      <w:sz w:val="21"/>
                      <w:szCs w:val="21"/>
                      <w:lang w:val="en-US" w:eastAsia="zh-CN"/>
                    </w:rPr>
                  </w:pPr>
                  <w:r>
                    <w:rPr>
                      <w:rFonts w:hint="eastAsia" w:ascii="Times New Roman" w:hAnsi="Times New Roman"/>
                      <w:color w:val="000000" w:themeColor="text1"/>
                      <w:sz w:val="21"/>
                      <w:szCs w:val="21"/>
                      <w:lang w:val="en-US" w:eastAsia="zh-CN"/>
                      <w14:textFill>
                        <w14:solidFill>
                          <w14:schemeClr w14:val="tx1"/>
                        </w14:solidFill>
                      </w14:textFill>
                    </w:rPr>
                    <w:t>9073</w:t>
                  </w:r>
                </w:p>
              </w:tc>
              <w:tc>
                <w:tcPr>
                  <w:tcW w:w="1091" w:type="dxa"/>
                  <w:vAlign w:val="center"/>
                </w:tcPr>
                <w:p w14:paraId="5EE02080">
                  <w:pPr>
                    <w:pStyle w:val="17"/>
                    <w:spacing w:line="0" w:lineRule="atLeast"/>
                    <w:jc w:val="center"/>
                    <w:rPr>
                      <w:rFonts w:ascii="Times New Roman" w:hAnsi="Times New Roman"/>
                      <w:color w:val="auto"/>
                      <w:szCs w:val="21"/>
                    </w:rPr>
                  </w:pPr>
                  <w:r>
                    <w:rPr>
                      <w:rFonts w:hint="eastAsia" w:ascii="Times New Roman" w:hAnsi="Times New Roman"/>
                      <w:color w:val="000000" w:themeColor="text1"/>
                      <w:szCs w:val="21"/>
                      <w14:textFill>
                        <w14:solidFill>
                          <w14:schemeClr w14:val="tx1"/>
                        </w14:solidFill>
                      </w14:textFill>
                    </w:rPr>
                    <w:t>/</w:t>
                  </w:r>
                </w:p>
              </w:tc>
              <w:tc>
                <w:tcPr>
                  <w:tcW w:w="1976" w:type="dxa"/>
                  <w:vAlign w:val="center"/>
                </w:tcPr>
                <w:p w14:paraId="771F75A5">
                  <w:pPr>
                    <w:pStyle w:val="17"/>
                    <w:spacing w:line="0" w:lineRule="atLeast"/>
                    <w:jc w:val="both"/>
                    <w:rPr>
                      <w:rFonts w:ascii="Times New Roman" w:hAnsi="Times New Roman"/>
                      <w:snapToGrid w:val="0"/>
                      <w:color w:val="auto"/>
                      <w:szCs w:val="21"/>
                    </w:rPr>
                  </w:pPr>
                  <w:r>
                    <w:rPr>
                      <w:rFonts w:ascii="Times New Roman" w:hAnsi="Times New Roman"/>
                      <w:snapToGrid w:val="0"/>
                      <w:color w:val="000000" w:themeColor="text1"/>
                      <w:szCs w:val="21"/>
                      <w14:textFill>
                        <w14:solidFill>
                          <w14:schemeClr w14:val="tx1"/>
                        </w14:solidFill>
                      </w14:textFill>
                    </w:rPr>
                    <w:t>（GB3838-2002）</w:t>
                  </w:r>
                  <w:r>
                    <w:rPr>
                      <w:rFonts w:hint="default" w:ascii="Times New Roman" w:hAnsi="Times New Roman" w:cs="Times New Roman"/>
                      <w:color w:val="000000" w:themeColor="text1"/>
                      <w14:textFill>
                        <w14:solidFill>
                          <w14:schemeClr w14:val="tx1"/>
                        </w14:solidFill>
                      </w14:textFill>
                    </w:rPr>
                    <w:t>Ⅲ</w:t>
                  </w:r>
                  <w:r>
                    <w:rPr>
                      <w:rFonts w:ascii="Times New Roman" w:hAnsi="Times New Roman"/>
                      <w:snapToGrid w:val="0"/>
                      <w:color w:val="000000" w:themeColor="text1"/>
                      <w:szCs w:val="21"/>
                      <w14:textFill>
                        <w14:solidFill>
                          <w14:schemeClr w14:val="tx1"/>
                        </w14:solidFill>
                      </w14:textFill>
                    </w:rPr>
                    <w:t>类标准</w:t>
                  </w:r>
                </w:p>
              </w:tc>
            </w:tr>
            <w:tr w14:paraId="14BAD4B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52" w:type="dxa"/>
                  <w:vAlign w:val="center"/>
                </w:tcPr>
                <w:p w14:paraId="14B87061">
                  <w:pPr>
                    <w:pStyle w:val="17"/>
                    <w:spacing w:line="0" w:lineRule="atLeast"/>
                    <w:jc w:val="center"/>
                    <w:rPr>
                      <w:rFonts w:ascii="Times New Roman" w:hAnsi="Times New Roman"/>
                      <w:color w:val="auto"/>
                      <w:szCs w:val="21"/>
                    </w:rPr>
                  </w:pPr>
                  <w:r>
                    <w:rPr>
                      <w:rFonts w:ascii="Times New Roman" w:hAnsi="Times New Roman"/>
                      <w:color w:val="000000" w:themeColor="text1"/>
                      <w:szCs w:val="21"/>
                      <w14:textFill>
                        <w14:solidFill>
                          <w14:schemeClr w14:val="tx1"/>
                        </w14:solidFill>
                      </w14:textFill>
                    </w:rPr>
                    <w:t>声环境</w:t>
                  </w:r>
                </w:p>
              </w:tc>
              <w:tc>
                <w:tcPr>
                  <w:tcW w:w="7764" w:type="dxa"/>
                  <w:gridSpan w:val="7"/>
                  <w:vAlign w:val="center"/>
                </w:tcPr>
                <w:p w14:paraId="26D9501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color w:val="auto"/>
                      <w:szCs w:val="21"/>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厂界50m范围内无声环境保护目标</w:t>
                  </w:r>
                </w:p>
              </w:tc>
            </w:tr>
            <w:tr w14:paraId="551E3E7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52" w:type="dxa"/>
                  <w:vAlign w:val="center"/>
                </w:tcPr>
                <w:p w14:paraId="3E693A17">
                  <w:pPr>
                    <w:pStyle w:val="17"/>
                    <w:spacing w:line="0" w:lineRule="atLeast"/>
                    <w:jc w:val="center"/>
                    <w:rPr>
                      <w:rFonts w:ascii="Times New Roman" w:hAnsi="Times New Roman"/>
                      <w:color w:val="auto"/>
                      <w:szCs w:val="21"/>
                    </w:rPr>
                  </w:pPr>
                  <w:r>
                    <w:rPr>
                      <w:rFonts w:ascii="Times New Roman" w:hAnsi="Times New Roman"/>
                      <w:snapToGrid w:val="0"/>
                      <w:color w:val="000000" w:themeColor="text1"/>
                      <w:szCs w:val="21"/>
                      <w14:textFill>
                        <w14:solidFill>
                          <w14:schemeClr w14:val="tx1"/>
                        </w14:solidFill>
                      </w14:textFill>
                    </w:rPr>
                    <w:t>地下水环境</w:t>
                  </w:r>
                </w:p>
              </w:tc>
              <w:tc>
                <w:tcPr>
                  <w:tcW w:w="7764" w:type="dxa"/>
                  <w:gridSpan w:val="7"/>
                  <w:vAlign w:val="center"/>
                </w:tcPr>
                <w:p w14:paraId="445D569A">
                  <w:pPr>
                    <w:pStyle w:val="17"/>
                    <w:spacing w:line="0" w:lineRule="atLeast"/>
                    <w:jc w:val="both"/>
                    <w:rPr>
                      <w:rFonts w:hint="eastAsia" w:ascii="Times New Roman" w:hAnsi="Times New Roman" w:eastAsia="宋体"/>
                      <w:snapToGrid w:val="0"/>
                      <w:color w:val="auto"/>
                      <w:szCs w:val="21"/>
                      <w:lang w:eastAsia="zh-CN"/>
                    </w:rPr>
                  </w:pPr>
                  <w:r>
                    <w:rPr>
                      <w:rFonts w:ascii="Times New Roman" w:hAnsi="Times New Roman"/>
                      <w:color w:val="000000" w:themeColor="text1"/>
                      <w:kern w:val="0"/>
                      <w:szCs w:val="21"/>
                      <w:lang w:bidi="ar"/>
                      <w14:textFill>
                        <w14:solidFill>
                          <w14:schemeClr w14:val="tx1"/>
                        </w14:solidFill>
                      </w14:textFill>
                    </w:rPr>
                    <w:t>本项目厂界外500米范围内无地下水集中式饮用水水源和热水、矿泉水、温泉等特殊地下水资源</w:t>
                  </w:r>
                  <w:r>
                    <w:rPr>
                      <w:rFonts w:hint="eastAsia" w:ascii="Times New Roman" w:hAnsi="Times New Roman"/>
                      <w:color w:val="000000" w:themeColor="text1"/>
                      <w:kern w:val="0"/>
                      <w:szCs w:val="21"/>
                      <w:lang w:eastAsia="zh-CN" w:bidi="ar"/>
                      <w14:textFill>
                        <w14:solidFill>
                          <w14:schemeClr w14:val="tx1"/>
                        </w14:solidFill>
                      </w14:textFill>
                    </w:rPr>
                    <w:t>。</w:t>
                  </w:r>
                </w:p>
              </w:tc>
            </w:tr>
            <w:tr w14:paraId="556E574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52" w:type="dxa"/>
                  <w:vAlign w:val="center"/>
                </w:tcPr>
                <w:p w14:paraId="625A314E">
                  <w:pPr>
                    <w:pStyle w:val="17"/>
                    <w:spacing w:line="0" w:lineRule="atLeast"/>
                    <w:jc w:val="center"/>
                    <w:rPr>
                      <w:rFonts w:ascii="Times New Roman" w:hAnsi="Times New Roman"/>
                      <w:snapToGrid w:val="0"/>
                      <w:color w:val="auto"/>
                      <w:szCs w:val="21"/>
                    </w:rPr>
                  </w:pPr>
                  <w:r>
                    <w:rPr>
                      <w:rFonts w:ascii="Times New Roman" w:hAnsi="Times New Roman"/>
                      <w:color w:val="000000" w:themeColor="text1"/>
                      <w14:textFill>
                        <w14:solidFill>
                          <w14:schemeClr w14:val="tx1"/>
                        </w14:solidFill>
                      </w14:textFill>
                    </w:rPr>
                    <w:t>生态环境</w:t>
                  </w:r>
                </w:p>
              </w:tc>
              <w:tc>
                <w:tcPr>
                  <w:tcW w:w="7764" w:type="dxa"/>
                  <w:gridSpan w:val="7"/>
                  <w:vAlign w:val="center"/>
                </w:tcPr>
                <w:p w14:paraId="352F372C">
                  <w:pPr>
                    <w:pStyle w:val="17"/>
                    <w:spacing w:line="0" w:lineRule="atLeast"/>
                    <w:jc w:val="both"/>
                    <w:rPr>
                      <w:rFonts w:hint="eastAsia" w:ascii="Times New Roman" w:hAnsi="Times New Roman" w:eastAsia="宋体"/>
                      <w:color w:val="auto"/>
                      <w:kern w:val="0"/>
                      <w:szCs w:val="21"/>
                      <w:lang w:eastAsia="zh-CN" w:bidi="ar"/>
                    </w:rPr>
                  </w:pPr>
                  <w:r>
                    <w:rPr>
                      <w:rFonts w:ascii="Times New Roman" w:hAnsi="Times New Roman"/>
                      <w:color w:val="000000" w:themeColor="text1"/>
                      <w14:textFill>
                        <w14:solidFill>
                          <w14:schemeClr w14:val="tx1"/>
                        </w14:solidFill>
                      </w14:textFill>
                    </w:rPr>
                    <w:t>占地范围内无重要物种、自然保护区、风景名胜区、饮用水源保护区等生态敏感区</w:t>
                  </w:r>
                  <w:r>
                    <w:rPr>
                      <w:rFonts w:hint="eastAsia" w:ascii="Times New Roman" w:hAnsi="Times New Roman"/>
                      <w:color w:val="000000" w:themeColor="text1"/>
                      <w:lang w:eastAsia="zh-CN"/>
                      <w14:textFill>
                        <w14:solidFill>
                          <w14:schemeClr w14:val="tx1"/>
                        </w14:solidFill>
                      </w14:textFill>
                    </w:rPr>
                    <w:t>。</w:t>
                  </w:r>
                </w:p>
              </w:tc>
            </w:tr>
            <w:tr w14:paraId="1397F8F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416" w:type="dxa"/>
                  <w:gridSpan w:val="8"/>
                  <w:vAlign w:val="center"/>
                </w:tcPr>
                <w:p w14:paraId="2F33ABE3">
                  <w:pPr>
                    <w:pStyle w:val="17"/>
                    <w:spacing w:line="0" w:lineRule="atLeast"/>
                    <w:jc w:val="center"/>
                    <w:rPr>
                      <w:rFonts w:hint="eastAsia" w:ascii="Times New Roman" w:hAnsi="Times New Roman" w:eastAsia="宋体"/>
                      <w:b/>
                      <w:bCs/>
                      <w:color w:val="auto"/>
                      <w:kern w:val="0"/>
                      <w:szCs w:val="21"/>
                      <w:lang w:eastAsia="zh-CN" w:bidi="ar"/>
                    </w:rPr>
                  </w:pPr>
                  <w:r>
                    <w:rPr>
                      <w:rFonts w:hint="eastAsia" w:ascii="Times New Roman" w:hAnsi="Times New Roman"/>
                      <w:b/>
                      <w:bCs/>
                      <w:color w:val="000000" w:themeColor="text1"/>
                      <w:kern w:val="0"/>
                      <w:szCs w:val="21"/>
                      <w:lang w:val="en-US" w:eastAsia="zh-CN"/>
                      <w14:textFill>
                        <w14:solidFill>
                          <w14:schemeClr w14:val="tx1"/>
                        </w14:solidFill>
                      </w14:textFill>
                    </w:rPr>
                    <w:t>此次以技改</w:t>
                  </w:r>
                  <w:r>
                    <w:rPr>
                      <w:rFonts w:ascii="Times New Roman" w:hAnsi="Times New Roman"/>
                      <w:b/>
                      <w:bCs/>
                      <w:color w:val="000000" w:themeColor="text1"/>
                      <w:kern w:val="0"/>
                      <w:szCs w:val="21"/>
                      <w14:textFill>
                        <w14:solidFill>
                          <w14:schemeClr w14:val="tx1"/>
                        </w14:solidFill>
                      </w14:textFill>
                    </w:rPr>
                    <w:t>项目中心为坐标原点（0，0），地理坐标为</w:t>
                  </w:r>
                  <w:r>
                    <w:rPr>
                      <w:rFonts w:hint="default" w:ascii="Times New Roman" w:hAnsi="Times New Roman" w:eastAsia="宋体" w:cs="Times New Roman"/>
                      <w:b/>
                      <w:bCs/>
                      <w:color w:val="000000" w:themeColor="text1"/>
                      <w:sz w:val="21"/>
                      <w:szCs w:val="21"/>
                      <w14:textFill>
                        <w14:solidFill>
                          <w14:schemeClr w14:val="tx1"/>
                        </w14:solidFill>
                      </w14:textFill>
                    </w:rPr>
                    <w:t>E115°30′15.915″</w:t>
                  </w:r>
                  <w:r>
                    <w:rPr>
                      <w:rFonts w:hint="eastAsia" w:ascii="Times New Roman" w:hAnsi="Times New Roman" w:cs="Times New Roman"/>
                      <w:b/>
                      <w:bCs/>
                      <w:color w:val="000000" w:themeColor="text1"/>
                      <w:sz w:val="21"/>
                      <w:szCs w:val="21"/>
                      <w:lang w:eastAsia="zh-CN"/>
                      <w14:textFill>
                        <w14:solidFill>
                          <w14:schemeClr w14:val="tx1"/>
                        </w14:solidFill>
                      </w14:textFill>
                    </w:rPr>
                    <w:t>，</w:t>
                  </w:r>
                  <w:r>
                    <w:rPr>
                      <w:rFonts w:hint="default" w:ascii="Times New Roman" w:hAnsi="Times New Roman" w:eastAsia="宋体" w:cs="Times New Roman"/>
                      <w:b/>
                      <w:bCs/>
                      <w:color w:val="000000" w:themeColor="text1"/>
                      <w:sz w:val="21"/>
                      <w:szCs w:val="21"/>
                      <w14:textFill>
                        <w14:solidFill>
                          <w14:schemeClr w14:val="tx1"/>
                        </w14:solidFill>
                      </w14:textFill>
                    </w:rPr>
                    <w:t>N28°8′46.666″</w:t>
                  </w:r>
                  <w:r>
                    <w:rPr>
                      <w:rFonts w:hint="eastAsia" w:ascii="Times New Roman" w:hAnsi="Times New Roman" w:cs="Times New Roman"/>
                      <w:b/>
                      <w:bCs/>
                      <w:color w:val="000000" w:themeColor="text1"/>
                      <w:sz w:val="21"/>
                      <w:szCs w:val="21"/>
                      <w:lang w:eastAsia="zh-CN"/>
                      <w14:textFill>
                        <w14:solidFill>
                          <w14:schemeClr w14:val="tx1"/>
                        </w14:solidFill>
                      </w14:textFill>
                    </w:rPr>
                    <w:t>。</w:t>
                  </w:r>
                </w:p>
              </w:tc>
            </w:tr>
            <w:tr w14:paraId="36E8C75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00" w:type="pct"/>
                  <w:gridSpan w:val="8"/>
                  <w:vAlign w:val="center"/>
                </w:tcPr>
                <w:p w14:paraId="4F079FD1">
                  <w:pPr>
                    <w:pStyle w:val="7"/>
                    <w:numPr>
                      <w:ilvl w:val="0"/>
                      <w:numId w:val="9"/>
                    </w:numPr>
                    <w:ind w:firstLine="482"/>
                    <w:rPr>
                      <w:b/>
                      <w:bCs/>
                      <w:color w:val="auto"/>
                      <w:kern w:val="0"/>
                    </w:rPr>
                  </w:pPr>
                  <w:r>
                    <w:rPr>
                      <w:rFonts w:hint="eastAsia"/>
                      <w:b/>
                      <w:bCs/>
                      <w:color w:val="auto"/>
                      <w:kern w:val="0"/>
                    </w:rPr>
                    <w:t>控制目标</w:t>
                  </w:r>
                </w:p>
                <w:p w14:paraId="4FC2C98B">
                  <w:pPr>
                    <w:snapToGrid w:val="0"/>
                    <w:spacing w:line="360" w:lineRule="auto"/>
                    <w:ind w:firstLine="480"/>
                    <w:rPr>
                      <w:color w:val="auto"/>
                      <w:sz w:val="24"/>
                    </w:rPr>
                  </w:pPr>
                  <w:r>
                    <w:rPr>
                      <w:color w:val="auto"/>
                      <w:sz w:val="24"/>
                    </w:rPr>
                    <w:t>本项目主要环境保护目标如下：</w:t>
                  </w:r>
                </w:p>
                <w:p w14:paraId="6B36E2AA">
                  <w:pPr>
                    <w:snapToGrid w:val="0"/>
                    <w:spacing w:line="360" w:lineRule="auto"/>
                    <w:ind w:firstLine="480"/>
                    <w:rPr>
                      <w:color w:val="auto"/>
                      <w:sz w:val="24"/>
                    </w:rPr>
                  </w:pPr>
                  <w:r>
                    <w:rPr>
                      <w:color w:val="auto"/>
                      <w:sz w:val="24"/>
                    </w:rPr>
                    <w:t>（1）环境空气：区域大气环境质量达到《环境空气质量标准》（GB3095-2012）二级标准；</w:t>
                  </w:r>
                </w:p>
                <w:p w14:paraId="274C421D">
                  <w:pPr>
                    <w:snapToGrid w:val="0"/>
                    <w:spacing w:line="360" w:lineRule="auto"/>
                    <w:ind w:firstLine="480"/>
                    <w:rPr>
                      <w:color w:val="auto"/>
                      <w:sz w:val="24"/>
                    </w:rPr>
                  </w:pPr>
                  <w:r>
                    <w:rPr>
                      <w:color w:val="auto"/>
                      <w:sz w:val="24"/>
                    </w:rPr>
                    <w:t>（2）地表水：地表水环境质量达到《地表水环境质量标准》（GB3838-2002）</w:t>
                  </w:r>
                  <w:r>
                    <w:rPr>
                      <w:rFonts w:hint="default"/>
                      <w:color w:val="auto"/>
                      <w:sz w:val="24"/>
                      <w:szCs w:val="24"/>
                    </w:rPr>
                    <w:t>Ⅲ</w:t>
                  </w:r>
                  <w:r>
                    <w:rPr>
                      <w:color w:val="auto"/>
                      <w:sz w:val="24"/>
                    </w:rPr>
                    <w:t>类标准；</w:t>
                  </w:r>
                </w:p>
                <w:p w14:paraId="61D14C21">
                  <w:pPr>
                    <w:pStyle w:val="6"/>
                    <w:numPr>
                      <w:ilvl w:val="3"/>
                      <w:numId w:val="0"/>
                    </w:numPr>
                    <w:snapToGrid w:val="0"/>
                    <w:ind w:firstLine="480" w:firstLineChars="200"/>
                    <w:rPr>
                      <w:rFonts w:hint="eastAsia" w:eastAsia="宋体"/>
                      <w:color w:val="auto"/>
                      <w:lang w:eastAsia="zh-CN"/>
                    </w:rPr>
                  </w:pPr>
                  <w:r>
                    <w:rPr>
                      <w:b w:val="0"/>
                      <w:color w:val="auto"/>
                      <w:sz w:val="24"/>
                    </w:rPr>
                    <w:t>（3）声环境：评价区域声环境质量满足《声环境质量标准》（GB3096-2008）</w:t>
                  </w:r>
                  <w:r>
                    <w:rPr>
                      <w:rFonts w:hint="eastAsia"/>
                      <w:b w:val="0"/>
                      <w:color w:val="auto"/>
                      <w:sz w:val="24"/>
                      <w:lang w:val="en-US" w:eastAsia="zh-CN"/>
                    </w:rPr>
                    <w:t>3</w:t>
                  </w:r>
                  <w:r>
                    <w:rPr>
                      <w:b w:val="0"/>
                      <w:color w:val="auto"/>
                      <w:sz w:val="24"/>
                    </w:rPr>
                    <w:t>类标准</w:t>
                  </w:r>
                  <w:r>
                    <w:rPr>
                      <w:rFonts w:hint="eastAsia"/>
                      <w:b w:val="0"/>
                      <w:color w:val="auto"/>
                      <w:sz w:val="24"/>
                      <w:lang w:eastAsia="zh-CN"/>
                    </w:rPr>
                    <w:t>。</w:t>
                  </w:r>
                </w:p>
              </w:tc>
            </w:tr>
          </w:tbl>
          <w:p w14:paraId="53EDA459">
            <w:pPr>
              <w:pStyle w:val="9"/>
              <w:autoSpaceDE/>
              <w:autoSpaceDN/>
              <w:adjustRightInd/>
              <w:spacing w:line="240" w:lineRule="auto"/>
              <w:ind w:left="0" w:firstLine="480" w:firstLineChars="200"/>
              <w:jc w:val="both"/>
              <w:textAlignment w:val="auto"/>
              <w:rPr>
                <w:rFonts w:ascii="宋体" w:hAnsi="宋体" w:cs="宋体"/>
                <w:kern w:val="0"/>
                <w:szCs w:val="21"/>
              </w:rPr>
            </w:pPr>
          </w:p>
        </w:tc>
      </w:tr>
      <w:tr w14:paraId="10E0DC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73" w:hRule="atLeast"/>
          <w:jc w:val="center"/>
        </w:trPr>
        <w:tc>
          <w:tcPr>
            <w:tcW w:w="235" w:type="pct"/>
            <w:tcMar>
              <w:left w:w="28" w:type="dxa"/>
              <w:right w:w="28" w:type="dxa"/>
            </w:tcMar>
            <w:vAlign w:val="center"/>
          </w:tcPr>
          <w:p w14:paraId="4D4A463E">
            <w:pPr>
              <w:adjustRightInd w:val="0"/>
              <w:snapToGrid w:val="0"/>
              <w:jc w:val="center"/>
              <w:rPr>
                <w:rFonts w:ascii="宋体" w:hAnsi="宋体" w:cs="宋体"/>
                <w:kern w:val="0"/>
                <w:szCs w:val="21"/>
              </w:rPr>
            </w:pPr>
            <w:r>
              <w:rPr>
                <w:rFonts w:hint="eastAsia" w:ascii="宋体" w:hAnsi="宋体" w:cs="宋体"/>
                <w:kern w:val="0"/>
                <w:szCs w:val="21"/>
              </w:rPr>
              <w:t>污染</w:t>
            </w:r>
          </w:p>
          <w:p w14:paraId="5DD3B8E7">
            <w:pPr>
              <w:adjustRightInd w:val="0"/>
              <w:snapToGrid w:val="0"/>
              <w:jc w:val="center"/>
              <w:rPr>
                <w:rFonts w:ascii="宋体" w:hAnsi="宋体" w:cs="宋体"/>
                <w:kern w:val="0"/>
                <w:szCs w:val="21"/>
              </w:rPr>
            </w:pPr>
            <w:r>
              <w:rPr>
                <w:rFonts w:hint="eastAsia" w:ascii="宋体" w:hAnsi="宋体" w:cs="宋体"/>
                <w:kern w:val="0"/>
                <w:szCs w:val="21"/>
              </w:rPr>
              <w:t>物排</w:t>
            </w:r>
          </w:p>
          <w:p w14:paraId="4254ADCB">
            <w:pPr>
              <w:adjustRightInd w:val="0"/>
              <w:snapToGrid w:val="0"/>
              <w:jc w:val="center"/>
              <w:rPr>
                <w:rFonts w:ascii="宋体" w:hAnsi="宋体" w:cs="宋体"/>
                <w:kern w:val="0"/>
                <w:szCs w:val="21"/>
              </w:rPr>
            </w:pPr>
            <w:r>
              <w:rPr>
                <w:rFonts w:hint="eastAsia" w:ascii="宋体" w:hAnsi="宋体" w:cs="宋体"/>
                <w:kern w:val="0"/>
                <w:szCs w:val="21"/>
              </w:rPr>
              <w:t>放控</w:t>
            </w:r>
          </w:p>
          <w:p w14:paraId="740CEAFE">
            <w:pPr>
              <w:adjustRightInd w:val="0"/>
              <w:snapToGrid w:val="0"/>
              <w:jc w:val="center"/>
              <w:rPr>
                <w:rFonts w:ascii="宋体" w:hAnsi="宋体" w:cs="宋体"/>
                <w:kern w:val="0"/>
                <w:szCs w:val="21"/>
              </w:rPr>
            </w:pPr>
            <w:r>
              <w:rPr>
                <w:rFonts w:hint="eastAsia" w:ascii="宋体" w:hAnsi="宋体" w:cs="宋体"/>
                <w:kern w:val="0"/>
                <w:szCs w:val="21"/>
              </w:rPr>
              <w:t>制标</w:t>
            </w:r>
          </w:p>
          <w:p w14:paraId="3BECD324">
            <w:pPr>
              <w:adjustRightInd w:val="0"/>
              <w:snapToGrid w:val="0"/>
              <w:jc w:val="center"/>
              <w:rPr>
                <w:rFonts w:ascii="宋体" w:hAnsi="宋体" w:cs="宋体"/>
                <w:kern w:val="0"/>
                <w:szCs w:val="21"/>
              </w:rPr>
            </w:pPr>
            <w:r>
              <w:rPr>
                <w:rFonts w:hint="eastAsia" w:ascii="宋体" w:hAnsi="宋体" w:cs="宋体"/>
                <w:kern w:val="0"/>
                <w:szCs w:val="21"/>
              </w:rPr>
              <w:t>准</w:t>
            </w:r>
          </w:p>
        </w:tc>
        <w:tc>
          <w:tcPr>
            <w:tcW w:w="4764" w:type="pct"/>
            <w:vAlign w:val="center"/>
          </w:tcPr>
          <w:p w14:paraId="7FCCE914">
            <w:pPr>
              <w:adjustRightInd w:val="0"/>
              <w:snapToGrid w:val="0"/>
              <w:spacing w:line="360" w:lineRule="auto"/>
              <w:ind w:firstLine="482" w:firstLineChars="200"/>
              <w:rPr>
                <w:rFonts w:hint="default" w:ascii="Times New Roman" w:hAnsi="Times New Roman" w:cs="Times New Roman"/>
                <w:b/>
                <w:bCs/>
                <w:sz w:val="24"/>
              </w:rPr>
            </w:pPr>
            <w:r>
              <w:rPr>
                <w:rFonts w:hint="default" w:ascii="Times New Roman" w:hAnsi="Times New Roman" w:cs="Times New Roman"/>
                <w:b/>
                <w:bCs/>
                <w:sz w:val="24"/>
              </w:rPr>
              <w:t>1、废气</w:t>
            </w:r>
          </w:p>
          <w:p w14:paraId="47306378">
            <w:pPr>
              <w:pStyle w:val="9"/>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color w:val="auto"/>
                <w:sz w:val="24"/>
                <w:lang w:bidi="ar"/>
              </w:rPr>
            </w:pPr>
            <w:r>
              <w:rPr>
                <w:rFonts w:hint="eastAsia"/>
                <w:color w:val="auto"/>
                <w:sz w:val="24"/>
                <w:lang w:val="en-US" w:eastAsia="zh-CN"/>
              </w:rPr>
              <w:t>本次技改项目外排废气仅涉及到锅炉烟气，</w:t>
            </w:r>
            <w:r>
              <w:rPr>
                <w:rFonts w:hint="eastAsia"/>
                <w:color w:val="FF0000"/>
                <w:szCs w:val="21"/>
                <w:lang w:val="en-US" w:eastAsia="zh-CN"/>
              </w:rPr>
              <w:t>根据宜春市生态环境局印发的《关于进一步提高我市生物质锅炉环保水平的通知》，宜春市生物质锅炉污染物排放需达到燃气锅炉排放水平</w:t>
            </w:r>
            <w:r>
              <w:rPr>
                <w:rFonts w:hint="eastAsia"/>
                <w:szCs w:val="21"/>
                <w:lang w:val="en-US" w:eastAsia="zh-CN"/>
              </w:rPr>
              <w:t>，故本项目</w:t>
            </w:r>
            <w:r>
              <w:rPr>
                <w:rFonts w:hint="eastAsia"/>
                <w:color w:val="auto"/>
                <w:sz w:val="24"/>
                <w:lang w:val="en-US" w:eastAsia="zh-CN"/>
              </w:rPr>
              <w:t>营</w:t>
            </w:r>
            <w:r>
              <w:rPr>
                <w:color w:val="auto"/>
                <w:sz w:val="24"/>
              </w:rPr>
              <w:t>运期</w:t>
            </w:r>
            <w:r>
              <w:rPr>
                <w:rFonts w:hint="eastAsia"/>
                <w:bCs/>
                <w:color w:val="auto"/>
                <w:sz w:val="24"/>
              </w:rPr>
              <w:t>锅炉</w:t>
            </w:r>
            <w:r>
              <w:rPr>
                <w:rFonts w:hint="eastAsia"/>
                <w:bCs/>
                <w:color w:val="auto"/>
                <w:sz w:val="24"/>
                <w:lang w:val="en-US" w:eastAsia="zh-CN"/>
              </w:rPr>
              <w:t>烟气</w:t>
            </w:r>
            <w:r>
              <w:rPr>
                <w:rFonts w:hint="eastAsia"/>
                <w:bCs/>
                <w:color w:val="auto"/>
                <w:sz w:val="24"/>
              </w:rPr>
              <w:t>执行《锅炉大气污染物排放标准》（GB13271-2014）表2中燃</w:t>
            </w:r>
            <w:r>
              <w:rPr>
                <w:rFonts w:hint="eastAsia"/>
                <w:bCs/>
                <w:color w:val="auto"/>
                <w:sz w:val="24"/>
                <w:lang w:val="en-US" w:eastAsia="zh-CN"/>
              </w:rPr>
              <w:t>气</w:t>
            </w:r>
            <w:r>
              <w:rPr>
                <w:rFonts w:hint="eastAsia"/>
                <w:bCs/>
                <w:color w:val="auto"/>
                <w:sz w:val="24"/>
              </w:rPr>
              <w:t>锅炉排放限值</w:t>
            </w:r>
            <w:r>
              <w:rPr>
                <w:rFonts w:hint="eastAsia"/>
                <w:bCs/>
                <w:color w:val="auto"/>
                <w:sz w:val="24"/>
                <w:lang w:eastAsia="zh-CN"/>
              </w:rPr>
              <w:t>。</w:t>
            </w:r>
            <w:r>
              <w:rPr>
                <w:rFonts w:hint="eastAsia"/>
                <w:color w:val="auto"/>
                <w:sz w:val="24"/>
              </w:rPr>
              <w:t>详</w:t>
            </w:r>
            <w:r>
              <w:rPr>
                <w:color w:val="auto"/>
                <w:sz w:val="24"/>
              </w:rPr>
              <w:t>见表3-</w:t>
            </w:r>
            <w:r>
              <w:rPr>
                <w:rFonts w:hint="eastAsia"/>
                <w:color w:val="auto"/>
                <w:sz w:val="24"/>
                <w:lang w:val="en-US" w:eastAsia="zh-CN"/>
              </w:rPr>
              <w:t>4</w:t>
            </w:r>
            <w:r>
              <w:rPr>
                <w:color w:val="auto"/>
                <w:sz w:val="24"/>
                <w:lang w:bidi="ar"/>
              </w:rPr>
              <w:t>。</w:t>
            </w:r>
          </w:p>
          <w:p w14:paraId="75F86A9C">
            <w:pPr>
              <w:pStyle w:val="9"/>
              <w:autoSpaceDE/>
              <w:autoSpaceDN/>
              <w:adjustRightInd/>
              <w:spacing w:line="240" w:lineRule="auto"/>
              <w:ind w:left="0" w:firstLine="0"/>
              <w:jc w:val="center"/>
              <w:textAlignment w:val="auto"/>
              <w:rPr>
                <w:rFonts w:ascii="Times New Roman" w:hAnsi="Times New Roman" w:eastAsia="宋体" w:cs="Times New Roman"/>
                <w:b/>
                <w:bCs/>
                <w:color w:val="auto"/>
                <w:kern w:val="2"/>
                <w:szCs w:val="24"/>
              </w:rPr>
            </w:pPr>
            <w:r>
              <w:rPr>
                <w:rFonts w:ascii="Times New Roman" w:hAnsi="Times New Roman" w:eastAsia="宋体" w:cs="Times New Roman"/>
                <w:b/>
                <w:bCs/>
                <w:color w:val="auto"/>
                <w:kern w:val="2"/>
                <w:szCs w:val="24"/>
                <w:lang w:val="zh-CN"/>
              </w:rPr>
              <w:t>表</w:t>
            </w:r>
            <w:r>
              <w:rPr>
                <w:rFonts w:ascii="Times New Roman" w:hAnsi="Times New Roman" w:eastAsia="宋体" w:cs="Times New Roman"/>
                <w:b/>
                <w:bCs/>
                <w:color w:val="auto"/>
                <w:kern w:val="2"/>
                <w:szCs w:val="24"/>
              </w:rPr>
              <w:t>3-</w:t>
            </w:r>
            <w:r>
              <w:rPr>
                <w:rFonts w:hint="eastAsia" w:cs="Times New Roman"/>
                <w:b/>
                <w:bCs/>
                <w:color w:val="auto"/>
                <w:kern w:val="2"/>
                <w:szCs w:val="24"/>
                <w:lang w:val="en-US" w:eastAsia="zh-CN"/>
              </w:rPr>
              <w:t>4</w:t>
            </w:r>
            <w:r>
              <w:rPr>
                <w:rFonts w:ascii="Times New Roman" w:hAnsi="Times New Roman" w:eastAsia="宋体" w:cs="Times New Roman"/>
                <w:b/>
                <w:bCs/>
                <w:color w:val="auto"/>
                <w:kern w:val="2"/>
                <w:szCs w:val="24"/>
                <w:lang w:val="zh-CN"/>
              </w:rPr>
              <w:t xml:space="preserve"> </w:t>
            </w:r>
            <w:r>
              <w:rPr>
                <w:rFonts w:ascii="Times New Roman" w:hAnsi="Times New Roman" w:eastAsia="宋体" w:cs="Times New Roman"/>
                <w:b/>
                <w:bCs/>
                <w:color w:val="auto"/>
                <w:kern w:val="2"/>
                <w:szCs w:val="24"/>
              </w:rPr>
              <w:t xml:space="preserve"> </w:t>
            </w:r>
            <w:r>
              <w:rPr>
                <w:rFonts w:ascii="Times New Roman" w:hAnsi="Times New Roman" w:eastAsia="宋体" w:cs="Times New Roman"/>
                <w:b/>
                <w:bCs/>
                <w:color w:val="auto"/>
                <w:kern w:val="2"/>
                <w:szCs w:val="24"/>
                <w:lang w:val="zh-CN"/>
              </w:rPr>
              <w:t>大气污染物排放标准</w:t>
            </w:r>
          </w:p>
          <w:tbl>
            <w:tblPr>
              <w:tblStyle w:val="2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826"/>
              <w:gridCol w:w="1183"/>
              <w:gridCol w:w="1289"/>
              <w:gridCol w:w="1024"/>
              <w:gridCol w:w="789"/>
              <w:gridCol w:w="862"/>
              <w:gridCol w:w="2443"/>
            </w:tblGrid>
            <w:tr w14:paraId="39AA06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69" w:hRule="atLeast"/>
                <w:jc w:val="center"/>
              </w:trPr>
              <w:tc>
                <w:tcPr>
                  <w:tcW w:w="493" w:type="pct"/>
                  <w:vMerge w:val="restart"/>
                  <w:tcBorders>
                    <w:tl2br w:val="nil"/>
                    <w:tr2bl w:val="nil"/>
                  </w:tcBorders>
                  <w:vAlign w:val="center"/>
                </w:tcPr>
                <w:p w14:paraId="6C0D751D">
                  <w:pPr>
                    <w:jc w:val="center"/>
                    <w:rPr>
                      <w:b/>
                      <w:color w:val="auto"/>
                      <w:szCs w:val="21"/>
                      <w:lang w:bidi="ar"/>
                    </w:rPr>
                  </w:pPr>
                  <w:r>
                    <w:rPr>
                      <w:b/>
                      <w:color w:val="auto"/>
                      <w:szCs w:val="21"/>
                      <w:lang w:bidi="ar"/>
                    </w:rPr>
                    <w:t>污染物名称</w:t>
                  </w:r>
                </w:p>
              </w:tc>
              <w:tc>
                <w:tcPr>
                  <w:tcW w:w="705" w:type="pct"/>
                  <w:vMerge w:val="restart"/>
                  <w:tcBorders>
                    <w:tl2br w:val="nil"/>
                    <w:tr2bl w:val="nil"/>
                  </w:tcBorders>
                  <w:vAlign w:val="center"/>
                </w:tcPr>
                <w:p w14:paraId="778ABE5F">
                  <w:pPr>
                    <w:jc w:val="center"/>
                    <w:rPr>
                      <w:rFonts w:hint="default" w:eastAsia="宋体"/>
                      <w:b/>
                      <w:color w:val="auto"/>
                      <w:szCs w:val="21"/>
                      <w:lang w:val="en-US" w:eastAsia="zh-CN" w:bidi="ar"/>
                    </w:rPr>
                  </w:pPr>
                  <w:r>
                    <w:rPr>
                      <w:rFonts w:hint="eastAsia"/>
                      <w:b/>
                      <w:color w:val="auto"/>
                      <w:szCs w:val="21"/>
                      <w:lang w:val="en-US" w:eastAsia="zh-CN" w:bidi="ar"/>
                    </w:rPr>
                    <w:t>排放形式</w:t>
                  </w:r>
                </w:p>
              </w:tc>
              <w:tc>
                <w:tcPr>
                  <w:tcW w:w="768" w:type="pct"/>
                  <w:vMerge w:val="restart"/>
                  <w:tcBorders>
                    <w:tl2br w:val="nil"/>
                    <w:tr2bl w:val="nil"/>
                  </w:tcBorders>
                  <w:vAlign w:val="center"/>
                </w:tcPr>
                <w:p w14:paraId="7D3F6CEA">
                  <w:pPr>
                    <w:jc w:val="center"/>
                    <w:rPr>
                      <w:b/>
                      <w:color w:val="auto"/>
                      <w:szCs w:val="21"/>
                      <w:lang w:bidi="ar"/>
                    </w:rPr>
                  </w:pPr>
                  <w:r>
                    <w:rPr>
                      <w:b/>
                      <w:color w:val="auto"/>
                      <w:szCs w:val="21"/>
                      <w:lang w:bidi="ar"/>
                    </w:rPr>
                    <w:t>废气名称</w:t>
                  </w:r>
                </w:p>
              </w:tc>
              <w:tc>
                <w:tcPr>
                  <w:tcW w:w="595" w:type="pct"/>
                  <w:vMerge w:val="restart"/>
                  <w:tcBorders>
                    <w:tl2br w:val="nil"/>
                    <w:tr2bl w:val="nil"/>
                  </w:tcBorders>
                  <w:vAlign w:val="center"/>
                </w:tcPr>
                <w:p w14:paraId="0F29DA9E">
                  <w:pPr>
                    <w:jc w:val="center"/>
                    <w:rPr>
                      <w:color w:val="auto"/>
                      <w:szCs w:val="21"/>
                    </w:rPr>
                  </w:pPr>
                  <w:r>
                    <w:rPr>
                      <w:b/>
                      <w:color w:val="auto"/>
                      <w:szCs w:val="21"/>
                      <w:lang w:bidi="ar"/>
                    </w:rPr>
                    <w:t>最高允许排放浓度(</w:t>
                  </w:r>
                  <w:r>
                    <w:rPr>
                      <w:b/>
                      <w:bCs/>
                      <w:color w:val="auto"/>
                      <w:szCs w:val="21"/>
                    </w:rPr>
                    <w:t>mg</w:t>
                  </w:r>
                  <w:r>
                    <w:rPr>
                      <w:b/>
                      <w:bCs/>
                      <w:color w:val="auto"/>
                      <w:spacing w:val="3"/>
                      <w:szCs w:val="21"/>
                    </w:rPr>
                    <w:t>/m</w:t>
                  </w:r>
                  <w:r>
                    <w:rPr>
                      <w:rFonts w:hint="eastAsia"/>
                      <w:b/>
                      <w:bCs/>
                      <w:color w:val="auto"/>
                      <w:spacing w:val="3"/>
                      <w:szCs w:val="21"/>
                      <w:vertAlign w:val="superscript"/>
                      <w:lang w:val="en-US" w:eastAsia="zh-CN"/>
                    </w:rPr>
                    <w:t>3</w:t>
                  </w:r>
                  <w:r>
                    <w:rPr>
                      <w:b/>
                      <w:color w:val="auto"/>
                      <w:szCs w:val="21"/>
                      <w:lang w:bidi="ar"/>
                    </w:rPr>
                    <w:t>)</w:t>
                  </w:r>
                  <w:r>
                    <w:rPr>
                      <w:b/>
                      <w:bCs/>
                      <w:color w:val="auto"/>
                      <w:spacing w:val="3"/>
                      <w:position w:val="6"/>
                      <w:szCs w:val="21"/>
                    </w:rPr>
                    <w:t xml:space="preserve"> </w:t>
                  </w:r>
                </w:p>
              </w:tc>
              <w:tc>
                <w:tcPr>
                  <w:tcW w:w="985" w:type="pct"/>
                  <w:gridSpan w:val="2"/>
                  <w:tcBorders>
                    <w:tl2br w:val="nil"/>
                    <w:tr2bl w:val="nil"/>
                  </w:tcBorders>
                  <w:vAlign w:val="center"/>
                </w:tcPr>
                <w:p w14:paraId="553C5AB1">
                  <w:pPr>
                    <w:jc w:val="center"/>
                    <w:rPr>
                      <w:b/>
                      <w:color w:val="auto"/>
                      <w:szCs w:val="21"/>
                      <w:lang w:bidi="ar"/>
                    </w:rPr>
                  </w:pPr>
                  <w:r>
                    <w:rPr>
                      <w:b/>
                      <w:color w:val="auto"/>
                      <w:szCs w:val="21"/>
                      <w:lang w:bidi="ar"/>
                    </w:rPr>
                    <w:t>最高允许排放速率</w:t>
                  </w:r>
                </w:p>
              </w:tc>
              <w:tc>
                <w:tcPr>
                  <w:tcW w:w="1453" w:type="pct"/>
                  <w:vMerge w:val="restart"/>
                  <w:tcBorders>
                    <w:tl2br w:val="nil"/>
                    <w:tr2bl w:val="nil"/>
                  </w:tcBorders>
                  <w:vAlign w:val="center"/>
                </w:tcPr>
                <w:p w14:paraId="7348239B">
                  <w:pPr>
                    <w:jc w:val="center"/>
                    <w:rPr>
                      <w:b/>
                      <w:color w:val="auto"/>
                      <w:szCs w:val="21"/>
                      <w:lang w:bidi="ar"/>
                    </w:rPr>
                  </w:pPr>
                  <w:r>
                    <w:rPr>
                      <w:b/>
                      <w:color w:val="auto"/>
                      <w:szCs w:val="21"/>
                      <w:lang w:bidi="ar"/>
                    </w:rPr>
                    <w:t>标准来源</w:t>
                  </w:r>
                </w:p>
              </w:tc>
            </w:tr>
            <w:tr w14:paraId="0839A1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69" w:hRule="atLeast"/>
                <w:jc w:val="center"/>
              </w:trPr>
              <w:tc>
                <w:tcPr>
                  <w:tcW w:w="493" w:type="pct"/>
                  <w:vMerge w:val="continue"/>
                  <w:tcBorders>
                    <w:tl2br w:val="nil"/>
                    <w:tr2bl w:val="nil"/>
                  </w:tcBorders>
                  <w:vAlign w:val="center"/>
                </w:tcPr>
                <w:p w14:paraId="71CC28FC">
                  <w:pPr>
                    <w:jc w:val="center"/>
                    <w:rPr>
                      <w:color w:val="auto"/>
                      <w:szCs w:val="21"/>
                    </w:rPr>
                  </w:pPr>
                </w:p>
              </w:tc>
              <w:tc>
                <w:tcPr>
                  <w:tcW w:w="705" w:type="pct"/>
                  <w:vMerge w:val="continue"/>
                  <w:tcBorders>
                    <w:tl2br w:val="nil"/>
                    <w:tr2bl w:val="nil"/>
                  </w:tcBorders>
                  <w:vAlign w:val="center"/>
                </w:tcPr>
                <w:p w14:paraId="21D7DC91">
                  <w:pPr>
                    <w:jc w:val="center"/>
                    <w:rPr>
                      <w:color w:val="auto"/>
                      <w:szCs w:val="21"/>
                    </w:rPr>
                  </w:pPr>
                </w:p>
              </w:tc>
              <w:tc>
                <w:tcPr>
                  <w:tcW w:w="768" w:type="pct"/>
                  <w:vMerge w:val="continue"/>
                  <w:tcBorders>
                    <w:tl2br w:val="nil"/>
                    <w:tr2bl w:val="nil"/>
                  </w:tcBorders>
                  <w:vAlign w:val="center"/>
                </w:tcPr>
                <w:p w14:paraId="235D0E43">
                  <w:pPr>
                    <w:jc w:val="center"/>
                    <w:rPr>
                      <w:color w:val="auto"/>
                      <w:szCs w:val="21"/>
                    </w:rPr>
                  </w:pPr>
                </w:p>
              </w:tc>
              <w:tc>
                <w:tcPr>
                  <w:tcW w:w="595" w:type="pct"/>
                  <w:vMerge w:val="continue"/>
                  <w:tcBorders>
                    <w:tl2br w:val="nil"/>
                    <w:tr2bl w:val="nil"/>
                  </w:tcBorders>
                  <w:vAlign w:val="center"/>
                </w:tcPr>
                <w:p w14:paraId="102729D8">
                  <w:pPr>
                    <w:jc w:val="center"/>
                    <w:rPr>
                      <w:color w:val="auto"/>
                      <w:szCs w:val="21"/>
                    </w:rPr>
                  </w:pPr>
                </w:p>
              </w:tc>
              <w:tc>
                <w:tcPr>
                  <w:tcW w:w="471" w:type="pct"/>
                  <w:tcBorders>
                    <w:tl2br w:val="nil"/>
                    <w:tr2bl w:val="nil"/>
                  </w:tcBorders>
                  <w:vAlign w:val="center"/>
                </w:tcPr>
                <w:p w14:paraId="59DEF679">
                  <w:pPr>
                    <w:jc w:val="center"/>
                    <w:rPr>
                      <w:b/>
                      <w:color w:val="auto"/>
                      <w:szCs w:val="21"/>
                      <w:lang w:bidi="ar"/>
                    </w:rPr>
                  </w:pPr>
                  <w:r>
                    <w:rPr>
                      <w:b/>
                      <w:color w:val="auto"/>
                      <w:szCs w:val="21"/>
                      <w:lang w:bidi="ar"/>
                    </w:rPr>
                    <w:t>排气筒（m）</w:t>
                  </w:r>
                </w:p>
              </w:tc>
              <w:tc>
                <w:tcPr>
                  <w:tcW w:w="513" w:type="pct"/>
                  <w:tcBorders>
                    <w:tl2br w:val="nil"/>
                    <w:tr2bl w:val="nil"/>
                  </w:tcBorders>
                  <w:vAlign w:val="center"/>
                </w:tcPr>
                <w:p w14:paraId="0FF2FBF8">
                  <w:pPr>
                    <w:jc w:val="center"/>
                    <w:rPr>
                      <w:b/>
                      <w:color w:val="auto"/>
                      <w:szCs w:val="21"/>
                      <w:lang w:bidi="ar"/>
                    </w:rPr>
                  </w:pPr>
                  <w:r>
                    <w:rPr>
                      <w:b/>
                      <w:color w:val="auto"/>
                      <w:szCs w:val="21"/>
                      <w:lang w:bidi="ar"/>
                    </w:rPr>
                    <w:t>排放速率(kg/h)</w:t>
                  </w:r>
                </w:p>
              </w:tc>
              <w:tc>
                <w:tcPr>
                  <w:tcW w:w="1453" w:type="pct"/>
                  <w:vMerge w:val="continue"/>
                  <w:tcBorders>
                    <w:tl2br w:val="nil"/>
                    <w:tr2bl w:val="nil"/>
                  </w:tcBorders>
                  <w:vAlign w:val="center"/>
                </w:tcPr>
                <w:p w14:paraId="39CA1EB8">
                  <w:pPr>
                    <w:jc w:val="center"/>
                    <w:rPr>
                      <w:b/>
                      <w:color w:val="auto"/>
                      <w:szCs w:val="21"/>
                      <w:lang w:bidi="ar"/>
                    </w:rPr>
                  </w:pPr>
                </w:p>
              </w:tc>
            </w:tr>
            <w:tr w14:paraId="3514B7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702" w:hRule="atLeast"/>
                <w:jc w:val="center"/>
              </w:trPr>
              <w:tc>
                <w:tcPr>
                  <w:tcW w:w="493" w:type="pct"/>
                  <w:tcBorders>
                    <w:tl2br w:val="nil"/>
                    <w:tr2bl w:val="nil"/>
                  </w:tcBorders>
                  <w:vAlign w:val="center"/>
                </w:tcPr>
                <w:p w14:paraId="57C9363A">
                  <w:pPr>
                    <w:pStyle w:val="12"/>
                    <w:adjustRightInd w:val="0"/>
                    <w:snapToGrid w:val="0"/>
                    <w:ind w:left="0" w:leftChars="0" w:firstLine="0" w:firstLineChars="0"/>
                    <w:jc w:val="center"/>
                    <w:rPr>
                      <w:rFonts w:hint="default" w:eastAsia="宋体"/>
                      <w:color w:val="auto"/>
                      <w:szCs w:val="21"/>
                      <w:lang w:val="en-US" w:eastAsia="zh-CN"/>
                    </w:rPr>
                  </w:pPr>
                  <w:r>
                    <w:rPr>
                      <w:rFonts w:hint="eastAsia"/>
                      <w:color w:val="auto"/>
                      <w:szCs w:val="21"/>
                      <w:lang w:val="en-US" w:eastAsia="zh-CN"/>
                    </w:rPr>
                    <w:t>颗粒物</w:t>
                  </w:r>
                </w:p>
              </w:tc>
              <w:tc>
                <w:tcPr>
                  <w:tcW w:w="705" w:type="pct"/>
                  <w:vMerge w:val="restart"/>
                  <w:tcBorders>
                    <w:tl2br w:val="nil"/>
                    <w:tr2bl w:val="nil"/>
                  </w:tcBorders>
                  <w:vAlign w:val="center"/>
                </w:tcPr>
                <w:p w14:paraId="46495D0A">
                  <w:pPr>
                    <w:pStyle w:val="12"/>
                    <w:adjustRightInd w:val="0"/>
                    <w:snapToGrid w:val="0"/>
                    <w:ind w:left="0" w:firstLine="0" w:firstLineChars="0"/>
                    <w:jc w:val="center"/>
                    <w:rPr>
                      <w:rFonts w:hint="default"/>
                      <w:color w:val="auto"/>
                      <w:szCs w:val="21"/>
                      <w:lang w:val="en-US" w:eastAsia="zh-CN"/>
                    </w:rPr>
                  </w:pPr>
                  <w:r>
                    <w:rPr>
                      <w:rFonts w:hint="eastAsia"/>
                      <w:color w:val="auto"/>
                      <w:szCs w:val="21"/>
                      <w:lang w:val="en-US" w:eastAsia="zh-CN"/>
                    </w:rPr>
                    <w:t>有组织</w:t>
                  </w:r>
                </w:p>
              </w:tc>
              <w:tc>
                <w:tcPr>
                  <w:tcW w:w="768" w:type="pct"/>
                  <w:vMerge w:val="restart"/>
                  <w:tcBorders>
                    <w:tl2br w:val="nil"/>
                    <w:tr2bl w:val="nil"/>
                  </w:tcBorders>
                  <w:vAlign w:val="center"/>
                </w:tcPr>
                <w:p w14:paraId="6145C25C">
                  <w:pPr>
                    <w:pStyle w:val="12"/>
                    <w:adjustRightInd w:val="0"/>
                    <w:snapToGrid w:val="0"/>
                    <w:ind w:left="0" w:firstLine="0" w:firstLineChars="0"/>
                    <w:jc w:val="center"/>
                    <w:rPr>
                      <w:rFonts w:hint="default"/>
                      <w:color w:val="auto"/>
                      <w:szCs w:val="21"/>
                      <w:lang w:val="en-US" w:eastAsia="zh-CN"/>
                    </w:rPr>
                  </w:pPr>
                  <w:r>
                    <w:rPr>
                      <w:rFonts w:hint="eastAsia"/>
                      <w:color w:val="auto"/>
                      <w:szCs w:val="21"/>
                      <w:lang w:val="en-US" w:eastAsia="zh-CN"/>
                    </w:rPr>
                    <w:t>锅炉烟气</w:t>
                  </w:r>
                </w:p>
              </w:tc>
              <w:tc>
                <w:tcPr>
                  <w:tcW w:w="595" w:type="pct"/>
                  <w:tcBorders>
                    <w:tl2br w:val="nil"/>
                    <w:tr2bl w:val="nil"/>
                  </w:tcBorders>
                  <w:vAlign w:val="center"/>
                </w:tcPr>
                <w:p w14:paraId="1775E8E4">
                  <w:pPr>
                    <w:pStyle w:val="12"/>
                    <w:adjustRightInd w:val="0"/>
                    <w:snapToGrid w:val="0"/>
                    <w:ind w:left="0" w:leftChars="0" w:firstLine="0" w:firstLineChars="0"/>
                    <w:jc w:val="center"/>
                    <w:rPr>
                      <w:rFonts w:hint="default" w:eastAsia="宋体"/>
                      <w:color w:val="auto"/>
                      <w:szCs w:val="21"/>
                      <w:lang w:val="en-US" w:eastAsia="zh-CN"/>
                    </w:rPr>
                  </w:pPr>
                  <w:r>
                    <w:rPr>
                      <w:rFonts w:hint="eastAsia"/>
                      <w:color w:val="auto"/>
                      <w:szCs w:val="21"/>
                      <w:lang w:val="en-US" w:eastAsia="zh-CN"/>
                    </w:rPr>
                    <w:t>20</w:t>
                  </w:r>
                </w:p>
              </w:tc>
              <w:tc>
                <w:tcPr>
                  <w:tcW w:w="471" w:type="pct"/>
                  <w:vMerge w:val="restart"/>
                  <w:tcBorders>
                    <w:tl2br w:val="nil"/>
                    <w:tr2bl w:val="nil"/>
                  </w:tcBorders>
                  <w:vAlign w:val="center"/>
                </w:tcPr>
                <w:p w14:paraId="1561FDA5">
                  <w:pPr>
                    <w:pStyle w:val="12"/>
                    <w:adjustRightInd w:val="0"/>
                    <w:snapToGrid w:val="0"/>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35</w:t>
                  </w:r>
                </w:p>
              </w:tc>
              <w:tc>
                <w:tcPr>
                  <w:tcW w:w="513" w:type="pct"/>
                  <w:tcBorders>
                    <w:tl2br w:val="nil"/>
                    <w:tr2bl w:val="nil"/>
                  </w:tcBorders>
                  <w:vAlign w:val="center"/>
                </w:tcPr>
                <w:p w14:paraId="27E2034B">
                  <w:pPr>
                    <w:adjustRightInd w:val="0"/>
                    <w:snapToGrid w:val="0"/>
                    <w:jc w:val="center"/>
                    <w:rPr>
                      <w:rFonts w:hint="default" w:eastAsia="宋体"/>
                      <w:color w:val="auto"/>
                      <w:szCs w:val="21"/>
                      <w:lang w:val="en-US" w:eastAsia="zh-CN"/>
                    </w:rPr>
                  </w:pPr>
                  <w:r>
                    <w:rPr>
                      <w:color w:val="auto"/>
                      <w:szCs w:val="21"/>
                    </w:rPr>
                    <w:t>/</w:t>
                  </w:r>
                </w:p>
              </w:tc>
              <w:tc>
                <w:tcPr>
                  <w:tcW w:w="1453" w:type="pct"/>
                  <w:vMerge w:val="restart"/>
                  <w:tcBorders>
                    <w:tl2br w:val="nil"/>
                    <w:tr2bl w:val="nil"/>
                  </w:tcBorders>
                  <w:vAlign w:val="center"/>
                </w:tcPr>
                <w:p w14:paraId="24C19FBE">
                  <w:pPr>
                    <w:jc w:val="both"/>
                    <w:rPr>
                      <w:rFonts w:hint="default" w:ascii="Times New Roman" w:hAnsi="Times New Roman" w:cs="Times New Roman"/>
                      <w:color w:val="auto"/>
                      <w:sz w:val="21"/>
                      <w:szCs w:val="21"/>
                      <w:lang w:val="en-US" w:eastAsia="zh-CN"/>
                    </w:rPr>
                  </w:pPr>
                  <w:r>
                    <w:rPr>
                      <w:rFonts w:hint="eastAsia"/>
                      <w:bCs/>
                      <w:color w:val="auto"/>
                      <w:sz w:val="21"/>
                      <w:szCs w:val="21"/>
                      <w:lang w:val="en-US" w:eastAsia="zh-CN"/>
                    </w:rPr>
                    <w:t>《锅炉大气污染物排放标准》（GB13271-2014）表2中燃气锅炉排放限值</w:t>
                  </w:r>
                </w:p>
              </w:tc>
            </w:tr>
            <w:tr w14:paraId="450BB9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702" w:hRule="atLeast"/>
                <w:jc w:val="center"/>
              </w:trPr>
              <w:tc>
                <w:tcPr>
                  <w:tcW w:w="493" w:type="pct"/>
                  <w:tcBorders>
                    <w:tl2br w:val="nil"/>
                    <w:tr2bl w:val="nil"/>
                  </w:tcBorders>
                  <w:vAlign w:val="center"/>
                </w:tcPr>
                <w:p w14:paraId="63ED51B5">
                  <w:pPr>
                    <w:pStyle w:val="12"/>
                    <w:adjustRightInd w:val="0"/>
                    <w:snapToGrid w:val="0"/>
                    <w:ind w:left="0" w:leftChars="0" w:firstLine="0" w:firstLineChars="0"/>
                    <w:jc w:val="center"/>
                    <w:rPr>
                      <w:rFonts w:hint="default"/>
                      <w:color w:val="auto"/>
                      <w:kern w:val="0"/>
                      <w:sz w:val="21"/>
                      <w:szCs w:val="21"/>
                      <w:lang w:val="en-US" w:eastAsia="zh-CN" w:bidi="ar"/>
                    </w:rPr>
                  </w:pPr>
                  <w:r>
                    <w:rPr>
                      <w:rFonts w:hint="eastAsia"/>
                      <w:color w:val="auto"/>
                      <w:szCs w:val="21"/>
                      <w:lang w:val="en-US" w:eastAsia="zh-CN"/>
                    </w:rPr>
                    <w:t>SO</w:t>
                  </w:r>
                  <w:r>
                    <w:rPr>
                      <w:rFonts w:hint="eastAsia"/>
                      <w:color w:val="auto"/>
                      <w:szCs w:val="21"/>
                      <w:vertAlign w:val="subscript"/>
                      <w:lang w:val="en-US" w:eastAsia="zh-CN"/>
                    </w:rPr>
                    <w:t>2</w:t>
                  </w:r>
                </w:p>
              </w:tc>
              <w:tc>
                <w:tcPr>
                  <w:tcW w:w="705" w:type="pct"/>
                  <w:vMerge w:val="continue"/>
                  <w:tcBorders>
                    <w:tl2br w:val="nil"/>
                    <w:tr2bl w:val="nil"/>
                  </w:tcBorders>
                  <w:vAlign w:val="center"/>
                </w:tcPr>
                <w:p w14:paraId="1263995B">
                  <w:pPr>
                    <w:pStyle w:val="12"/>
                    <w:adjustRightInd w:val="0"/>
                    <w:snapToGrid w:val="0"/>
                    <w:ind w:left="0" w:firstLine="0" w:firstLineChars="0"/>
                    <w:jc w:val="center"/>
                    <w:rPr>
                      <w:rFonts w:hint="eastAsia"/>
                      <w:color w:val="auto"/>
                      <w:szCs w:val="21"/>
                      <w:lang w:val="en-US" w:eastAsia="zh-CN"/>
                    </w:rPr>
                  </w:pPr>
                </w:p>
              </w:tc>
              <w:tc>
                <w:tcPr>
                  <w:tcW w:w="768" w:type="pct"/>
                  <w:vMerge w:val="continue"/>
                  <w:tcBorders>
                    <w:tl2br w:val="nil"/>
                    <w:tr2bl w:val="nil"/>
                  </w:tcBorders>
                  <w:vAlign w:val="center"/>
                </w:tcPr>
                <w:p w14:paraId="55ADCD0E">
                  <w:pPr>
                    <w:pStyle w:val="12"/>
                    <w:adjustRightInd w:val="0"/>
                    <w:snapToGrid w:val="0"/>
                    <w:ind w:left="0" w:firstLine="0" w:firstLineChars="0"/>
                    <w:jc w:val="center"/>
                    <w:rPr>
                      <w:rFonts w:hint="default"/>
                      <w:color w:val="auto"/>
                      <w:szCs w:val="21"/>
                      <w:lang w:val="en-US" w:eastAsia="zh-CN"/>
                    </w:rPr>
                  </w:pPr>
                </w:p>
              </w:tc>
              <w:tc>
                <w:tcPr>
                  <w:tcW w:w="595" w:type="pct"/>
                  <w:tcBorders>
                    <w:tl2br w:val="nil"/>
                    <w:tr2bl w:val="nil"/>
                  </w:tcBorders>
                  <w:vAlign w:val="center"/>
                </w:tcPr>
                <w:p w14:paraId="7D705A3F">
                  <w:pPr>
                    <w:pStyle w:val="12"/>
                    <w:adjustRightInd w:val="0"/>
                    <w:snapToGrid w:val="0"/>
                    <w:ind w:left="0" w:leftChars="0" w:firstLine="0" w:firstLineChars="0"/>
                    <w:jc w:val="center"/>
                    <w:rPr>
                      <w:rFonts w:hint="default"/>
                      <w:color w:val="auto"/>
                      <w:szCs w:val="21"/>
                      <w:lang w:val="en-US" w:eastAsia="zh-CN"/>
                    </w:rPr>
                  </w:pPr>
                  <w:r>
                    <w:rPr>
                      <w:rFonts w:hint="eastAsia"/>
                      <w:color w:val="auto"/>
                      <w:szCs w:val="21"/>
                      <w:lang w:val="en-US" w:eastAsia="zh-CN"/>
                    </w:rPr>
                    <w:t>50</w:t>
                  </w:r>
                </w:p>
              </w:tc>
              <w:tc>
                <w:tcPr>
                  <w:tcW w:w="471" w:type="pct"/>
                  <w:vMerge w:val="continue"/>
                  <w:tcBorders>
                    <w:tl2br w:val="nil"/>
                    <w:tr2bl w:val="nil"/>
                  </w:tcBorders>
                  <w:vAlign w:val="center"/>
                </w:tcPr>
                <w:p w14:paraId="07DF9762">
                  <w:pPr>
                    <w:adjustRightInd w:val="0"/>
                    <w:snapToGrid w:val="0"/>
                    <w:jc w:val="center"/>
                    <w:rPr>
                      <w:rFonts w:hint="default"/>
                      <w:color w:val="auto"/>
                      <w:szCs w:val="21"/>
                      <w:lang w:val="en-US" w:eastAsia="zh-CN"/>
                    </w:rPr>
                  </w:pPr>
                </w:p>
              </w:tc>
              <w:tc>
                <w:tcPr>
                  <w:tcW w:w="513" w:type="pct"/>
                  <w:tcBorders>
                    <w:tl2br w:val="nil"/>
                    <w:tr2bl w:val="nil"/>
                  </w:tcBorders>
                  <w:vAlign w:val="center"/>
                </w:tcPr>
                <w:p w14:paraId="15865790">
                  <w:pPr>
                    <w:adjustRightInd w:val="0"/>
                    <w:snapToGrid w:val="0"/>
                    <w:jc w:val="center"/>
                    <w:rPr>
                      <w:rFonts w:hint="eastAsia" w:eastAsia="宋体"/>
                      <w:color w:val="auto"/>
                      <w:szCs w:val="21"/>
                      <w:lang w:val="en-US" w:eastAsia="zh-CN"/>
                    </w:rPr>
                  </w:pPr>
                  <w:r>
                    <w:rPr>
                      <w:rFonts w:hint="eastAsia"/>
                      <w:color w:val="auto"/>
                      <w:szCs w:val="21"/>
                      <w:lang w:val="en-US" w:eastAsia="zh-CN"/>
                    </w:rPr>
                    <w:t>/</w:t>
                  </w:r>
                </w:p>
              </w:tc>
              <w:tc>
                <w:tcPr>
                  <w:tcW w:w="1453" w:type="pct"/>
                  <w:vMerge w:val="continue"/>
                  <w:tcBorders>
                    <w:tl2br w:val="nil"/>
                    <w:tr2bl w:val="nil"/>
                  </w:tcBorders>
                  <w:vAlign w:val="center"/>
                </w:tcPr>
                <w:p w14:paraId="4C6D740F">
                  <w:pPr>
                    <w:jc w:val="center"/>
                    <w:rPr>
                      <w:rFonts w:hint="eastAsia" w:ascii="宋体" w:hAnsi="宋体" w:cs="宋体"/>
                      <w:color w:val="auto"/>
                      <w:kern w:val="0"/>
                      <w:sz w:val="21"/>
                      <w:szCs w:val="21"/>
                      <w:lang w:bidi="ar"/>
                    </w:rPr>
                  </w:pPr>
                </w:p>
              </w:tc>
            </w:tr>
            <w:tr w14:paraId="2B3F3A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702" w:hRule="atLeast"/>
                <w:jc w:val="center"/>
              </w:trPr>
              <w:tc>
                <w:tcPr>
                  <w:tcW w:w="493" w:type="pct"/>
                  <w:tcBorders>
                    <w:tl2br w:val="nil"/>
                    <w:tr2bl w:val="nil"/>
                  </w:tcBorders>
                  <w:vAlign w:val="center"/>
                </w:tcPr>
                <w:p w14:paraId="151D3CB1">
                  <w:pPr>
                    <w:pStyle w:val="12"/>
                    <w:adjustRightInd w:val="0"/>
                    <w:snapToGrid w:val="0"/>
                    <w:ind w:left="0" w:leftChars="0" w:firstLine="0" w:firstLineChars="0"/>
                    <w:jc w:val="center"/>
                    <w:rPr>
                      <w:rFonts w:hint="default" w:eastAsia="宋体"/>
                      <w:color w:val="auto"/>
                      <w:szCs w:val="21"/>
                      <w:lang w:val="en-US" w:eastAsia="zh-CN"/>
                    </w:rPr>
                  </w:pPr>
                  <w:r>
                    <w:rPr>
                      <w:rFonts w:hint="eastAsia"/>
                      <w:color w:val="auto"/>
                      <w:szCs w:val="21"/>
                      <w:lang w:val="en-US" w:eastAsia="zh-CN"/>
                    </w:rPr>
                    <w:t>NO</w:t>
                  </w:r>
                  <w:r>
                    <w:rPr>
                      <w:rFonts w:hint="eastAsia"/>
                      <w:color w:val="auto"/>
                      <w:szCs w:val="21"/>
                      <w:vertAlign w:val="subscript"/>
                      <w:lang w:val="en-US" w:eastAsia="zh-CN"/>
                    </w:rPr>
                    <w:t>X</w:t>
                  </w:r>
                </w:p>
              </w:tc>
              <w:tc>
                <w:tcPr>
                  <w:tcW w:w="705" w:type="pct"/>
                  <w:vMerge w:val="continue"/>
                  <w:tcBorders>
                    <w:tl2br w:val="nil"/>
                    <w:tr2bl w:val="nil"/>
                  </w:tcBorders>
                  <w:shd w:val="clear" w:color="auto" w:fill="auto"/>
                  <w:vAlign w:val="center"/>
                </w:tcPr>
                <w:p w14:paraId="643A5C32">
                  <w:pPr>
                    <w:pStyle w:val="12"/>
                    <w:adjustRightInd w:val="0"/>
                    <w:snapToGrid w:val="0"/>
                    <w:ind w:left="0" w:firstLine="0" w:firstLineChars="0"/>
                    <w:jc w:val="center"/>
                    <w:rPr>
                      <w:rFonts w:hint="eastAsia"/>
                      <w:color w:val="auto"/>
                      <w:szCs w:val="21"/>
                      <w:lang w:val="en-US" w:eastAsia="zh-CN"/>
                    </w:rPr>
                  </w:pPr>
                </w:p>
              </w:tc>
              <w:tc>
                <w:tcPr>
                  <w:tcW w:w="768" w:type="pct"/>
                  <w:vMerge w:val="continue"/>
                  <w:tcBorders>
                    <w:tl2br w:val="nil"/>
                    <w:tr2bl w:val="nil"/>
                  </w:tcBorders>
                  <w:shd w:val="clear" w:color="auto" w:fill="auto"/>
                  <w:vAlign w:val="center"/>
                </w:tcPr>
                <w:p w14:paraId="2130A960">
                  <w:pPr>
                    <w:pStyle w:val="12"/>
                    <w:adjustRightInd w:val="0"/>
                    <w:snapToGrid w:val="0"/>
                    <w:ind w:left="0" w:firstLine="0" w:firstLineChars="0"/>
                    <w:jc w:val="center"/>
                    <w:rPr>
                      <w:rFonts w:hint="default"/>
                      <w:color w:val="auto"/>
                      <w:szCs w:val="21"/>
                      <w:lang w:val="en-US" w:eastAsia="zh-CN"/>
                    </w:rPr>
                  </w:pPr>
                </w:p>
              </w:tc>
              <w:tc>
                <w:tcPr>
                  <w:tcW w:w="595" w:type="pct"/>
                  <w:tcBorders>
                    <w:tl2br w:val="nil"/>
                    <w:tr2bl w:val="nil"/>
                  </w:tcBorders>
                  <w:vAlign w:val="center"/>
                </w:tcPr>
                <w:p w14:paraId="63F1CC06">
                  <w:pPr>
                    <w:pStyle w:val="12"/>
                    <w:adjustRightInd w:val="0"/>
                    <w:snapToGrid w:val="0"/>
                    <w:ind w:left="0" w:firstLine="0" w:firstLineChars="0"/>
                    <w:jc w:val="center"/>
                    <w:rPr>
                      <w:rFonts w:hint="default"/>
                      <w:color w:val="auto"/>
                      <w:szCs w:val="21"/>
                      <w:lang w:val="en-US" w:eastAsia="zh-CN"/>
                    </w:rPr>
                  </w:pPr>
                  <w:r>
                    <w:rPr>
                      <w:rFonts w:hint="eastAsia"/>
                      <w:color w:val="auto"/>
                      <w:szCs w:val="21"/>
                      <w:lang w:val="en-US" w:eastAsia="zh-CN"/>
                    </w:rPr>
                    <w:t>200</w:t>
                  </w:r>
                </w:p>
              </w:tc>
              <w:tc>
                <w:tcPr>
                  <w:tcW w:w="471" w:type="pct"/>
                  <w:vMerge w:val="continue"/>
                  <w:tcBorders>
                    <w:tl2br w:val="nil"/>
                    <w:tr2bl w:val="nil"/>
                  </w:tcBorders>
                  <w:shd w:val="clear" w:color="auto" w:fill="auto"/>
                  <w:vAlign w:val="center"/>
                </w:tcPr>
                <w:p w14:paraId="794442F4">
                  <w:pPr>
                    <w:pStyle w:val="12"/>
                    <w:adjustRightInd w:val="0"/>
                    <w:snapToGrid w:val="0"/>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513" w:type="pct"/>
                  <w:tcBorders>
                    <w:tl2br w:val="nil"/>
                    <w:tr2bl w:val="nil"/>
                  </w:tcBorders>
                  <w:vAlign w:val="center"/>
                </w:tcPr>
                <w:p w14:paraId="5E89D742">
                  <w:pPr>
                    <w:adjustRightInd w:val="0"/>
                    <w:snapToGrid w:val="0"/>
                    <w:jc w:val="center"/>
                    <w:rPr>
                      <w:rFonts w:hint="eastAsia"/>
                      <w:color w:val="auto"/>
                      <w:szCs w:val="21"/>
                      <w:lang w:val="en-US" w:eastAsia="zh-CN"/>
                    </w:rPr>
                  </w:pPr>
                  <w:r>
                    <w:rPr>
                      <w:color w:val="auto"/>
                      <w:szCs w:val="21"/>
                    </w:rPr>
                    <w:t>/</w:t>
                  </w:r>
                </w:p>
              </w:tc>
              <w:tc>
                <w:tcPr>
                  <w:tcW w:w="1453" w:type="pct"/>
                  <w:vMerge w:val="continue"/>
                  <w:tcBorders>
                    <w:tl2br w:val="nil"/>
                    <w:tr2bl w:val="nil"/>
                  </w:tcBorders>
                  <w:vAlign w:val="center"/>
                </w:tcPr>
                <w:p w14:paraId="22265551">
                  <w:pPr>
                    <w:jc w:val="center"/>
                    <w:rPr>
                      <w:rFonts w:hint="default" w:ascii="Times New Roman" w:hAnsi="Times New Roman" w:cs="Times New Roman"/>
                      <w:color w:val="auto"/>
                      <w:sz w:val="21"/>
                      <w:szCs w:val="21"/>
                      <w:lang w:val="en-US" w:eastAsia="zh-CN"/>
                    </w:rPr>
                  </w:pPr>
                </w:p>
              </w:tc>
            </w:tr>
            <w:tr w14:paraId="43FC6B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702" w:hRule="atLeast"/>
                <w:jc w:val="center"/>
              </w:trPr>
              <w:tc>
                <w:tcPr>
                  <w:tcW w:w="493" w:type="pct"/>
                  <w:tcBorders>
                    <w:tl2br w:val="nil"/>
                    <w:tr2bl w:val="nil"/>
                  </w:tcBorders>
                  <w:vAlign w:val="center"/>
                </w:tcPr>
                <w:p w14:paraId="68490CDD">
                  <w:pPr>
                    <w:pStyle w:val="12"/>
                    <w:adjustRightInd w:val="0"/>
                    <w:snapToGrid w:val="0"/>
                    <w:ind w:left="0" w:leftChars="0" w:firstLine="0" w:firstLineChars="0"/>
                    <w:jc w:val="center"/>
                    <w:rPr>
                      <w:rFonts w:hint="default" w:eastAsia="宋体"/>
                      <w:color w:val="auto"/>
                      <w:szCs w:val="21"/>
                      <w:lang w:val="en-US" w:eastAsia="zh-CN"/>
                    </w:rPr>
                  </w:pPr>
                  <w:r>
                    <w:rPr>
                      <w:rFonts w:hint="eastAsia"/>
                      <w:color w:val="auto"/>
                      <w:szCs w:val="21"/>
                      <w:lang w:val="en-US" w:eastAsia="zh-CN"/>
                    </w:rPr>
                    <w:t>林格曼黑度</w:t>
                  </w:r>
                </w:p>
              </w:tc>
              <w:tc>
                <w:tcPr>
                  <w:tcW w:w="705" w:type="pct"/>
                  <w:vMerge w:val="continue"/>
                  <w:tcBorders>
                    <w:tl2br w:val="nil"/>
                    <w:tr2bl w:val="nil"/>
                  </w:tcBorders>
                  <w:shd w:val="clear" w:color="auto" w:fill="auto"/>
                  <w:vAlign w:val="center"/>
                </w:tcPr>
                <w:p w14:paraId="40281ECA">
                  <w:pPr>
                    <w:pStyle w:val="12"/>
                    <w:adjustRightInd w:val="0"/>
                    <w:snapToGrid w:val="0"/>
                    <w:ind w:left="0" w:firstLine="0" w:firstLineChars="0"/>
                    <w:jc w:val="center"/>
                    <w:rPr>
                      <w:rFonts w:hint="eastAsia"/>
                      <w:color w:val="auto"/>
                      <w:szCs w:val="21"/>
                      <w:lang w:val="en-US" w:eastAsia="zh-CN"/>
                    </w:rPr>
                  </w:pPr>
                </w:p>
              </w:tc>
              <w:tc>
                <w:tcPr>
                  <w:tcW w:w="768" w:type="pct"/>
                  <w:vMerge w:val="continue"/>
                  <w:tcBorders>
                    <w:tl2br w:val="nil"/>
                    <w:tr2bl w:val="nil"/>
                  </w:tcBorders>
                  <w:shd w:val="clear" w:color="auto" w:fill="auto"/>
                  <w:vAlign w:val="center"/>
                </w:tcPr>
                <w:p w14:paraId="444BE253">
                  <w:pPr>
                    <w:pStyle w:val="12"/>
                    <w:adjustRightInd w:val="0"/>
                    <w:snapToGrid w:val="0"/>
                    <w:ind w:left="0" w:firstLine="0" w:firstLineChars="0"/>
                    <w:jc w:val="center"/>
                    <w:rPr>
                      <w:rFonts w:hint="eastAsia"/>
                      <w:color w:val="auto"/>
                      <w:szCs w:val="21"/>
                      <w:lang w:val="en-US" w:eastAsia="zh-CN"/>
                    </w:rPr>
                  </w:pPr>
                </w:p>
              </w:tc>
              <w:tc>
                <w:tcPr>
                  <w:tcW w:w="595" w:type="pct"/>
                  <w:tcBorders>
                    <w:tl2br w:val="nil"/>
                    <w:tr2bl w:val="nil"/>
                  </w:tcBorders>
                  <w:vAlign w:val="center"/>
                </w:tcPr>
                <w:p w14:paraId="208B88E3">
                  <w:pPr>
                    <w:pStyle w:val="12"/>
                    <w:adjustRightInd w:val="0"/>
                    <w:snapToGrid w:val="0"/>
                    <w:ind w:left="0" w:firstLine="0" w:firstLineChars="0"/>
                    <w:jc w:val="center"/>
                    <w:rPr>
                      <w:rFonts w:hint="default"/>
                      <w:color w:val="auto"/>
                      <w:szCs w:val="21"/>
                      <w:lang w:val="en-US" w:eastAsia="zh-CN"/>
                    </w:rPr>
                  </w:pPr>
                  <w:r>
                    <w:rPr>
                      <w:rFonts w:hint="default" w:ascii="Times New Roman" w:hAnsi="Times New Roman" w:cs="Times New Roman"/>
                      <w:color w:val="auto"/>
                      <w:szCs w:val="21"/>
                      <w:lang w:val="en-US" w:eastAsia="zh-CN"/>
                    </w:rPr>
                    <w:t>≤1</w:t>
                  </w:r>
                </w:p>
              </w:tc>
              <w:tc>
                <w:tcPr>
                  <w:tcW w:w="471" w:type="pct"/>
                  <w:vMerge w:val="continue"/>
                  <w:tcBorders>
                    <w:tl2br w:val="nil"/>
                    <w:tr2bl w:val="nil"/>
                  </w:tcBorders>
                  <w:vAlign w:val="center"/>
                </w:tcPr>
                <w:p w14:paraId="40DBC7CC">
                  <w:pPr>
                    <w:adjustRightInd w:val="0"/>
                    <w:snapToGrid w:val="0"/>
                    <w:jc w:val="center"/>
                    <w:rPr>
                      <w:rFonts w:hint="eastAsia"/>
                      <w:color w:val="auto"/>
                      <w:szCs w:val="21"/>
                    </w:rPr>
                  </w:pPr>
                </w:p>
              </w:tc>
              <w:tc>
                <w:tcPr>
                  <w:tcW w:w="513" w:type="pct"/>
                  <w:tcBorders>
                    <w:tl2br w:val="nil"/>
                    <w:tr2bl w:val="nil"/>
                  </w:tcBorders>
                  <w:vAlign w:val="center"/>
                </w:tcPr>
                <w:p w14:paraId="2EFBD87D">
                  <w:pPr>
                    <w:adjustRightInd w:val="0"/>
                    <w:snapToGrid w:val="0"/>
                    <w:jc w:val="center"/>
                    <w:rPr>
                      <w:rFonts w:hint="eastAsia"/>
                      <w:color w:val="auto"/>
                      <w:szCs w:val="21"/>
                      <w:lang w:val="en-US" w:eastAsia="zh-CN"/>
                    </w:rPr>
                  </w:pPr>
                  <w:r>
                    <w:rPr>
                      <w:color w:val="auto"/>
                      <w:szCs w:val="21"/>
                    </w:rPr>
                    <w:t>/</w:t>
                  </w:r>
                </w:p>
              </w:tc>
              <w:tc>
                <w:tcPr>
                  <w:tcW w:w="1453" w:type="pct"/>
                  <w:vMerge w:val="continue"/>
                  <w:tcBorders>
                    <w:tl2br w:val="nil"/>
                    <w:tr2bl w:val="nil"/>
                  </w:tcBorders>
                  <w:vAlign w:val="center"/>
                </w:tcPr>
                <w:p w14:paraId="15405B30">
                  <w:pPr>
                    <w:jc w:val="center"/>
                    <w:rPr>
                      <w:rFonts w:hint="default" w:ascii="Times New Roman" w:hAnsi="Times New Roman" w:cs="Times New Roman"/>
                      <w:color w:val="auto"/>
                      <w:sz w:val="21"/>
                      <w:szCs w:val="21"/>
                      <w:lang w:eastAsia="zh-CN"/>
                    </w:rPr>
                  </w:pPr>
                </w:p>
              </w:tc>
            </w:tr>
          </w:tbl>
          <w:p w14:paraId="16396546">
            <w:pPr>
              <w:pStyle w:val="35"/>
              <w:spacing w:before="0" w:after="0" w:line="360" w:lineRule="auto"/>
              <w:ind w:firstLine="482" w:firstLineChars="200"/>
            </w:pPr>
            <w:r>
              <w:rPr>
                <w:rFonts w:hint="default" w:ascii="Times New Roman" w:hAnsi="Times New Roman" w:cs="Times New Roman"/>
                <w:b/>
                <w:bCs/>
              </w:rPr>
              <w:t>2、废水</w:t>
            </w:r>
          </w:p>
          <w:p w14:paraId="7AE3A26D">
            <w:pPr>
              <w:tabs>
                <w:tab w:val="left" w:pos="3102"/>
              </w:tabs>
              <w:spacing w:line="360" w:lineRule="auto"/>
              <w:ind w:firstLine="480" w:firstLineChars="200"/>
              <w:rPr>
                <w:rFonts w:hint="eastAsia" w:cs="Times New Roman"/>
                <w:color w:val="auto"/>
                <w:sz w:val="24"/>
                <w:szCs w:val="24"/>
                <w:lang w:val="en-US" w:eastAsia="zh-CN"/>
              </w:rPr>
            </w:pPr>
            <w:r>
              <w:rPr>
                <w:rFonts w:hint="default" w:ascii="Times New Roman" w:hAnsi="Times New Roman" w:cs="Times New Roman"/>
                <w:color w:val="auto"/>
                <w:sz w:val="24"/>
                <w:highlight w:val="none"/>
              </w:rPr>
              <w:t>本次技改</w:t>
            </w:r>
            <w:r>
              <w:rPr>
                <w:rFonts w:hint="eastAsia" w:ascii="Times New Roman" w:hAnsi="Times New Roman" w:cs="Times New Roman"/>
                <w:color w:val="auto"/>
                <w:sz w:val="24"/>
                <w:highlight w:val="none"/>
                <w:lang w:val="en-US" w:eastAsia="zh-CN"/>
              </w:rPr>
              <w:t>项目</w:t>
            </w:r>
            <w:r>
              <w:rPr>
                <w:rFonts w:hint="default" w:ascii="Times New Roman" w:hAnsi="Times New Roman" w:cs="Times New Roman"/>
                <w:color w:val="auto"/>
                <w:sz w:val="24"/>
                <w:highlight w:val="none"/>
              </w:rPr>
              <w:t>无新增生活污水</w:t>
            </w:r>
            <w:r>
              <w:rPr>
                <w:rFonts w:hint="eastAsia" w:ascii="Times New Roman" w:hAnsi="Times New Roman" w:cs="Times New Roman"/>
                <w:color w:val="auto"/>
                <w:sz w:val="24"/>
                <w:highlight w:val="none"/>
                <w:lang w:eastAsia="zh-CN"/>
              </w:rPr>
              <w:t>，</w:t>
            </w:r>
            <w:r>
              <w:rPr>
                <w:rFonts w:hint="eastAsia"/>
                <w:color w:val="FF0000"/>
                <w:sz w:val="24"/>
                <w:szCs w:val="24"/>
                <w:lang w:val="en-US" w:eastAsia="zh-CN"/>
              </w:rPr>
              <w:t>树脂再生</w:t>
            </w:r>
            <w:r>
              <w:rPr>
                <w:rFonts w:hint="eastAsia" w:eastAsia="宋体"/>
                <w:color w:val="FF0000"/>
                <w:sz w:val="24"/>
                <w:szCs w:val="24"/>
                <w:lang w:val="en-US" w:eastAsia="zh-CN"/>
              </w:rPr>
              <w:t>废水</w:t>
            </w:r>
            <w:r>
              <w:rPr>
                <w:rFonts w:hint="eastAsia" w:ascii="Times New Roman" w:hAnsi="Times New Roman" w:eastAsia="宋体" w:cs="Times New Roman"/>
                <w:color w:val="auto"/>
                <w:sz w:val="24"/>
                <w:szCs w:val="24"/>
                <w:lang w:val="en-US" w:eastAsia="zh-CN"/>
              </w:rPr>
              <w:t>经厂内设施中和</w:t>
            </w:r>
            <w:r>
              <w:rPr>
                <w:rFonts w:hint="eastAsia" w:cs="Times New Roman"/>
                <w:color w:val="auto"/>
                <w:sz w:val="24"/>
                <w:szCs w:val="24"/>
                <w:lang w:val="en-US" w:eastAsia="zh-CN"/>
              </w:rPr>
              <w:t>沉淀</w:t>
            </w:r>
            <w:r>
              <w:rPr>
                <w:rFonts w:hint="eastAsia" w:ascii="Times New Roman" w:hAnsi="Times New Roman" w:eastAsia="宋体" w:cs="Times New Roman"/>
                <w:color w:val="auto"/>
                <w:sz w:val="24"/>
                <w:szCs w:val="24"/>
                <w:lang w:val="en-US" w:eastAsia="zh-CN"/>
              </w:rPr>
              <w:t>处理</w:t>
            </w:r>
            <w:r>
              <w:rPr>
                <w:rFonts w:hint="eastAsia" w:cs="Times New Roman"/>
                <w:color w:val="auto"/>
                <w:sz w:val="24"/>
                <w:szCs w:val="24"/>
                <w:lang w:val="en-US" w:eastAsia="zh-CN"/>
              </w:rPr>
              <w:t>达到</w:t>
            </w:r>
            <w:r>
              <w:rPr>
                <w:rFonts w:hint="eastAsia"/>
                <w:color w:val="auto"/>
                <w:sz w:val="24"/>
                <w:szCs w:val="24"/>
                <w:lang w:bidi="ar"/>
              </w:rPr>
              <w:t>《城市污水再生利用</w:t>
            </w:r>
            <w:r>
              <w:rPr>
                <w:rFonts w:hint="eastAsia"/>
                <w:color w:val="auto"/>
                <w:sz w:val="24"/>
                <w:szCs w:val="24"/>
                <w:lang w:val="en-US" w:eastAsia="zh-CN" w:bidi="ar"/>
              </w:rPr>
              <w:t>_</w:t>
            </w:r>
            <w:r>
              <w:rPr>
                <w:rFonts w:hint="eastAsia"/>
                <w:color w:val="auto"/>
                <w:sz w:val="24"/>
                <w:szCs w:val="24"/>
                <w:lang w:bidi="ar"/>
              </w:rPr>
              <w:t>工业用水水质标准》</w:t>
            </w:r>
            <w:r>
              <w:rPr>
                <w:rFonts w:hint="eastAsia"/>
                <w:color w:val="auto"/>
                <w:sz w:val="24"/>
                <w:szCs w:val="24"/>
                <w:lang w:eastAsia="zh-CN" w:bidi="ar"/>
              </w:rPr>
              <w:t>（</w:t>
            </w:r>
            <w:r>
              <w:rPr>
                <w:rFonts w:hint="eastAsia"/>
                <w:color w:val="auto"/>
                <w:sz w:val="24"/>
                <w:szCs w:val="24"/>
                <w:lang w:bidi="ar"/>
              </w:rPr>
              <w:t>GB/T19923-2024</w:t>
            </w:r>
            <w:r>
              <w:rPr>
                <w:rFonts w:hint="eastAsia"/>
                <w:color w:val="auto"/>
                <w:sz w:val="24"/>
                <w:szCs w:val="24"/>
                <w:lang w:eastAsia="zh-CN" w:bidi="ar"/>
              </w:rPr>
              <w:t>）</w:t>
            </w:r>
            <w:r>
              <w:rPr>
                <w:rFonts w:hint="eastAsia"/>
                <w:color w:val="auto"/>
                <w:sz w:val="24"/>
                <w:szCs w:val="24"/>
                <w:lang w:bidi="ar"/>
              </w:rPr>
              <w:t>表1中相关限值后</w:t>
            </w:r>
            <w:r>
              <w:rPr>
                <w:rFonts w:hint="eastAsia"/>
                <w:color w:val="auto"/>
                <w:sz w:val="24"/>
                <w:szCs w:val="24"/>
              </w:rPr>
              <w:t>，</w:t>
            </w:r>
            <w:r>
              <w:rPr>
                <w:rFonts w:hint="eastAsia" w:cs="Times New Roman"/>
                <w:color w:val="auto"/>
                <w:sz w:val="24"/>
                <w:szCs w:val="24"/>
                <w:lang w:val="en-US" w:eastAsia="zh-CN"/>
              </w:rPr>
              <w:t>回用于厂区绿化、洒水冷却灰渣等。</w:t>
            </w:r>
          </w:p>
          <w:p w14:paraId="47147285">
            <w:pPr>
              <w:jc w:val="center"/>
              <w:rPr>
                <w:rFonts w:hint="default" w:ascii="Times New Roman" w:hAnsi="Times New Roman" w:eastAsia="新宋体" w:cs="Times New Roman"/>
                <w:b/>
                <w:bCs/>
                <w:color w:val="auto"/>
                <w:sz w:val="24"/>
              </w:rPr>
            </w:pPr>
            <w:r>
              <w:rPr>
                <w:rFonts w:hint="default" w:ascii="Times New Roman" w:hAnsi="Times New Roman" w:eastAsia="新宋体" w:cs="Times New Roman"/>
                <w:b/>
                <w:bCs/>
                <w:color w:val="auto"/>
                <w:sz w:val="24"/>
              </w:rPr>
              <w:t>表3-</w:t>
            </w:r>
            <w:r>
              <w:rPr>
                <w:rFonts w:hint="eastAsia" w:ascii="Times New Roman" w:hAnsi="Times New Roman" w:eastAsia="新宋体" w:cs="Times New Roman"/>
                <w:b/>
                <w:bCs/>
                <w:color w:val="auto"/>
                <w:sz w:val="24"/>
                <w:lang w:val="en-US" w:eastAsia="zh-CN"/>
              </w:rPr>
              <w:t>5</w:t>
            </w:r>
            <w:r>
              <w:rPr>
                <w:rFonts w:hint="default" w:ascii="Times New Roman" w:hAnsi="Times New Roman" w:eastAsia="新宋体" w:cs="Times New Roman"/>
                <w:b/>
                <w:bCs/>
                <w:color w:val="auto"/>
                <w:sz w:val="24"/>
              </w:rPr>
              <w:t xml:space="preserve"> </w:t>
            </w:r>
            <w:r>
              <w:rPr>
                <w:rFonts w:hint="eastAsia" w:ascii="Times New Roman" w:hAnsi="Times New Roman" w:eastAsia="新宋体" w:cs="Times New Roman"/>
                <w:b/>
                <w:bCs/>
                <w:color w:val="auto"/>
                <w:sz w:val="24"/>
                <w:lang w:val="en-US" w:eastAsia="zh-CN"/>
              </w:rPr>
              <w:t xml:space="preserve"> </w:t>
            </w:r>
            <w:r>
              <w:rPr>
                <w:rFonts w:hint="default" w:ascii="Times New Roman" w:hAnsi="Times New Roman" w:eastAsia="新宋体" w:cs="Times New Roman"/>
                <w:b/>
                <w:bCs/>
                <w:color w:val="auto"/>
                <w:sz w:val="24"/>
              </w:rPr>
              <w:t>污水</w:t>
            </w:r>
            <w:r>
              <w:rPr>
                <w:rFonts w:hint="eastAsia" w:eastAsia="新宋体" w:cs="Times New Roman"/>
                <w:b/>
                <w:bCs/>
                <w:color w:val="auto"/>
                <w:sz w:val="24"/>
                <w:lang w:val="en-US" w:eastAsia="zh-CN"/>
              </w:rPr>
              <w:t>回用</w:t>
            </w:r>
            <w:r>
              <w:rPr>
                <w:rFonts w:hint="default" w:ascii="Times New Roman" w:hAnsi="Times New Roman" w:eastAsia="新宋体" w:cs="Times New Roman"/>
                <w:b/>
                <w:bCs/>
                <w:color w:val="auto"/>
                <w:sz w:val="24"/>
              </w:rPr>
              <w:t xml:space="preserve">执行标准 </w:t>
            </w:r>
            <w:r>
              <w:rPr>
                <w:rFonts w:hint="eastAsia" w:ascii="Times New Roman" w:hAnsi="Times New Roman" w:eastAsia="新宋体" w:cs="Times New Roman"/>
                <w:b/>
                <w:bCs/>
                <w:color w:val="auto"/>
                <w:sz w:val="24"/>
                <w:lang w:val="en-US" w:eastAsia="zh-CN"/>
              </w:rPr>
              <w:t xml:space="preserve"> </w:t>
            </w:r>
            <w:r>
              <w:rPr>
                <w:rFonts w:hint="default" w:ascii="Times New Roman" w:hAnsi="Times New Roman" w:eastAsia="新宋体" w:cs="Times New Roman"/>
                <w:b/>
                <w:bCs/>
                <w:color w:val="auto"/>
                <w:sz w:val="24"/>
              </w:rPr>
              <w:t>单位：mg/L</w:t>
            </w:r>
          </w:p>
          <w:tbl>
            <w:tblPr>
              <w:tblStyle w:val="27"/>
              <w:tblW w:w="4998"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349"/>
              <w:gridCol w:w="1588"/>
              <w:gridCol w:w="1118"/>
              <w:gridCol w:w="1120"/>
              <w:gridCol w:w="1120"/>
              <w:gridCol w:w="1121"/>
            </w:tblGrid>
            <w:tr w14:paraId="79FA268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1395" w:type="pct"/>
                  <w:noWrap w:val="0"/>
                  <w:vAlign w:val="center"/>
                </w:tcPr>
                <w:p w14:paraId="4C07AE11">
                  <w:pPr>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lang w:bidi="ar"/>
                    </w:rPr>
                    <w:t>指标</w:t>
                  </w:r>
                </w:p>
              </w:tc>
              <w:tc>
                <w:tcPr>
                  <w:tcW w:w="943" w:type="pct"/>
                  <w:noWrap w:val="0"/>
                  <w:vAlign w:val="center"/>
                </w:tcPr>
                <w:p w14:paraId="3A8CEE6B">
                  <w:pPr>
                    <w:jc w:val="center"/>
                    <w:rPr>
                      <w:rFonts w:hint="default" w:ascii="Times New Roman" w:hAnsi="Times New Roman" w:cs="Times New Roman"/>
                      <w:b/>
                      <w:color w:val="auto"/>
                      <w:kern w:val="0"/>
                      <w:szCs w:val="21"/>
                      <w:lang w:bidi="ar"/>
                    </w:rPr>
                  </w:pPr>
                  <w:r>
                    <w:rPr>
                      <w:rFonts w:hint="eastAsia" w:cs="Times New Roman"/>
                      <w:b/>
                      <w:color w:val="FF0000"/>
                      <w:kern w:val="0"/>
                      <w:szCs w:val="21"/>
                      <w:lang w:val="en-US" w:eastAsia="zh-CN" w:bidi="ar"/>
                    </w:rPr>
                    <w:t>p</w:t>
                  </w:r>
                  <w:r>
                    <w:rPr>
                      <w:rFonts w:hint="default" w:ascii="Times New Roman" w:hAnsi="Times New Roman" w:cs="Times New Roman"/>
                      <w:b/>
                      <w:color w:val="auto"/>
                      <w:kern w:val="0"/>
                      <w:szCs w:val="21"/>
                      <w:lang w:bidi="ar"/>
                    </w:rPr>
                    <w:t>H（无量纲）</w:t>
                  </w:r>
                </w:p>
              </w:tc>
              <w:tc>
                <w:tcPr>
                  <w:tcW w:w="664" w:type="pct"/>
                  <w:noWrap w:val="0"/>
                  <w:vAlign w:val="center"/>
                </w:tcPr>
                <w:p w14:paraId="77FF0B3C">
                  <w:pPr>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lang w:bidi="ar"/>
                    </w:rPr>
                    <w:t>COD</w:t>
                  </w:r>
                  <w:r>
                    <w:rPr>
                      <w:rFonts w:hint="default" w:ascii="Times New Roman" w:hAnsi="Times New Roman" w:cs="Times New Roman"/>
                      <w:color w:val="auto"/>
                      <w:spacing w:val="-5"/>
                      <w:position w:val="2"/>
                      <w:vertAlign w:val="subscript"/>
                    </w:rPr>
                    <w:t>cr</w:t>
                  </w:r>
                </w:p>
              </w:tc>
              <w:tc>
                <w:tcPr>
                  <w:tcW w:w="665" w:type="pct"/>
                  <w:noWrap w:val="0"/>
                  <w:vAlign w:val="center"/>
                </w:tcPr>
                <w:p w14:paraId="1121C0E6">
                  <w:pPr>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lang w:bidi="ar"/>
                    </w:rPr>
                    <w:t>SS</w:t>
                  </w:r>
                </w:p>
              </w:tc>
              <w:tc>
                <w:tcPr>
                  <w:tcW w:w="665" w:type="pct"/>
                  <w:noWrap w:val="0"/>
                  <w:vAlign w:val="center"/>
                </w:tcPr>
                <w:p w14:paraId="3F0627D2">
                  <w:pPr>
                    <w:jc w:val="center"/>
                    <w:rPr>
                      <w:rFonts w:hint="eastAsia" w:ascii="Times New Roman" w:hAnsi="Times New Roman" w:eastAsia="宋体" w:cs="Times New Roman"/>
                      <w:b/>
                      <w:color w:val="FF0000"/>
                      <w:kern w:val="0"/>
                      <w:szCs w:val="21"/>
                      <w:lang w:val="en-US" w:eastAsia="zh-CN" w:bidi="ar"/>
                    </w:rPr>
                  </w:pPr>
                  <w:r>
                    <w:rPr>
                      <w:rFonts w:hint="eastAsia" w:cs="Times New Roman"/>
                      <w:b/>
                      <w:color w:val="FF0000"/>
                      <w:kern w:val="0"/>
                      <w:szCs w:val="21"/>
                      <w:lang w:val="en-US" w:eastAsia="zh-CN" w:bidi="ar"/>
                    </w:rPr>
                    <w:t>氯化物</w:t>
                  </w:r>
                </w:p>
              </w:tc>
              <w:tc>
                <w:tcPr>
                  <w:tcW w:w="665" w:type="pct"/>
                  <w:noWrap w:val="0"/>
                  <w:vAlign w:val="center"/>
                </w:tcPr>
                <w:p w14:paraId="580BB776">
                  <w:pPr>
                    <w:jc w:val="center"/>
                    <w:rPr>
                      <w:rFonts w:hint="eastAsia" w:ascii="Times New Roman" w:hAnsi="Times New Roman" w:eastAsia="宋体" w:cs="Times New Roman"/>
                      <w:b/>
                      <w:color w:val="FF0000"/>
                      <w:kern w:val="0"/>
                      <w:szCs w:val="21"/>
                      <w:lang w:val="en-US" w:eastAsia="zh-CN" w:bidi="ar"/>
                    </w:rPr>
                  </w:pPr>
                  <w:r>
                    <w:rPr>
                      <w:rFonts w:hint="eastAsia" w:cs="Times New Roman"/>
                      <w:b/>
                      <w:color w:val="FF0000"/>
                      <w:kern w:val="0"/>
                      <w:szCs w:val="21"/>
                      <w:lang w:val="en-US" w:eastAsia="zh-CN" w:bidi="ar"/>
                    </w:rPr>
                    <w:t>硫酸盐</w:t>
                  </w:r>
                </w:p>
              </w:tc>
            </w:tr>
            <w:tr w14:paraId="383B149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1395" w:type="pct"/>
                  <w:noWrap w:val="0"/>
                  <w:vAlign w:val="center"/>
                </w:tcPr>
                <w:p w14:paraId="24EB4109">
                  <w:pPr>
                    <w:jc w:val="both"/>
                    <w:rPr>
                      <w:rFonts w:hint="default" w:ascii="Times New Roman" w:hAnsi="Times New Roman" w:cs="Times New Roman"/>
                      <w:color w:val="auto"/>
                      <w:kern w:val="0"/>
                      <w:sz w:val="21"/>
                      <w:szCs w:val="21"/>
                    </w:rPr>
                  </w:pPr>
                  <w:r>
                    <w:rPr>
                      <w:rFonts w:hint="eastAsia"/>
                      <w:color w:val="auto"/>
                      <w:sz w:val="21"/>
                      <w:szCs w:val="21"/>
                      <w:lang w:bidi="ar"/>
                    </w:rPr>
                    <w:t>城市污水再生利用-工业用水水质标准</w:t>
                  </w:r>
                </w:p>
              </w:tc>
              <w:tc>
                <w:tcPr>
                  <w:tcW w:w="943" w:type="pct"/>
                  <w:noWrap w:val="0"/>
                  <w:vAlign w:val="center"/>
                </w:tcPr>
                <w:p w14:paraId="68028E5F">
                  <w:pPr>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lang w:bidi="ar"/>
                    </w:rPr>
                    <w:t>6-9</w:t>
                  </w:r>
                </w:p>
              </w:tc>
              <w:tc>
                <w:tcPr>
                  <w:tcW w:w="664" w:type="pct"/>
                  <w:noWrap w:val="0"/>
                  <w:vAlign w:val="center"/>
                </w:tcPr>
                <w:p w14:paraId="4F069417">
                  <w:pPr>
                    <w:jc w:val="center"/>
                    <w:rPr>
                      <w:rFonts w:hint="default" w:ascii="Times New Roman" w:hAnsi="Times New Roman" w:eastAsia="宋体" w:cs="Times New Roman"/>
                      <w:color w:val="auto"/>
                      <w:kern w:val="0"/>
                      <w:szCs w:val="21"/>
                      <w:lang w:val="en-US" w:eastAsia="zh-CN"/>
                    </w:rPr>
                  </w:pPr>
                  <w:r>
                    <w:rPr>
                      <w:rFonts w:hint="eastAsia" w:cs="Times New Roman"/>
                      <w:color w:val="auto"/>
                      <w:kern w:val="0"/>
                      <w:szCs w:val="21"/>
                      <w:lang w:val="en-US" w:eastAsia="zh-CN" w:bidi="ar"/>
                    </w:rPr>
                    <w:t>50</w:t>
                  </w:r>
                </w:p>
              </w:tc>
              <w:tc>
                <w:tcPr>
                  <w:tcW w:w="665" w:type="pct"/>
                  <w:noWrap w:val="0"/>
                  <w:vAlign w:val="center"/>
                </w:tcPr>
                <w:p w14:paraId="23B7A2CF">
                  <w:pPr>
                    <w:jc w:val="center"/>
                    <w:rPr>
                      <w:rFonts w:hint="default" w:ascii="Times New Roman" w:hAnsi="Times New Roman" w:eastAsia="宋体" w:cs="Times New Roman"/>
                      <w:color w:val="auto"/>
                      <w:kern w:val="0"/>
                      <w:szCs w:val="21"/>
                      <w:lang w:val="en-US" w:eastAsia="zh-CN"/>
                    </w:rPr>
                  </w:pPr>
                  <w:r>
                    <w:rPr>
                      <w:rFonts w:hint="eastAsia" w:cs="Times New Roman"/>
                      <w:color w:val="auto"/>
                      <w:kern w:val="0"/>
                      <w:szCs w:val="21"/>
                      <w:lang w:val="en-US" w:eastAsia="zh-CN"/>
                    </w:rPr>
                    <w:t>/</w:t>
                  </w:r>
                </w:p>
              </w:tc>
              <w:tc>
                <w:tcPr>
                  <w:tcW w:w="665" w:type="pct"/>
                  <w:noWrap w:val="0"/>
                  <w:vAlign w:val="center"/>
                </w:tcPr>
                <w:p w14:paraId="405F2657">
                  <w:pPr>
                    <w:jc w:val="center"/>
                    <w:rPr>
                      <w:rFonts w:hint="default" w:cs="Times New Roman"/>
                      <w:color w:val="FF0000"/>
                      <w:kern w:val="0"/>
                      <w:szCs w:val="21"/>
                      <w:lang w:val="en-US" w:eastAsia="zh-CN"/>
                    </w:rPr>
                  </w:pPr>
                  <w:r>
                    <w:rPr>
                      <w:rFonts w:hint="eastAsia" w:cs="Times New Roman"/>
                      <w:color w:val="FF0000"/>
                      <w:kern w:val="0"/>
                      <w:szCs w:val="21"/>
                      <w:lang w:val="en-US" w:eastAsia="zh-CN"/>
                    </w:rPr>
                    <w:t>400</w:t>
                  </w:r>
                </w:p>
              </w:tc>
              <w:tc>
                <w:tcPr>
                  <w:tcW w:w="665" w:type="pct"/>
                  <w:noWrap w:val="0"/>
                  <w:vAlign w:val="center"/>
                </w:tcPr>
                <w:p w14:paraId="50D51AC2">
                  <w:pPr>
                    <w:jc w:val="center"/>
                    <w:rPr>
                      <w:rFonts w:hint="default" w:cs="Times New Roman"/>
                      <w:color w:val="FF0000"/>
                      <w:kern w:val="0"/>
                      <w:szCs w:val="21"/>
                      <w:lang w:val="en-US" w:eastAsia="zh-CN"/>
                    </w:rPr>
                  </w:pPr>
                  <w:r>
                    <w:rPr>
                      <w:rFonts w:hint="eastAsia" w:cs="Times New Roman"/>
                      <w:color w:val="FF0000"/>
                      <w:kern w:val="0"/>
                      <w:szCs w:val="21"/>
                      <w:lang w:val="en-US" w:eastAsia="zh-CN"/>
                    </w:rPr>
                    <w:t>600</w:t>
                  </w:r>
                </w:p>
              </w:tc>
            </w:tr>
          </w:tbl>
          <w:p w14:paraId="66AB7870">
            <w:pPr>
              <w:pStyle w:val="52"/>
              <w:ind w:left="0" w:leftChars="0" w:firstLine="482" w:firstLineChars="200"/>
              <w:rPr>
                <w:rFonts w:eastAsia="新宋体"/>
                <w:b/>
                <w:bCs/>
              </w:rPr>
            </w:pPr>
            <w:r>
              <w:rPr>
                <w:rFonts w:hint="eastAsia" w:eastAsia="新宋体"/>
                <w:b/>
                <w:bCs/>
              </w:rPr>
              <w:t>3、</w:t>
            </w:r>
            <w:r>
              <w:rPr>
                <w:rFonts w:eastAsia="新宋体"/>
                <w:b/>
                <w:bCs/>
              </w:rPr>
              <w:t>噪声排放标准</w:t>
            </w:r>
          </w:p>
          <w:p w14:paraId="5495D1B5">
            <w:pPr>
              <w:spacing w:line="360" w:lineRule="auto"/>
              <w:ind w:firstLine="480" w:firstLineChars="200"/>
              <w:rPr>
                <w:sz w:val="24"/>
                <w:szCs w:val="20"/>
              </w:rPr>
            </w:pPr>
            <w:r>
              <w:rPr>
                <w:rFonts w:hint="eastAsia" w:ascii="宋体" w:hAnsi="宋体" w:cs="宋体"/>
                <w:bCs/>
                <w:sz w:val="24"/>
              </w:rPr>
              <w:t>营运期厂界噪声</w:t>
            </w:r>
            <w:r>
              <w:rPr>
                <w:rFonts w:hint="eastAsia"/>
                <w:sz w:val="24"/>
              </w:rPr>
              <w:t>执行《工业企业</w:t>
            </w:r>
            <w:r>
              <w:rPr>
                <w:rFonts w:hint="eastAsia"/>
                <w:kern w:val="0"/>
                <w:sz w:val="24"/>
                <w:szCs w:val="20"/>
              </w:rPr>
              <w:t>厂界环境噪声排放标准》（GB12348-20</w:t>
            </w:r>
            <w:r>
              <w:rPr>
                <w:rFonts w:hint="eastAsia"/>
                <w:sz w:val="24"/>
              </w:rPr>
              <w:t>08）</w:t>
            </w:r>
            <w:r>
              <w:rPr>
                <w:rFonts w:hint="eastAsia"/>
                <w:sz w:val="24"/>
                <w:lang w:val="en-US" w:eastAsia="zh-CN"/>
              </w:rPr>
              <w:t>3</w:t>
            </w:r>
            <w:r>
              <w:rPr>
                <w:rFonts w:hint="eastAsia" w:ascii="宋体" w:hAnsi="宋体" w:cs="宋体"/>
                <w:bCs/>
                <w:sz w:val="24"/>
              </w:rPr>
              <w:t>类标准，</w:t>
            </w:r>
            <w:r>
              <w:rPr>
                <w:sz w:val="24"/>
                <w:szCs w:val="20"/>
              </w:rPr>
              <w:t>具体限值详见表3-</w:t>
            </w:r>
            <w:r>
              <w:rPr>
                <w:rFonts w:hint="eastAsia"/>
                <w:sz w:val="24"/>
                <w:szCs w:val="20"/>
                <w:lang w:val="en-US" w:eastAsia="zh-CN"/>
              </w:rPr>
              <w:t>6</w:t>
            </w:r>
            <w:r>
              <w:rPr>
                <w:sz w:val="24"/>
                <w:szCs w:val="20"/>
              </w:rPr>
              <w:t>。</w:t>
            </w:r>
          </w:p>
          <w:p w14:paraId="39D12835">
            <w:pPr>
              <w:jc w:val="center"/>
              <w:rPr>
                <w:rFonts w:eastAsia="新宋体"/>
                <w:b/>
                <w:bCs/>
                <w:sz w:val="24"/>
              </w:rPr>
            </w:pPr>
            <w:r>
              <w:rPr>
                <w:rFonts w:eastAsia="新宋体"/>
                <w:b/>
                <w:bCs/>
                <w:sz w:val="24"/>
              </w:rPr>
              <w:t>表3-</w:t>
            </w:r>
            <w:r>
              <w:rPr>
                <w:rFonts w:hint="eastAsia" w:eastAsia="新宋体"/>
                <w:b/>
                <w:bCs/>
                <w:sz w:val="24"/>
                <w:lang w:val="en-US" w:eastAsia="zh-CN"/>
              </w:rPr>
              <w:t>6</w:t>
            </w:r>
            <w:r>
              <w:rPr>
                <w:rFonts w:hint="eastAsia" w:eastAsia="新宋体"/>
                <w:b/>
                <w:bCs/>
                <w:sz w:val="24"/>
              </w:rPr>
              <w:t xml:space="preserve"> </w:t>
            </w:r>
            <w:r>
              <w:rPr>
                <w:rFonts w:eastAsia="新宋体"/>
                <w:b/>
                <w:bCs/>
                <w:sz w:val="24"/>
              </w:rPr>
              <w:t>噪声控制标准</w:t>
            </w:r>
            <w:r>
              <w:rPr>
                <w:rFonts w:hint="eastAsia" w:eastAsia="新宋体"/>
                <w:b/>
                <w:bCs/>
                <w:sz w:val="24"/>
                <w:lang w:val="en-US" w:eastAsia="zh-CN"/>
              </w:rPr>
              <w:t xml:space="preserve">  </w:t>
            </w:r>
            <w:r>
              <w:rPr>
                <w:rFonts w:eastAsia="新宋体"/>
                <w:b/>
                <w:bCs/>
                <w:sz w:val="24"/>
              </w:rPr>
              <w:t>单位：dB（A）</w:t>
            </w:r>
          </w:p>
          <w:tbl>
            <w:tblPr>
              <w:tblStyle w:val="28"/>
              <w:tblW w:w="4998" w:type="pct"/>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60"/>
              <w:gridCol w:w="1108"/>
              <w:gridCol w:w="1169"/>
              <w:gridCol w:w="4779"/>
            </w:tblGrid>
            <w:tr w14:paraId="44C86B9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08" w:type="pct"/>
                  <w:tcBorders>
                    <w:top w:val="single" w:color="auto" w:sz="12" w:space="0"/>
                  </w:tcBorders>
                  <w:vAlign w:val="center"/>
                </w:tcPr>
                <w:p w14:paraId="3754163A">
                  <w:pPr>
                    <w:pStyle w:val="9"/>
                    <w:keepNext w:val="0"/>
                    <w:keepLines w:val="0"/>
                    <w:pageBreakBefore w:val="0"/>
                    <w:widowControl w:val="0"/>
                    <w:kinsoku/>
                    <w:wordWrap/>
                    <w:overflowPunct/>
                    <w:topLinePunct w:val="0"/>
                    <w:autoSpaceDE w:val="0"/>
                    <w:autoSpaceDN w:val="0"/>
                    <w:bidi w:val="0"/>
                    <w:adjustRightInd w:val="0"/>
                    <w:snapToGrid/>
                    <w:spacing w:line="240" w:lineRule="auto"/>
                    <w:ind w:left="0" w:firstLine="0"/>
                    <w:jc w:val="center"/>
                    <w:textAlignment w:val="baseline"/>
                    <w:rPr>
                      <w:rFonts w:eastAsia="新宋体"/>
                      <w:b/>
                      <w:bCs/>
                      <w:sz w:val="21"/>
                      <w:szCs w:val="21"/>
                    </w:rPr>
                  </w:pPr>
                  <w:r>
                    <w:rPr>
                      <w:b/>
                      <w:bCs/>
                      <w:sz w:val="21"/>
                      <w:szCs w:val="21"/>
                    </w:rPr>
                    <w:t>时段</w:t>
                  </w:r>
                </w:p>
              </w:tc>
              <w:tc>
                <w:tcPr>
                  <w:tcW w:w="658" w:type="pct"/>
                  <w:tcBorders>
                    <w:top w:val="single" w:color="auto" w:sz="12" w:space="0"/>
                  </w:tcBorders>
                  <w:vAlign w:val="center"/>
                </w:tcPr>
                <w:p w14:paraId="01215202">
                  <w:pPr>
                    <w:pStyle w:val="9"/>
                    <w:keepNext w:val="0"/>
                    <w:keepLines w:val="0"/>
                    <w:pageBreakBefore w:val="0"/>
                    <w:widowControl w:val="0"/>
                    <w:kinsoku/>
                    <w:wordWrap/>
                    <w:overflowPunct/>
                    <w:topLinePunct w:val="0"/>
                    <w:autoSpaceDE w:val="0"/>
                    <w:autoSpaceDN w:val="0"/>
                    <w:bidi w:val="0"/>
                    <w:adjustRightInd w:val="0"/>
                    <w:snapToGrid/>
                    <w:spacing w:line="240" w:lineRule="auto"/>
                    <w:ind w:left="0" w:firstLine="0"/>
                    <w:jc w:val="center"/>
                    <w:textAlignment w:val="baseline"/>
                    <w:rPr>
                      <w:rFonts w:eastAsia="新宋体"/>
                      <w:b/>
                      <w:bCs/>
                      <w:sz w:val="21"/>
                      <w:szCs w:val="21"/>
                    </w:rPr>
                  </w:pPr>
                  <w:r>
                    <w:rPr>
                      <w:b/>
                      <w:bCs/>
                      <w:sz w:val="21"/>
                      <w:szCs w:val="21"/>
                    </w:rPr>
                    <w:t>昼间</w:t>
                  </w:r>
                </w:p>
              </w:tc>
              <w:tc>
                <w:tcPr>
                  <w:tcW w:w="694" w:type="pct"/>
                  <w:tcBorders>
                    <w:top w:val="single" w:color="auto" w:sz="12" w:space="0"/>
                  </w:tcBorders>
                  <w:vAlign w:val="center"/>
                </w:tcPr>
                <w:p w14:paraId="2ECC378D">
                  <w:pPr>
                    <w:pStyle w:val="9"/>
                    <w:keepNext w:val="0"/>
                    <w:keepLines w:val="0"/>
                    <w:pageBreakBefore w:val="0"/>
                    <w:widowControl w:val="0"/>
                    <w:kinsoku/>
                    <w:wordWrap/>
                    <w:overflowPunct/>
                    <w:topLinePunct w:val="0"/>
                    <w:autoSpaceDE w:val="0"/>
                    <w:autoSpaceDN w:val="0"/>
                    <w:bidi w:val="0"/>
                    <w:adjustRightInd w:val="0"/>
                    <w:snapToGrid/>
                    <w:spacing w:line="240" w:lineRule="auto"/>
                    <w:ind w:left="0" w:firstLine="0"/>
                    <w:jc w:val="center"/>
                    <w:textAlignment w:val="baseline"/>
                    <w:rPr>
                      <w:rFonts w:eastAsia="新宋体"/>
                      <w:b/>
                      <w:bCs/>
                      <w:sz w:val="21"/>
                      <w:szCs w:val="21"/>
                    </w:rPr>
                  </w:pPr>
                  <w:r>
                    <w:rPr>
                      <w:b/>
                      <w:bCs/>
                      <w:sz w:val="21"/>
                      <w:szCs w:val="21"/>
                    </w:rPr>
                    <w:t>夜间</w:t>
                  </w:r>
                </w:p>
              </w:tc>
              <w:tc>
                <w:tcPr>
                  <w:tcW w:w="2838" w:type="pct"/>
                  <w:tcBorders>
                    <w:top w:val="single" w:color="auto" w:sz="12" w:space="0"/>
                  </w:tcBorders>
                  <w:vAlign w:val="center"/>
                </w:tcPr>
                <w:p w14:paraId="06DA993E">
                  <w:pPr>
                    <w:pStyle w:val="9"/>
                    <w:keepNext w:val="0"/>
                    <w:keepLines w:val="0"/>
                    <w:pageBreakBefore w:val="0"/>
                    <w:widowControl w:val="0"/>
                    <w:kinsoku/>
                    <w:wordWrap/>
                    <w:overflowPunct/>
                    <w:topLinePunct w:val="0"/>
                    <w:autoSpaceDE w:val="0"/>
                    <w:autoSpaceDN w:val="0"/>
                    <w:bidi w:val="0"/>
                    <w:adjustRightInd w:val="0"/>
                    <w:snapToGrid/>
                    <w:spacing w:line="240" w:lineRule="auto"/>
                    <w:ind w:left="0" w:firstLine="0"/>
                    <w:jc w:val="center"/>
                    <w:textAlignment w:val="baseline"/>
                    <w:rPr>
                      <w:rFonts w:eastAsia="新宋体"/>
                      <w:b/>
                      <w:bCs/>
                      <w:sz w:val="21"/>
                      <w:szCs w:val="21"/>
                    </w:rPr>
                  </w:pPr>
                  <w:r>
                    <w:rPr>
                      <w:b/>
                      <w:bCs/>
                      <w:sz w:val="21"/>
                      <w:szCs w:val="21"/>
                    </w:rPr>
                    <w:t>采用标准</w:t>
                  </w:r>
                </w:p>
              </w:tc>
            </w:tr>
            <w:tr w14:paraId="331D4E5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08" w:type="pct"/>
                  <w:tcBorders>
                    <w:bottom w:val="single" w:color="auto" w:sz="12" w:space="0"/>
                  </w:tcBorders>
                  <w:vAlign w:val="center"/>
                </w:tcPr>
                <w:p w14:paraId="50CA61B9">
                  <w:pPr>
                    <w:pStyle w:val="9"/>
                    <w:keepNext w:val="0"/>
                    <w:keepLines w:val="0"/>
                    <w:pageBreakBefore w:val="0"/>
                    <w:widowControl w:val="0"/>
                    <w:kinsoku/>
                    <w:wordWrap/>
                    <w:overflowPunct/>
                    <w:topLinePunct w:val="0"/>
                    <w:autoSpaceDE w:val="0"/>
                    <w:autoSpaceDN w:val="0"/>
                    <w:bidi w:val="0"/>
                    <w:adjustRightInd w:val="0"/>
                    <w:snapToGrid/>
                    <w:spacing w:line="240" w:lineRule="auto"/>
                    <w:ind w:left="0" w:firstLine="0"/>
                    <w:jc w:val="center"/>
                    <w:textAlignment w:val="baseline"/>
                    <w:rPr>
                      <w:rFonts w:eastAsia="新宋体"/>
                      <w:sz w:val="21"/>
                      <w:szCs w:val="21"/>
                    </w:rPr>
                  </w:pPr>
                  <w:r>
                    <w:rPr>
                      <w:sz w:val="21"/>
                      <w:szCs w:val="21"/>
                    </w:rPr>
                    <w:t>营运期</w:t>
                  </w:r>
                </w:p>
              </w:tc>
              <w:tc>
                <w:tcPr>
                  <w:tcW w:w="658" w:type="pct"/>
                  <w:tcBorders>
                    <w:bottom w:val="single" w:color="auto" w:sz="12" w:space="0"/>
                  </w:tcBorders>
                  <w:vAlign w:val="center"/>
                </w:tcPr>
                <w:p w14:paraId="4FBD4CEF">
                  <w:pPr>
                    <w:pStyle w:val="9"/>
                    <w:keepNext w:val="0"/>
                    <w:keepLines w:val="0"/>
                    <w:pageBreakBefore w:val="0"/>
                    <w:widowControl w:val="0"/>
                    <w:kinsoku/>
                    <w:wordWrap/>
                    <w:overflowPunct/>
                    <w:topLinePunct w:val="0"/>
                    <w:autoSpaceDE w:val="0"/>
                    <w:autoSpaceDN w:val="0"/>
                    <w:bidi w:val="0"/>
                    <w:adjustRightInd w:val="0"/>
                    <w:snapToGrid/>
                    <w:spacing w:line="240" w:lineRule="auto"/>
                    <w:ind w:left="0" w:firstLine="0"/>
                    <w:jc w:val="center"/>
                    <w:textAlignment w:val="baseline"/>
                    <w:rPr>
                      <w:rFonts w:hint="eastAsia" w:eastAsia="宋体"/>
                      <w:sz w:val="21"/>
                      <w:szCs w:val="21"/>
                      <w:lang w:val="en-US" w:eastAsia="zh-CN"/>
                    </w:rPr>
                  </w:pPr>
                  <w:r>
                    <w:rPr>
                      <w:sz w:val="21"/>
                      <w:szCs w:val="21"/>
                    </w:rPr>
                    <w:t>6</w:t>
                  </w:r>
                  <w:r>
                    <w:rPr>
                      <w:rFonts w:hint="eastAsia"/>
                      <w:sz w:val="21"/>
                      <w:szCs w:val="21"/>
                      <w:lang w:val="en-US" w:eastAsia="zh-CN"/>
                    </w:rPr>
                    <w:t>5</w:t>
                  </w:r>
                </w:p>
              </w:tc>
              <w:tc>
                <w:tcPr>
                  <w:tcW w:w="694" w:type="pct"/>
                  <w:tcBorders>
                    <w:bottom w:val="single" w:color="auto" w:sz="12" w:space="0"/>
                  </w:tcBorders>
                  <w:vAlign w:val="center"/>
                </w:tcPr>
                <w:p w14:paraId="3C8E7012">
                  <w:pPr>
                    <w:pStyle w:val="9"/>
                    <w:keepNext w:val="0"/>
                    <w:keepLines w:val="0"/>
                    <w:pageBreakBefore w:val="0"/>
                    <w:widowControl w:val="0"/>
                    <w:kinsoku/>
                    <w:wordWrap/>
                    <w:overflowPunct/>
                    <w:topLinePunct w:val="0"/>
                    <w:autoSpaceDE w:val="0"/>
                    <w:autoSpaceDN w:val="0"/>
                    <w:bidi w:val="0"/>
                    <w:adjustRightInd w:val="0"/>
                    <w:snapToGrid/>
                    <w:spacing w:line="240" w:lineRule="auto"/>
                    <w:ind w:left="0" w:firstLine="0"/>
                    <w:jc w:val="center"/>
                    <w:textAlignment w:val="baseline"/>
                    <w:rPr>
                      <w:rFonts w:hint="eastAsia" w:eastAsia="宋体"/>
                      <w:sz w:val="21"/>
                      <w:szCs w:val="21"/>
                      <w:lang w:val="en-US" w:eastAsia="zh-CN"/>
                    </w:rPr>
                  </w:pPr>
                  <w:r>
                    <w:rPr>
                      <w:sz w:val="21"/>
                      <w:szCs w:val="21"/>
                    </w:rPr>
                    <w:t>5</w:t>
                  </w:r>
                  <w:r>
                    <w:rPr>
                      <w:rFonts w:hint="eastAsia"/>
                      <w:sz w:val="21"/>
                      <w:szCs w:val="21"/>
                      <w:lang w:val="en-US" w:eastAsia="zh-CN"/>
                    </w:rPr>
                    <w:t>5</w:t>
                  </w:r>
                </w:p>
              </w:tc>
              <w:tc>
                <w:tcPr>
                  <w:tcW w:w="2838" w:type="pct"/>
                  <w:tcBorders>
                    <w:bottom w:val="single" w:color="auto" w:sz="12" w:space="0"/>
                  </w:tcBorders>
                  <w:vAlign w:val="center"/>
                </w:tcPr>
                <w:p w14:paraId="1F609D3F">
                  <w:pPr>
                    <w:pStyle w:val="9"/>
                    <w:keepNext w:val="0"/>
                    <w:keepLines w:val="0"/>
                    <w:pageBreakBefore w:val="0"/>
                    <w:widowControl w:val="0"/>
                    <w:kinsoku/>
                    <w:wordWrap/>
                    <w:overflowPunct/>
                    <w:topLinePunct w:val="0"/>
                    <w:autoSpaceDE w:val="0"/>
                    <w:autoSpaceDN w:val="0"/>
                    <w:bidi w:val="0"/>
                    <w:adjustRightInd w:val="0"/>
                    <w:snapToGrid/>
                    <w:spacing w:line="240" w:lineRule="auto"/>
                    <w:ind w:left="0" w:firstLine="0"/>
                    <w:jc w:val="center"/>
                    <w:textAlignment w:val="baseline"/>
                    <w:rPr>
                      <w:rFonts w:eastAsia="新宋体"/>
                      <w:sz w:val="21"/>
                      <w:szCs w:val="21"/>
                    </w:rPr>
                  </w:pPr>
                  <w:r>
                    <w:rPr>
                      <w:sz w:val="21"/>
                      <w:szCs w:val="21"/>
                    </w:rPr>
                    <w:t>《工业企业厂界环境噪声排放标准》(GB12348-2008)</w:t>
                  </w:r>
                  <w:r>
                    <w:rPr>
                      <w:rFonts w:hint="eastAsia"/>
                      <w:sz w:val="21"/>
                      <w:szCs w:val="21"/>
                      <w:lang w:val="en-US" w:eastAsia="zh-CN"/>
                    </w:rPr>
                    <w:t>3</w:t>
                  </w:r>
                  <w:r>
                    <w:rPr>
                      <w:sz w:val="21"/>
                      <w:szCs w:val="21"/>
                    </w:rPr>
                    <w:t>类标准</w:t>
                  </w:r>
                </w:p>
              </w:tc>
            </w:tr>
          </w:tbl>
          <w:p w14:paraId="28A566C3">
            <w:pPr>
              <w:tabs>
                <w:tab w:val="left" w:pos="6840"/>
              </w:tabs>
              <w:spacing w:line="360" w:lineRule="auto"/>
              <w:ind w:firstLine="482" w:firstLineChars="200"/>
              <w:rPr>
                <w:rFonts w:hAnsi="宋体"/>
                <w:b/>
                <w:bCs/>
                <w:sz w:val="24"/>
              </w:rPr>
            </w:pPr>
            <w:r>
              <w:rPr>
                <w:rFonts w:hint="eastAsia" w:hAnsi="宋体"/>
                <w:b/>
                <w:bCs/>
                <w:sz w:val="24"/>
              </w:rPr>
              <w:t>4、固体废物</w:t>
            </w:r>
          </w:p>
          <w:p w14:paraId="14C80706">
            <w:pPr>
              <w:pStyle w:val="14"/>
              <w:spacing w:line="360" w:lineRule="auto"/>
              <w:ind w:firstLine="480" w:firstLineChars="200"/>
              <w:jc w:val="both"/>
              <w:rPr>
                <w:rFonts w:hint="eastAsia" w:eastAsia="宋体"/>
                <w:lang w:val="en-US" w:eastAsia="zh-CN"/>
              </w:rPr>
            </w:pPr>
            <w:r>
              <w:t>一般</w:t>
            </w:r>
            <w:r>
              <w:rPr>
                <w:rFonts w:hint="eastAsia"/>
                <w:color w:val="FF0000"/>
                <w:lang w:val="en-US" w:eastAsia="zh-CN"/>
              </w:rPr>
              <w:t>工业</w:t>
            </w:r>
            <w:r>
              <w:t>固体废物满足相应防渗漏、防雨淋、防扬尘等环境保护要求</w:t>
            </w:r>
            <w:r>
              <w:rPr>
                <w:rFonts w:hint="eastAsia"/>
                <w:lang w:eastAsia="zh-CN"/>
              </w:rPr>
              <w:t>。</w:t>
            </w:r>
          </w:p>
        </w:tc>
      </w:tr>
      <w:tr w14:paraId="3A82DF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25" w:hRule="atLeast"/>
          <w:jc w:val="center"/>
        </w:trPr>
        <w:tc>
          <w:tcPr>
            <w:tcW w:w="235" w:type="pct"/>
            <w:vAlign w:val="center"/>
          </w:tcPr>
          <w:p w14:paraId="5597F9AE">
            <w:pPr>
              <w:adjustRightInd w:val="0"/>
              <w:snapToGrid w:val="0"/>
              <w:jc w:val="left"/>
              <w:rPr>
                <w:rFonts w:ascii="宋体" w:hAnsi="宋体" w:cs="宋体"/>
                <w:kern w:val="0"/>
                <w:szCs w:val="21"/>
              </w:rPr>
            </w:pPr>
            <w:r>
              <w:rPr>
                <w:rFonts w:hint="eastAsia" w:ascii="宋体" w:hAnsi="宋体" w:cs="宋体"/>
                <w:kern w:val="0"/>
                <w:szCs w:val="21"/>
              </w:rPr>
              <w:t>总量</w:t>
            </w:r>
          </w:p>
          <w:p w14:paraId="510B7B77">
            <w:pPr>
              <w:adjustRightInd w:val="0"/>
              <w:snapToGrid w:val="0"/>
              <w:jc w:val="left"/>
              <w:rPr>
                <w:rFonts w:ascii="宋体" w:hAnsi="宋体" w:cs="宋体"/>
                <w:kern w:val="0"/>
                <w:szCs w:val="21"/>
              </w:rPr>
            </w:pPr>
            <w:r>
              <w:rPr>
                <w:rFonts w:hint="eastAsia" w:ascii="宋体" w:hAnsi="宋体" w:cs="宋体"/>
                <w:kern w:val="0"/>
                <w:szCs w:val="21"/>
              </w:rPr>
              <w:t>控制</w:t>
            </w:r>
          </w:p>
          <w:p w14:paraId="02162959">
            <w:pPr>
              <w:adjustRightInd w:val="0"/>
              <w:snapToGrid w:val="0"/>
              <w:jc w:val="left"/>
              <w:rPr>
                <w:rFonts w:ascii="宋体" w:hAnsi="宋体" w:cs="宋体"/>
                <w:kern w:val="0"/>
                <w:szCs w:val="21"/>
              </w:rPr>
            </w:pPr>
            <w:r>
              <w:rPr>
                <w:rFonts w:hint="eastAsia" w:ascii="宋体" w:hAnsi="宋体" w:cs="宋体"/>
                <w:kern w:val="0"/>
                <w:szCs w:val="21"/>
              </w:rPr>
              <w:t>指标</w:t>
            </w:r>
          </w:p>
        </w:tc>
        <w:tc>
          <w:tcPr>
            <w:tcW w:w="4764" w:type="pct"/>
            <w:vAlign w:val="center"/>
          </w:tcPr>
          <w:p w14:paraId="1AE81898">
            <w:pPr>
              <w:pStyle w:val="86"/>
              <w:spacing w:line="360" w:lineRule="auto"/>
              <w:ind w:firstLine="480" w:firstLineChars="200"/>
              <w:jc w:val="left"/>
              <w:rPr>
                <w:rFonts w:ascii="Times New Roman" w:hAnsi="Times New Roman" w:cs="Times New Roman"/>
                <w:color w:val="000000" w:themeColor="text1"/>
                <w:sz w:val="24"/>
                <w:szCs w:val="24"/>
                <w:lang w:eastAsia="zh-CN"/>
                <w14:textFill>
                  <w14:solidFill>
                    <w14:schemeClr w14:val="tx1"/>
                  </w14:solidFill>
                </w14:textFill>
              </w:rPr>
            </w:pPr>
            <w:r>
              <w:rPr>
                <w:rFonts w:ascii="Times New Roman" w:hAnsi="Times New Roman" w:cs="Times New Roman"/>
                <w:color w:val="000000" w:themeColor="text1"/>
                <w:sz w:val="24"/>
                <w:szCs w:val="24"/>
                <w:lang w:eastAsia="zh-CN"/>
                <w14:textFill>
                  <w14:solidFill>
                    <w14:schemeClr w14:val="tx1"/>
                  </w14:solidFill>
                </w14:textFill>
              </w:rPr>
              <w:t>污染物排放实施总量控制是执行环保管理目标责任制的基本原则之一。本环评结合环保管理要求，对项目主要污染物的排放量进行总量控制分析。根据《关于印发</w:t>
            </w:r>
            <w:r>
              <w:rPr>
                <w:rFonts w:hint="eastAsia" w:ascii="Times New Roman" w:hAnsi="Times New Roman" w:cs="Times New Roman"/>
                <w:color w:val="000000" w:themeColor="text1"/>
                <w:sz w:val="24"/>
                <w:szCs w:val="24"/>
                <w:lang w:eastAsia="zh-CN"/>
                <w14:textFill>
                  <w14:solidFill>
                    <w14:schemeClr w14:val="tx1"/>
                  </w14:solidFill>
                </w14:textFill>
              </w:rPr>
              <w:t>“</w:t>
            </w:r>
            <w:r>
              <w:rPr>
                <w:rFonts w:ascii="Times New Roman" w:hAnsi="Times New Roman" w:cs="Times New Roman"/>
                <w:color w:val="000000" w:themeColor="text1"/>
                <w:sz w:val="24"/>
                <w:szCs w:val="24"/>
                <w:lang w:eastAsia="zh-CN"/>
                <w14:textFill>
                  <w14:solidFill>
                    <w14:schemeClr w14:val="tx1"/>
                  </w14:solidFill>
                </w14:textFill>
              </w:rPr>
              <w:t>十四五</w:t>
            </w:r>
            <w:r>
              <w:rPr>
                <w:rFonts w:hint="eastAsia" w:ascii="Times New Roman" w:hAnsi="Times New Roman" w:cs="Times New Roman"/>
                <w:color w:val="000000" w:themeColor="text1"/>
                <w:sz w:val="24"/>
                <w:szCs w:val="24"/>
                <w:lang w:eastAsia="zh-CN"/>
                <w14:textFill>
                  <w14:solidFill>
                    <w14:schemeClr w14:val="tx1"/>
                  </w14:solidFill>
                </w14:textFill>
              </w:rPr>
              <w:t>”</w:t>
            </w:r>
            <w:r>
              <w:rPr>
                <w:rFonts w:ascii="Times New Roman" w:hAnsi="Times New Roman" w:cs="Times New Roman"/>
                <w:color w:val="000000" w:themeColor="text1"/>
                <w:sz w:val="24"/>
                <w:szCs w:val="24"/>
                <w:lang w:eastAsia="zh-CN"/>
                <w14:textFill>
                  <w14:solidFill>
                    <w14:schemeClr w14:val="tx1"/>
                  </w14:solidFill>
                </w14:textFill>
              </w:rPr>
              <w:t>生态保护监管规划的通知》（环生态〔2022〕15号）以及《江西省“十四五”生态环境保护规划的通知》（赣府发〔2021〕25号），建设项目总量指标审核和管理的污染物范围包括：NO</w:t>
            </w:r>
            <w:r>
              <w:rPr>
                <w:rFonts w:hint="eastAsia" w:ascii="Times New Roman" w:hAnsi="Times New Roman" w:cs="Times New Roman"/>
                <w:color w:val="000000" w:themeColor="text1"/>
                <w:sz w:val="24"/>
                <w:szCs w:val="24"/>
                <w:vertAlign w:val="subscript"/>
                <w:lang w:eastAsia="zh-CN"/>
                <w14:textFill>
                  <w14:solidFill>
                    <w14:schemeClr w14:val="tx1"/>
                  </w14:solidFill>
                </w14:textFill>
              </w:rPr>
              <w:t>X</w:t>
            </w:r>
            <w:r>
              <w:rPr>
                <w:rFonts w:ascii="Times New Roman" w:hAnsi="Times New Roman" w:cs="Times New Roman"/>
                <w:color w:val="000000" w:themeColor="text1"/>
                <w:sz w:val="24"/>
                <w:szCs w:val="24"/>
                <w:lang w:eastAsia="zh-CN"/>
                <w14:textFill>
                  <w14:solidFill>
                    <w14:schemeClr w14:val="tx1"/>
                  </w14:solidFill>
                </w14:textFill>
              </w:rPr>
              <w:t>、挥发性有机物及COD</w:t>
            </w:r>
            <w:r>
              <w:rPr>
                <w:rFonts w:hint="eastAsia" w:ascii="Times New Roman" w:hAnsi="Times New Roman" w:cs="Times New Roman"/>
                <w:color w:val="000000" w:themeColor="text1"/>
                <w:sz w:val="24"/>
                <w:szCs w:val="24"/>
                <w:lang w:eastAsia="zh-CN"/>
                <w14:textFill>
                  <w14:solidFill>
                    <w14:schemeClr w14:val="tx1"/>
                  </w14:solidFill>
                </w14:textFill>
              </w:rPr>
              <w:t>cr</w:t>
            </w:r>
            <w:r>
              <w:rPr>
                <w:rFonts w:ascii="Times New Roman" w:hAnsi="Times New Roman" w:cs="Times New Roman"/>
                <w:color w:val="000000" w:themeColor="text1"/>
                <w:sz w:val="24"/>
                <w:szCs w:val="24"/>
                <w:lang w:eastAsia="zh-CN"/>
                <w14:textFill>
                  <w14:solidFill>
                    <w14:schemeClr w14:val="tx1"/>
                  </w14:solidFill>
                </w14:textFill>
              </w:rPr>
              <w:t>、NH</w:t>
            </w:r>
            <w:r>
              <w:rPr>
                <w:rFonts w:ascii="Times New Roman" w:hAnsi="Times New Roman" w:cs="Times New Roman"/>
                <w:color w:val="000000" w:themeColor="text1"/>
                <w:sz w:val="24"/>
                <w:szCs w:val="24"/>
                <w:vertAlign w:val="subscript"/>
                <w:lang w:eastAsia="zh-CN"/>
                <w14:textFill>
                  <w14:solidFill>
                    <w14:schemeClr w14:val="tx1"/>
                  </w14:solidFill>
                </w14:textFill>
              </w:rPr>
              <w:t>3</w:t>
            </w:r>
            <w:r>
              <w:rPr>
                <w:rFonts w:ascii="Times New Roman" w:hAnsi="Times New Roman" w:cs="Times New Roman"/>
                <w:color w:val="000000" w:themeColor="text1"/>
                <w:sz w:val="24"/>
                <w:szCs w:val="24"/>
                <w:lang w:eastAsia="zh-CN"/>
                <w14:textFill>
                  <w14:solidFill>
                    <w14:schemeClr w14:val="tx1"/>
                  </w14:solidFill>
                </w14:textFill>
              </w:rPr>
              <w:t>-N。</w:t>
            </w:r>
          </w:p>
          <w:p w14:paraId="17D0674E">
            <w:pPr>
              <w:adjustRightInd w:val="0"/>
              <w:snapToGrid w:val="0"/>
              <w:spacing w:line="360" w:lineRule="auto"/>
              <w:ind w:firstLine="482" w:firstLineChars="200"/>
              <w:rPr>
                <w:b/>
                <w:bCs/>
                <w:color w:val="auto"/>
                <w:sz w:val="24"/>
              </w:rPr>
            </w:pPr>
            <w:r>
              <w:rPr>
                <w:b/>
                <w:bCs/>
                <w:color w:val="auto"/>
                <w:sz w:val="24"/>
              </w:rPr>
              <w:t>1、废水污染物总量控制指标</w:t>
            </w:r>
          </w:p>
          <w:p w14:paraId="7B8EDBCA">
            <w:pPr>
              <w:pStyle w:val="7"/>
              <w:ind w:firstLine="480"/>
              <w:rPr>
                <w:color w:val="FF0000"/>
              </w:rPr>
            </w:pPr>
            <w:r>
              <w:rPr>
                <w:rFonts w:hint="eastAsia"/>
                <w:color w:val="FF0000"/>
                <w:lang w:val="en-US" w:eastAsia="zh-CN"/>
              </w:rPr>
              <w:t>现有项目</w:t>
            </w:r>
            <w:r>
              <w:rPr>
                <w:rFonts w:ascii="Times New Roman" w:hAnsi="Times New Roman" w:cs="Times New Roman"/>
                <w:color w:val="FF0000"/>
                <w:sz w:val="24"/>
                <w:szCs w:val="24"/>
                <w:lang w:eastAsia="zh-CN"/>
              </w:rPr>
              <w:t>COD</w:t>
            </w:r>
            <w:r>
              <w:rPr>
                <w:rFonts w:hint="eastAsia" w:ascii="Times New Roman" w:hAnsi="Times New Roman" w:cs="Times New Roman"/>
                <w:color w:val="FF0000"/>
                <w:sz w:val="24"/>
                <w:szCs w:val="24"/>
                <w:lang w:eastAsia="zh-CN"/>
              </w:rPr>
              <w:t>cr</w:t>
            </w:r>
            <w:r>
              <w:rPr>
                <w:rFonts w:hint="eastAsia" w:ascii="Times New Roman" w:hAnsi="Times New Roman" w:cs="Times New Roman"/>
                <w:color w:val="FF0000"/>
                <w:sz w:val="24"/>
                <w:szCs w:val="24"/>
                <w:lang w:val="en-US" w:eastAsia="zh-CN"/>
              </w:rPr>
              <w:t>控制总量为0.53t/a</w:t>
            </w:r>
            <w:r>
              <w:rPr>
                <w:rFonts w:ascii="Times New Roman" w:hAnsi="Times New Roman" w:cs="Times New Roman"/>
                <w:color w:val="FF0000"/>
                <w:sz w:val="24"/>
                <w:szCs w:val="24"/>
                <w:lang w:eastAsia="zh-CN"/>
              </w:rPr>
              <w:t>、NH</w:t>
            </w:r>
            <w:r>
              <w:rPr>
                <w:rFonts w:ascii="Times New Roman" w:hAnsi="Times New Roman" w:cs="Times New Roman"/>
                <w:color w:val="FF0000"/>
                <w:sz w:val="24"/>
                <w:szCs w:val="24"/>
                <w:vertAlign w:val="subscript"/>
                <w:lang w:eastAsia="zh-CN"/>
              </w:rPr>
              <w:t>3</w:t>
            </w:r>
            <w:r>
              <w:rPr>
                <w:rFonts w:ascii="Times New Roman" w:hAnsi="Times New Roman" w:cs="Times New Roman"/>
                <w:color w:val="FF0000"/>
                <w:sz w:val="24"/>
                <w:szCs w:val="24"/>
                <w:lang w:eastAsia="zh-CN"/>
              </w:rPr>
              <w:t>-N</w:t>
            </w:r>
            <w:r>
              <w:rPr>
                <w:rFonts w:hint="eastAsia" w:ascii="Times New Roman" w:hAnsi="Times New Roman" w:cs="Times New Roman"/>
                <w:color w:val="FF0000"/>
                <w:sz w:val="24"/>
                <w:szCs w:val="24"/>
                <w:lang w:val="en-US" w:eastAsia="zh-CN"/>
              </w:rPr>
              <w:t>控制总量为0.08t/a，</w:t>
            </w:r>
            <w:r>
              <w:rPr>
                <w:rFonts w:hint="eastAsia"/>
                <w:color w:val="FF0000"/>
                <w:lang w:val="en-US" w:eastAsia="zh-CN"/>
              </w:rPr>
              <w:t>本次技改项目无废水外排、</w:t>
            </w:r>
            <w:r>
              <w:rPr>
                <w:rFonts w:hint="eastAsia"/>
                <w:color w:val="FF0000"/>
              </w:rPr>
              <w:t>故无需进行废水总量控制。</w:t>
            </w:r>
          </w:p>
          <w:p w14:paraId="523428A0">
            <w:pPr>
              <w:spacing w:line="360" w:lineRule="auto"/>
              <w:ind w:firstLine="482" w:firstLineChars="200"/>
              <w:rPr>
                <w:b/>
                <w:bCs/>
                <w:color w:val="auto"/>
                <w:sz w:val="24"/>
                <w:lang w:val="zh-CN"/>
              </w:rPr>
            </w:pPr>
            <w:r>
              <w:rPr>
                <w:b/>
                <w:bCs/>
                <w:color w:val="auto"/>
                <w:sz w:val="24"/>
                <w:lang w:val="zh-CN"/>
              </w:rPr>
              <w:t>2、废气污染物总量控制指标</w:t>
            </w:r>
          </w:p>
          <w:p w14:paraId="3953946E">
            <w:pPr>
              <w:pStyle w:val="122"/>
              <w:keepNext w:val="0"/>
              <w:keepLines w:val="0"/>
              <w:pageBreakBefore w:val="0"/>
              <w:widowControl w:val="0"/>
              <w:kinsoku/>
              <w:wordWrap/>
              <w:overflowPunct/>
              <w:topLinePunct w:val="0"/>
              <w:autoSpaceDE/>
              <w:autoSpaceDN/>
              <w:bidi w:val="0"/>
              <w:adjustRightInd w:val="0"/>
              <w:snapToGrid/>
              <w:spacing w:line="360" w:lineRule="auto"/>
              <w:ind w:left="0" w:leftChars="0" w:firstLine="480" w:firstLineChars="200"/>
              <w:textAlignment w:val="auto"/>
              <w:rPr>
                <w:rFonts w:hint="default" w:ascii="宋体" w:hAnsi="宋体" w:eastAsia="宋体" w:cs="宋体"/>
                <w:kern w:val="0"/>
                <w:szCs w:val="21"/>
                <w:vertAlign w:val="baseline"/>
                <w:lang w:val="en-US" w:eastAsia="zh-CN"/>
              </w:rPr>
            </w:pPr>
            <w:r>
              <w:rPr>
                <w:rFonts w:hint="eastAsia"/>
                <w:color w:val="FF0000"/>
                <w:lang w:val="en-US" w:eastAsia="zh-CN"/>
              </w:rPr>
              <w:t>现有项目不涉及</w:t>
            </w:r>
            <w:r>
              <w:rPr>
                <w:rFonts w:ascii="Times New Roman" w:hAnsi="Times New Roman" w:cs="Times New Roman"/>
                <w:color w:val="FF0000"/>
                <w:sz w:val="24"/>
                <w:szCs w:val="24"/>
                <w:lang w:eastAsia="zh-CN"/>
              </w:rPr>
              <w:t>挥发性有机物</w:t>
            </w:r>
            <w:r>
              <w:rPr>
                <w:rFonts w:hint="eastAsia" w:ascii="Times New Roman" w:hAnsi="Times New Roman" w:cs="Times New Roman"/>
                <w:color w:val="FF0000"/>
                <w:sz w:val="24"/>
                <w:szCs w:val="24"/>
                <w:lang w:val="en-US" w:eastAsia="zh-CN"/>
              </w:rPr>
              <w:t>排放、</w:t>
            </w:r>
            <w:r>
              <w:rPr>
                <w:rFonts w:ascii="Times New Roman" w:hAnsi="Times New Roman" w:cs="Times New Roman"/>
                <w:color w:val="FF0000"/>
                <w:sz w:val="24"/>
                <w:szCs w:val="24"/>
                <w:lang w:eastAsia="zh-CN"/>
              </w:rPr>
              <w:t>NO</w:t>
            </w:r>
            <w:r>
              <w:rPr>
                <w:rFonts w:hint="eastAsia" w:ascii="Times New Roman" w:hAnsi="Times New Roman" w:cs="Times New Roman"/>
                <w:color w:val="FF0000"/>
                <w:sz w:val="24"/>
                <w:szCs w:val="24"/>
                <w:vertAlign w:val="subscript"/>
                <w:lang w:eastAsia="zh-CN"/>
              </w:rPr>
              <w:t>X</w:t>
            </w:r>
            <w:r>
              <w:rPr>
                <w:rFonts w:hint="eastAsia" w:ascii="Times New Roman" w:hAnsi="Times New Roman" w:cs="Times New Roman"/>
                <w:color w:val="FF0000"/>
                <w:sz w:val="24"/>
                <w:szCs w:val="24"/>
                <w:lang w:val="en-US" w:eastAsia="zh-CN"/>
              </w:rPr>
              <w:t>控制总量为4.59t/a。</w:t>
            </w:r>
            <w:r>
              <w:rPr>
                <w:rFonts w:hint="eastAsia" w:ascii="宋体" w:hAnsi="宋体" w:cs="宋体"/>
                <w:color w:val="FF0000"/>
                <w:kern w:val="0"/>
                <w:szCs w:val="21"/>
                <w:lang w:val="en-US" w:eastAsia="zh-CN"/>
              </w:rPr>
              <w:t>本次锅炉技改项目不涉及挥发性有机物排放，锅炉总运行时长、生物质燃料用量不发生变化，</w:t>
            </w:r>
            <w:r>
              <w:rPr>
                <w:rFonts w:ascii="Times New Roman" w:hAnsi="Times New Roman" w:cs="Times New Roman"/>
                <w:color w:val="FF0000"/>
                <w:sz w:val="24"/>
                <w:szCs w:val="24"/>
                <w:lang w:eastAsia="zh-CN"/>
              </w:rPr>
              <w:t>NO</w:t>
            </w:r>
            <w:r>
              <w:rPr>
                <w:rFonts w:hint="eastAsia" w:ascii="Times New Roman" w:hAnsi="Times New Roman" w:cs="Times New Roman"/>
                <w:color w:val="FF0000"/>
                <w:sz w:val="24"/>
                <w:szCs w:val="24"/>
                <w:vertAlign w:val="subscript"/>
                <w:lang w:eastAsia="zh-CN"/>
              </w:rPr>
              <w:t>X</w:t>
            </w:r>
            <w:r>
              <w:rPr>
                <w:rFonts w:hint="eastAsia" w:cs="Times New Roman"/>
                <w:color w:val="FF0000"/>
                <w:sz w:val="24"/>
                <w:szCs w:val="24"/>
                <w:vertAlign w:val="baseline"/>
                <w:lang w:val="en-US" w:eastAsia="zh-CN"/>
              </w:rPr>
              <w:t>排放量不产生增加，故无需进行废气总量控制。</w:t>
            </w:r>
          </w:p>
        </w:tc>
      </w:tr>
    </w:tbl>
    <w:p w14:paraId="58723E41">
      <w:pPr>
        <w:pStyle w:val="23"/>
        <w:spacing w:before="0" w:beforeAutospacing="0" w:after="0" w:afterAutospacing="0"/>
        <w:jc w:val="center"/>
        <w:outlineLvl w:val="9"/>
        <w:rPr>
          <w:rFonts w:hint="eastAsia" w:ascii="Times New Roman" w:hAnsi="Times New Roman"/>
          <w:snapToGrid w:val="0"/>
          <w:sz w:val="30"/>
          <w:szCs w:val="30"/>
        </w:rPr>
        <w:sectPr>
          <w:pgSz w:w="11907" w:h="16840"/>
          <w:pgMar w:top="1701" w:right="1531" w:bottom="2127"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2F1F94E5">
      <w:pPr>
        <w:keepNext w:val="0"/>
        <w:keepLines w:val="0"/>
        <w:pageBreakBefore w:val="0"/>
        <w:widowControl/>
        <w:kinsoku/>
        <w:wordWrap/>
        <w:overflowPunct/>
        <w:topLinePunct w:val="0"/>
        <w:autoSpaceDE/>
        <w:autoSpaceDN/>
        <w:bidi w:val="0"/>
        <w:adjustRightInd/>
        <w:snapToGrid/>
        <w:spacing w:before="0" w:beforeAutospacing="0" w:after="0" w:afterAutospacing="0"/>
        <w:jc w:val="center"/>
        <w:textAlignment w:val="auto"/>
        <w:outlineLvl w:val="0"/>
        <w:rPr>
          <w:rFonts w:ascii="Times New Roman" w:hAnsi="Times New Roman" w:eastAsia="宋体" w:cs="Times New Roman"/>
          <w:snapToGrid w:val="0"/>
          <w:color w:val="auto"/>
          <w:kern w:val="0"/>
          <w:sz w:val="30"/>
          <w:szCs w:val="30"/>
          <w:lang w:val="en-US" w:eastAsia="zh-CN" w:bidi="ar-SA"/>
        </w:rPr>
      </w:pPr>
      <w:r>
        <w:rPr>
          <w:rFonts w:hint="eastAsia" w:ascii="Times New Roman" w:hAnsi="Times New Roman" w:eastAsia="宋体" w:cs="Times New Roman"/>
          <w:snapToGrid w:val="0"/>
          <w:color w:val="auto"/>
          <w:kern w:val="0"/>
          <w:sz w:val="30"/>
          <w:szCs w:val="30"/>
          <w:lang w:val="en-US" w:eastAsia="zh-CN" w:bidi="ar-SA"/>
        </w:rPr>
        <w:t>四、主要环境影响和保护措施</w:t>
      </w:r>
    </w:p>
    <w:tbl>
      <w:tblPr>
        <w:tblStyle w:val="27"/>
        <w:tblW w:w="890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70"/>
        <w:gridCol w:w="8638"/>
      </w:tblGrid>
      <w:tr w14:paraId="2823A4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270" w:type="dxa"/>
            <w:tcMar>
              <w:left w:w="28" w:type="dxa"/>
              <w:right w:w="28" w:type="dxa"/>
            </w:tcMar>
            <w:vAlign w:val="center"/>
          </w:tcPr>
          <w:p w14:paraId="0D0556D9">
            <w:pPr>
              <w:widowControl/>
              <w:adjustRightInd w:val="0"/>
              <w:snapToGrid w:val="0"/>
              <w:spacing w:before="0" w:beforeAutospacing="0" w:after="0" w:afterAutospacing="0"/>
              <w:jc w:val="center"/>
              <w:rPr>
                <w:rFonts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施工</w:t>
            </w:r>
          </w:p>
          <w:p w14:paraId="7EDBC58F">
            <w:pPr>
              <w:widowControl/>
              <w:adjustRightInd w:val="0"/>
              <w:snapToGrid w:val="0"/>
              <w:spacing w:before="0" w:beforeAutospacing="0" w:after="0" w:afterAutospacing="0"/>
              <w:jc w:val="center"/>
              <w:rPr>
                <w:rFonts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期环</w:t>
            </w:r>
          </w:p>
          <w:p w14:paraId="3F0AA2E6">
            <w:pPr>
              <w:widowControl/>
              <w:adjustRightInd w:val="0"/>
              <w:snapToGrid w:val="0"/>
              <w:spacing w:before="0" w:beforeAutospacing="0" w:after="0" w:afterAutospacing="0"/>
              <w:jc w:val="center"/>
              <w:rPr>
                <w:rFonts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境保</w:t>
            </w:r>
          </w:p>
          <w:p w14:paraId="5D95A6B2">
            <w:pPr>
              <w:widowControl/>
              <w:adjustRightInd w:val="0"/>
              <w:snapToGrid w:val="0"/>
              <w:spacing w:before="0" w:beforeAutospacing="0" w:after="0" w:afterAutospacing="0"/>
              <w:jc w:val="center"/>
              <w:rPr>
                <w:rFonts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护措</w:t>
            </w:r>
          </w:p>
          <w:p w14:paraId="3767519E">
            <w:pPr>
              <w:widowControl/>
              <w:adjustRightInd w:val="0"/>
              <w:snapToGrid w:val="0"/>
              <w:spacing w:before="0" w:beforeAutospacing="0" w:after="0" w:afterAutospacing="0"/>
              <w:jc w:val="center"/>
              <w:rPr>
                <w:rFonts w:ascii="宋体" w:hAnsi="宋体" w:eastAsia="宋体" w:cs="宋体"/>
                <w:bCs/>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施</w:t>
            </w:r>
          </w:p>
        </w:tc>
        <w:tc>
          <w:tcPr>
            <w:tcW w:w="8638" w:type="dxa"/>
          </w:tcPr>
          <w:p w14:paraId="71D41778">
            <w:pPr>
              <w:adjustRightInd w:val="0"/>
              <w:snapToGrid w:val="0"/>
              <w:spacing w:line="360" w:lineRule="auto"/>
              <w:ind w:firstLine="480" w:firstLineChars="200"/>
              <w:rPr>
                <w:rFonts w:ascii="宋体" w:hAnsi="宋体" w:eastAsia="宋体" w:cs="宋体"/>
                <w:bCs/>
                <w:color w:val="auto"/>
                <w:spacing w:val="-10"/>
                <w:szCs w:val="21"/>
              </w:rPr>
            </w:pPr>
            <w:r>
              <w:rPr>
                <w:rFonts w:hint="eastAsia" w:ascii="Times New Roman" w:hAnsi="Times New Roman" w:cs="Times New Roman"/>
                <w:color w:val="000000" w:themeColor="text1"/>
                <w:kern w:val="10"/>
                <w:sz w:val="24"/>
                <w:lang w:val="en-US" w:eastAsia="zh-CN"/>
                <w14:textFill>
                  <w14:solidFill>
                    <w14:schemeClr w14:val="tx1"/>
                  </w14:solidFill>
                </w14:textFill>
              </w:rPr>
              <w:t>本项目为锅炉技改项目，无土建工程，施工主要为设备安装，影响时间短、范围小，因此，本次环评不对施工期展开分析。</w:t>
            </w:r>
          </w:p>
        </w:tc>
      </w:tr>
    </w:tbl>
    <w:p w14:paraId="4E00B8E5">
      <w:pPr>
        <w:pStyle w:val="24"/>
        <w:rPr>
          <w:rFonts w:hint="eastAsia"/>
          <w:lang w:val="en-US" w:eastAsia="zh-CN"/>
        </w:rPr>
        <w:sectPr>
          <w:pgSz w:w="11907" w:h="16840"/>
          <w:pgMar w:top="1701" w:right="1531" w:bottom="2127" w:left="1531" w:header="851" w:footer="851" w:gutter="0"/>
          <w:pgBorders>
            <w:top w:val="none" w:sz="0" w:space="0"/>
            <w:left w:val="none" w:sz="0" w:space="0"/>
            <w:bottom w:val="none" w:sz="0" w:space="0"/>
            <w:right w:val="none" w:sz="0" w:space="0"/>
          </w:pgBorders>
          <w:pgNumType w:fmt="decimal"/>
          <w:cols w:space="720" w:num="1"/>
          <w:docGrid w:linePitch="312" w:charSpace="0"/>
        </w:sectPr>
      </w:pPr>
    </w:p>
    <w:tbl>
      <w:tblPr>
        <w:tblStyle w:val="2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1"/>
        <w:gridCol w:w="12807"/>
      </w:tblGrid>
      <w:tr w14:paraId="442B6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8" w:hRule="atLeast"/>
        </w:trPr>
        <w:tc>
          <w:tcPr>
            <w:tcW w:w="158" w:type="pct"/>
            <w:vAlign w:val="center"/>
          </w:tcPr>
          <w:p w14:paraId="19075FAE">
            <w:pPr>
              <w:adjustRightInd w:val="0"/>
              <w:snapToGrid w:val="0"/>
              <w:jc w:val="center"/>
              <w:rPr>
                <w:rFonts w:cs="宋体"/>
                <w:b/>
                <w:kern w:val="0"/>
                <w:sz w:val="28"/>
                <w:szCs w:val="28"/>
              </w:rPr>
            </w:pPr>
            <w:r>
              <w:rPr>
                <w:rFonts w:hint="eastAsia" w:ascii="宋体" w:hAnsi="宋体" w:cs="宋体"/>
                <w:bCs/>
                <w:szCs w:val="21"/>
              </w:rPr>
              <w:t>运营期环境影响和保护</w:t>
            </w:r>
            <w:r>
              <w:rPr>
                <w:rFonts w:hint="eastAsia" w:hAnsi="宋体" w:cs="宋体"/>
                <w:bCs/>
                <w:szCs w:val="21"/>
              </w:rPr>
              <w:t>措施</w:t>
            </w:r>
          </w:p>
        </w:tc>
        <w:tc>
          <w:tcPr>
            <w:tcW w:w="4841" w:type="pct"/>
          </w:tcPr>
          <w:p w14:paraId="74DE9C3D">
            <w:pPr>
              <w:spacing w:line="360" w:lineRule="auto"/>
              <w:rPr>
                <w:b/>
                <w:bCs/>
                <w:sz w:val="24"/>
              </w:rPr>
            </w:pPr>
            <w:r>
              <w:rPr>
                <w:b/>
                <w:bCs/>
                <w:sz w:val="24"/>
              </w:rPr>
              <w:t>一、废气</w:t>
            </w:r>
          </w:p>
          <w:p w14:paraId="35C41BB4">
            <w:pPr>
              <w:spacing w:line="360" w:lineRule="auto"/>
              <w:rPr>
                <w:sz w:val="24"/>
              </w:rPr>
            </w:pPr>
            <w:r>
              <w:rPr>
                <w:b/>
                <w:bCs/>
                <w:sz w:val="24"/>
              </w:rPr>
              <w:t>1、废气污染源情况</w:t>
            </w:r>
          </w:p>
          <w:p w14:paraId="5083807E">
            <w:pPr>
              <w:pStyle w:val="9"/>
              <w:autoSpaceDE/>
              <w:autoSpaceDN/>
              <w:adjustRightInd/>
              <w:spacing w:line="240" w:lineRule="auto"/>
              <w:ind w:left="0" w:firstLine="480" w:firstLineChars="200"/>
              <w:jc w:val="both"/>
              <w:textAlignment w:val="auto"/>
              <w:rPr>
                <w:b/>
                <w:bCs/>
                <w:spacing w:val="-10"/>
                <w:szCs w:val="24"/>
              </w:rPr>
            </w:pPr>
            <w:r>
              <w:t>本项目废气污染源排放情况见表4-1。</w:t>
            </w:r>
          </w:p>
          <w:p w14:paraId="07E21DCA">
            <w:pPr>
              <w:pStyle w:val="9"/>
              <w:autoSpaceDE/>
              <w:autoSpaceDN/>
              <w:adjustRightInd/>
              <w:spacing w:line="240" w:lineRule="auto"/>
              <w:ind w:left="0" w:firstLine="0"/>
              <w:jc w:val="center"/>
              <w:textAlignment w:val="auto"/>
              <w:rPr>
                <w:b/>
                <w:bCs/>
                <w:spacing w:val="-10"/>
                <w:szCs w:val="24"/>
              </w:rPr>
            </w:pPr>
            <w:r>
              <w:rPr>
                <w:rFonts w:hint="eastAsia"/>
                <w:b/>
                <w:bCs/>
                <w:spacing w:val="-10"/>
                <w:szCs w:val="24"/>
              </w:rPr>
              <w:t>表4-1项目废气产排情况汇总表</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90"/>
              <w:gridCol w:w="390"/>
              <w:gridCol w:w="834"/>
              <w:gridCol w:w="812"/>
              <w:gridCol w:w="649"/>
              <w:gridCol w:w="743"/>
              <w:gridCol w:w="704"/>
              <w:gridCol w:w="581"/>
              <w:gridCol w:w="633"/>
              <w:gridCol w:w="641"/>
              <w:gridCol w:w="349"/>
              <w:gridCol w:w="611"/>
              <w:gridCol w:w="699"/>
              <w:gridCol w:w="656"/>
              <w:gridCol w:w="421"/>
              <w:gridCol w:w="437"/>
              <w:gridCol w:w="451"/>
              <w:gridCol w:w="481"/>
              <w:gridCol w:w="437"/>
              <w:gridCol w:w="655"/>
              <w:gridCol w:w="539"/>
              <w:gridCol w:w="478"/>
            </w:tblGrid>
            <w:tr w14:paraId="65D2AC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154" w:type="pct"/>
                  <w:vMerge w:val="restart"/>
                  <w:tcBorders>
                    <w:tl2br w:val="nil"/>
                    <w:tr2bl w:val="nil"/>
                  </w:tcBorders>
                  <w:vAlign w:val="center"/>
                </w:tcPr>
                <w:p w14:paraId="464CE9D7">
                  <w:pPr>
                    <w:pStyle w:val="5"/>
                    <w:spacing w:before="0" w:after="0" w:line="0" w:lineRule="atLeast"/>
                    <w:jc w:val="center"/>
                    <w:rPr>
                      <w:sz w:val="21"/>
                      <w:szCs w:val="21"/>
                    </w:rPr>
                  </w:pPr>
                  <w:r>
                    <w:rPr>
                      <w:sz w:val="21"/>
                      <w:szCs w:val="21"/>
                    </w:rPr>
                    <w:t>产排污环节</w:t>
                  </w:r>
                </w:p>
              </w:tc>
              <w:tc>
                <w:tcPr>
                  <w:tcW w:w="154" w:type="pct"/>
                  <w:vMerge w:val="restart"/>
                  <w:tcBorders>
                    <w:tl2br w:val="nil"/>
                    <w:tr2bl w:val="nil"/>
                  </w:tcBorders>
                  <w:vAlign w:val="center"/>
                </w:tcPr>
                <w:p w14:paraId="0DC7404B">
                  <w:pPr>
                    <w:pStyle w:val="5"/>
                    <w:spacing w:before="0" w:after="0" w:line="0" w:lineRule="atLeast"/>
                    <w:jc w:val="center"/>
                    <w:rPr>
                      <w:sz w:val="21"/>
                      <w:szCs w:val="21"/>
                    </w:rPr>
                  </w:pPr>
                  <w:r>
                    <w:rPr>
                      <w:sz w:val="21"/>
                      <w:szCs w:val="21"/>
                    </w:rPr>
                    <w:t>排放形式</w:t>
                  </w:r>
                </w:p>
              </w:tc>
              <w:tc>
                <w:tcPr>
                  <w:tcW w:w="331" w:type="pct"/>
                  <w:vMerge w:val="restart"/>
                  <w:tcBorders>
                    <w:tl2br w:val="nil"/>
                    <w:tr2bl w:val="nil"/>
                  </w:tcBorders>
                  <w:vAlign w:val="center"/>
                </w:tcPr>
                <w:p w14:paraId="184967A9">
                  <w:pPr>
                    <w:pStyle w:val="5"/>
                    <w:spacing w:before="0" w:after="0" w:line="0" w:lineRule="atLeast"/>
                    <w:jc w:val="center"/>
                    <w:rPr>
                      <w:sz w:val="21"/>
                      <w:szCs w:val="21"/>
                    </w:rPr>
                  </w:pPr>
                  <w:r>
                    <w:rPr>
                      <w:sz w:val="21"/>
                      <w:szCs w:val="21"/>
                    </w:rPr>
                    <w:t>污染物种类</w:t>
                  </w:r>
                </w:p>
              </w:tc>
              <w:tc>
                <w:tcPr>
                  <w:tcW w:w="875" w:type="pct"/>
                  <w:gridSpan w:val="3"/>
                  <w:tcBorders>
                    <w:tl2br w:val="nil"/>
                    <w:tr2bl w:val="nil"/>
                  </w:tcBorders>
                  <w:vAlign w:val="center"/>
                </w:tcPr>
                <w:p w14:paraId="18A650CA">
                  <w:pPr>
                    <w:pStyle w:val="5"/>
                    <w:spacing w:before="0" w:after="0" w:line="0" w:lineRule="atLeast"/>
                    <w:jc w:val="center"/>
                    <w:rPr>
                      <w:sz w:val="21"/>
                      <w:szCs w:val="21"/>
                    </w:rPr>
                  </w:pPr>
                  <w:r>
                    <w:rPr>
                      <w:sz w:val="21"/>
                      <w:szCs w:val="21"/>
                    </w:rPr>
                    <w:t>污染物产生量和浓度</w:t>
                  </w:r>
                </w:p>
              </w:tc>
              <w:tc>
                <w:tcPr>
                  <w:tcW w:w="1154" w:type="pct"/>
                  <w:gridSpan w:val="5"/>
                  <w:tcBorders>
                    <w:tl2br w:val="nil"/>
                    <w:tr2bl w:val="nil"/>
                  </w:tcBorders>
                  <w:vAlign w:val="center"/>
                </w:tcPr>
                <w:p w14:paraId="49890536">
                  <w:pPr>
                    <w:pStyle w:val="5"/>
                    <w:spacing w:before="0" w:after="0" w:line="0" w:lineRule="atLeast"/>
                    <w:jc w:val="center"/>
                    <w:rPr>
                      <w:sz w:val="21"/>
                      <w:szCs w:val="21"/>
                    </w:rPr>
                  </w:pPr>
                  <w:r>
                    <w:rPr>
                      <w:sz w:val="21"/>
                      <w:szCs w:val="21"/>
                    </w:rPr>
                    <w:t>污染物治理设施</w:t>
                  </w:r>
                </w:p>
              </w:tc>
              <w:tc>
                <w:tcPr>
                  <w:tcW w:w="780" w:type="pct"/>
                  <w:gridSpan w:val="3"/>
                  <w:tcBorders>
                    <w:tl2br w:val="nil"/>
                    <w:tr2bl w:val="nil"/>
                  </w:tcBorders>
                  <w:vAlign w:val="center"/>
                </w:tcPr>
                <w:p w14:paraId="5068F31B">
                  <w:pPr>
                    <w:pStyle w:val="5"/>
                    <w:spacing w:before="0" w:after="0" w:line="0" w:lineRule="atLeast"/>
                    <w:jc w:val="center"/>
                    <w:rPr>
                      <w:sz w:val="21"/>
                      <w:szCs w:val="21"/>
                    </w:rPr>
                  </w:pPr>
                  <w:r>
                    <w:rPr>
                      <w:sz w:val="21"/>
                      <w:szCs w:val="21"/>
                    </w:rPr>
                    <w:t>污染物排放量和浓度</w:t>
                  </w:r>
                </w:p>
              </w:tc>
              <w:tc>
                <w:tcPr>
                  <w:tcW w:w="1144" w:type="pct"/>
                  <w:gridSpan w:val="6"/>
                  <w:tcBorders>
                    <w:tl2br w:val="nil"/>
                    <w:tr2bl w:val="nil"/>
                  </w:tcBorders>
                  <w:vAlign w:val="center"/>
                </w:tcPr>
                <w:p w14:paraId="7CF2B71C">
                  <w:pPr>
                    <w:pStyle w:val="5"/>
                    <w:spacing w:before="0" w:after="0" w:line="0" w:lineRule="atLeast"/>
                    <w:jc w:val="center"/>
                    <w:rPr>
                      <w:sz w:val="21"/>
                      <w:szCs w:val="21"/>
                    </w:rPr>
                  </w:pPr>
                  <w:r>
                    <w:rPr>
                      <w:rFonts w:hint="eastAsia"/>
                      <w:sz w:val="21"/>
                      <w:szCs w:val="21"/>
                    </w:rPr>
                    <w:t>排气筒基本情况</w:t>
                  </w:r>
                </w:p>
              </w:tc>
              <w:tc>
                <w:tcPr>
                  <w:tcW w:w="403" w:type="pct"/>
                  <w:gridSpan w:val="2"/>
                  <w:tcBorders>
                    <w:tl2br w:val="nil"/>
                    <w:tr2bl w:val="nil"/>
                  </w:tcBorders>
                  <w:vAlign w:val="center"/>
                </w:tcPr>
                <w:p w14:paraId="7CD14D47">
                  <w:pPr>
                    <w:pStyle w:val="5"/>
                    <w:spacing w:before="0" w:after="0" w:line="0" w:lineRule="atLeast"/>
                    <w:jc w:val="center"/>
                    <w:rPr>
                      <w:sz w:val="21"/>
                      <w:szCs w:val="21"/>
                    </w:rPr>
                  </w:pPr>
                  <w:r>
                    <w:rPr>
                      <w:sz w:val="21"/>
                      <w:szCs w:val="21"/>
                    </w:rPr>
                    <w:t>排放标准</w:t>
                  </w:r>
                </w:p>
              </w:tc>
            </w:tr>
            <w:tr w14:paraId="68FE6F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154" w:type="pct"/>
                  <w:vMerge w:val="continue"/>
                  <w:tcBorders>
                    <w:tl2br w:val="nil"/>
                    <w:tr2bl w:val="nil"/>
                  </w:tcBorders>
                  <w:vAlign w:val="center"/>
                </w:tcPr>
                <w:p w14:paraId="59952747">
                  <w:pPr>
                    <w:pStyle w:val="5"/>
                    <w:spacing w:before="0" w:after="0" w:line="0" w:lineRule="atLeast"/>
                    <w:jc w:val="center"/>
                    <w:rPr>
                      <w:sz w:val="21"/>
                      <w:szCs w:val="21"/>
                    </w:rPr>
                  </w:pPr>
                </w:p>
              </w:tc>
              <w:tc>
                <w:tcPr>
                  <w:tcW w:w="154" w:type="pct"/>
                  <w:vMerge w:val="continue"/>
                  <w:tcBorders>
                    <w:tl2br w:val="nil"/>
                    <w:tr2bl w:val="nil"/>
                  </w:tcBorders>
                  <w:vAlign w:val="center"/>
                </w:tcPr>
                <w:p w14:paraId="46393001">
                  <w:pPr>
                    <w:pStyle w:val="5"/>
                    <w:spacing w:before="0" w:after="0" w:line="0" w:lineRule="atLeast"/>
                    <w:jc w:val="center"/>
                    <w:rPr>
                      <w:sz w:val="21"/>
                      <w:szCs w:val="21"/>
                    </w:rPr>
                  </w:pPr>
                </w:p>
              </w:tc>
              <w:tc>
                <w:tcPr>
                  <w:tcW w:w="331" w:type="pct"/>
                  <w:vMerge w:val="continue"/>
                  <w:tcBorders>
                    <w:tl2br w:val="nil"/>
                    <w:tr2bl w:val="nil"/>
                  </w:tcBorders>
                  <w:vAlign w:val="center"/>
                </w:tcPr>
                <w:p w14:paraId="2DD03A99">
                  <w:pPr>
                    <w:pStyle w:val="5"/>
                    <w:spacing w:before="0" w:after="0" w:line="0" w:lineRule="atLeast"/>
                    <w:jc w:val="center"/>
                    <w:rPr>
                      <w:sz w:val="21"/>
                      <w:szCs w:val="21"/>
                    </w:rPr>
                  </w:pPr>
                </w:p>
              </w:tc>
              <w:tc>
                <w:tcPr>
                  <w:tcW w:w="322" w:type="pct"/>
                  <w:vMerge w:val="restart"/>
                  <w:tcBorders>
                    <w:tl2br w:val="nil"/>
                    <w:tr2bl w:val="nil"/>
                  </w:tcBorders>
                  <w:vAlign w:val="center"/>
                </w:tcPr>
                <w:p w14:paraId="7D51CE3F">
                  <w:pPr>
                    <w:pStyle w:val="5"/>
                    <w:spacing w:before="0" w:after="0" w:line="0" w:lineRule="atLeast"/>
                    <w:jc w:val="center"/>
                    <w:rPr>
                      <w:sz w:val="21"/>
                      <w:szCs w:val="21"/>
                      <w:vertAlign w:val="superscript"/>
                    </w:rPr>
                  </w:pPr>
                  <w:r>
                    <w:rPr>
                      <w:sz w:val="21"/>
                      <w:szCs w:val="21"/>
                    </w:rPr>
                    <w:t>产生浓度mg/m</w:t>
                  </w:r>
                  <w:r>
                    <w:rPr>
                      <w:sz w:val="21"/>
                      <w:szCs w:val="21"/>
                      <w:vertAlign w:val="superscript"/>
                    </w:rPr>
                    <w:t>3</w:t>
                  </w:r>
                </w:p>
              </w:tc>
              <w:tc>
                <w:tcPr>
                  <w:tcW w:w="257" w:type="pct"/>
                  <w:vMerge w:val="restart"/>
                  <w:tcBorders>
                    <w:tl2br w:val="nil"/>
                    <w:tr2bl w:val="nil"/>
                  </w:tcBorders>
                  <w:vAlign w:val="center"/>
                </w:tcPr>
                <w:p w14:paraId="1EFC8055">
                  <w:pPr>
                    <w:pStyle w:val="5"/>
                    <w:spacing w:before="0" w:after="0" w:line="0" w:lineRule="atLeast"/>
                    <w:jc w:val="center"/>
                    <w:rPr>
                      <w:sz w:val="21"/>
                      <w:szCs w:val="21"/>
                    </w:rPr>
                  </w:pPr>
                  <w:r>
                    <w:rPr>
                      <w:sz w:val="21"/>
                      <w:szCs w:val="21"/>
                    </w:rPr>
                    <w:t>产生速率kg/h</w:t>
                  </w:r>
                </w:p>
              </w:tc>
              <w:tc>
                <w:tcPr>
                  <w:tcW w:w="295" w:type="pct"/>
                  <w:vMerge w:val="restart"/>
                  <w:tcBorders>
                    <w:tl2br w:val="nil"/>
                    <w:tr2bl w:val="nil"/>
                  </w:tcBorders>
                  <w:vAlign w:val="center"/>
                </w:tcPr>
                <w:p w14:paraId="0D287E66">
                  <w:pPr>
                    <w:pStyle w:val="5"/>
                    <w:spacing w:before="0" w:after="0" w:line="0" w:lineRule="atLeast"/>
                    <w:jc w:val="center"/>
                    <w:rPr>
                      <w:sz w:val="21"/>
                      <w:szCs w:val="21"/>
                    </w:rPr>
                  </w:pPr>
                  <w:r>
                    <w:rPr>
                      <w:sz w:val="21"/>
                      <w:szCs w:val="21"/>
                    </w:rPr>
                    <w:t>产生量t/a</w:t>
                  </w:r>
                </w:p>
              </w:tc>
              <w:tc>
                <w:tcPr>
                  <w:tcW w:w="279" w:type="pct"/>
                  <w:vMerge w:val="restart"/>
                  <w:tcBorders>
                    <w:tl2br w:val="nil"/>
                    <w:tr2bl w:val="nil"/>
                  </w:tcBorders>
                  <w:vAlign w:val="center"/>
                </w:tcPr>
                <w:p w14:paraId="6C334B59">
                  <w:pPr>
                    <w:pStyle w:val="5"/>
                    <w:spacing w:before="0" w:after="0" w:line="0" w:lineRule="atLeast"/>
                    <w:jc w:val="center"/>
                    <w:rPr>
                      <w:sz w:val="21"/>
                      <w:szCs w:val="21"/>
                    </w:rPr>
                  </w:pPr>
                  <w:r>
                    <w:rPr>
                      <w:sz w:val="21"/>
                      <w:szCs w:val="21"/>
                    </w:rPr>
                    <w:t>风量m</w:t>
                  </w:r>
                  <w:r>
                    <w:rPr>
                      <w:sz w:val="21"/>
                      <w:szCs w:val="21"/>
                      <w:vertAlign w:val="superscript"/>
                    </w:rPr>
                    <w:t>3</w:t>
                  </w:r>
                  <w:r>
                    <w:rPr>
                      <w:sz w:val="21"/>
                      <w:szCs w:val="21"/>
                    </w:rPr>
                    <w:t>/h</w:t>
                  </w:r>
                </w:p>
              </w:tc>
              <w:tc>
                <w:tcPr>
                  <w:tcW w:w="230" w:type="pct"/>
                  <w:vMerge w:val="restart"/>
                  <w:tcBorders>
                    <w:tl2br w:val="nil"/>
                    <w:tr2bl w:val="nil"/>
                  </w:tcBorders>
                  <w:vAlign w:val="center"/>
                </w:tcPr>
                <w:p w14:paraId="2246AFDB">
                  <w:pPr>
                    <w:pStyle w:val="5"/>
                    <w:spacing w:before="0" w:after="0" w:line="0" w:lineRule="atLeast"/>
                    <w:jc w:val="center"/>
                    <w:rPr>
                      <w:sz w:val="21"/>
                      <w:szCs w:val="21"/>
                    </w:rPr>
                  </w:pPr>
                  <w:r>
                    <w:rPr>
                      <w:sz w:val="21"/>
                      <w:szCs w:val="21"/>
                    </w:rPr>
                    <w:t>收集效率%</w:t>
                  </w:r>
                </w:p>
              </w:tc>
              <w:tc>
                <w:tcPr>
                  <w:tcW w:w="251" w:type="pct"/>
                  <w:vMerge w:val="restart"/>
                  <w:tcBorders>
                    <w:tl2br w:val="nil"/>
                    <w:tr2bl w:val="nil"/>
                  </w:tcBorders>
                  <w:vAlign w:val="center"/>
                </w:tcPr>
                <w:p w14:paraId="62AEFC8C">
                  <w:pPr>
                    <w:pStyle w:val="5"/>
                    <w:spacing w:before="0" w:after="0" w:line="0" w:lineRule="atLeast"/>
                    <w:jc w:val="center"/>
                    <w:rPr>
                      <w:sz w:val="21"/>
                      <w:szCs w:val="21"/>
                    </w:rPr>
                  </w:pPr>
                  <w:r>
                    <w:rPr>
                      <w:sz w:val="21"/>
                      <w:szCs w:val="21"/>
                    </w:rPr>
                    <w:t>去除效率%</w:t>
                  </w:r>
                </w:p>
              </w:tc>
              <w:tc>
                <w:tcPr>
                  <w:tcW w:w="254" w:type="pct"/>
                  <w:vMerge w:val="restart"/>
                  <w:tcBorders>
                    <w:tl2br w:val="nil"/>
                    <w:tr2bl w:val="nil"/>
                  </w:tcBorders>
                  <w:vAlign w:val="center"/>
                </w:tcPr>
                <w:p w14:paraId="5C1BCCE7">
                  <w:pPr>
                    <w:pStyle w:val="5"/>
                    <w:spacing w:before="0" w:after="0" w:line="0" w:lineRule="atLeast"/>
                    <w:jc w:val="center"/>
                    <w:rPr>
                      <w:sz w:val="21"/>
                      <w:szCs w:val="21"/>
                    </w:rPr>
                  </w:pPr>
                  <w:r>
                    <w:rPr>
                      <w:sz w:val="21"/>
                      <w:szCs w:val="21"/>
                    </w:rPr>
                    <w:t>处理工艺</w:t>
                  </w:r>
                </w:p>
              </w:tc>
              <w:tc>
                <w:tcPr>
                  <w:tcW w:w="138" w:type="pct"/>
                  <w:vMerge w:val="restart"/>
                  <w:tcBorders>
                    <w:tl2br w:val="nil"/>
                    <w:tr2bl w:val="nil"/>
                  </w:tcBorders>
                  <w:vAlign w:val="center"/>
                </w:tcPr>
                <w:p w14:paraId="184B54E1">
                  <w:pPr>
                    <w:pStyle w:val="5"/>
                    <w:spacing w:before="0" w:after="0" w:line="0" w:lineRule="atLeast"/>
                    <w:jc w:val="center"/>
                    <w:rPr>
                      <w:sz w:val="21"/>
                      <w:szCs w:val="21"/>
                    </w:rPr>
                  </w:pPr>
                  <w:r>
                    <w:rPr>
                      <w:sz w:val="21"/>
                      <w:szCs w:val="21"/>
                    </w:rPr>
                    <w:t>是否为可行技术</w:t>
                  </w:r>
                </w:p>
              </w:tc>
              <w:tc>
                <w:tcPr>
                  <w:tcW w:w="242" w:type="pct"/>
                  <w:vMerge w:val="restart"/>
                  <w:tcBorders>
                    <w:tl2br w:val="nil"/>
                    <w:tr2bl w:val="nil"/>
                  </w:tcBorders>
                  <w:vAlign w:val="center"/>
                </w:tcPr>
                <w:p w14:paraId="115F6C24">
                  <w:pPr>
                    <w:pStyle w:val="5"/>
                    <w:spacing w:before="0" w:after="0" w:line="0" w:lineRule="atLeast"/>
                    <w:jc w:val="center"/>
                    <w:rPr>
                      <w:sz w:val="21"/>
                      <w:szCs w:val="21"/>
                    </w:rPr>
                  </w:pPr>
                  <w:r>
                    <w:rPr>
                      <w:sz w:val="21"/>
                      <w:szCs w:val="21"/>
                    </w:rPr>
                    <w:t>排放浓度mg/m</w:t>
                  </w:r>
                  <w:r>
                    <w:rPr>
                      <w:sz w:val="21"/>
                      <w:szCs w:val="21"/>
                      <w:vertAlign w:val="superscript"/>
                    </w:rPr>
                    <w:t>3</w:t>
                  </w:r>
                </w:p>
              </w:tc>
              <w:tc>
                <w:tcPr>
                  <w:tcW w:w="277" w:type="pct"/>
                  <w:vMerge w:val="restart"/>
                  <w:tcBorders>
                    <w:tl2br w:val="nil"/>
                    <w:tr2bl w:val="nil"/>
                  </w:tcBorders>
                  <w:vAlign w:val="center"/>
                </w:tcPr>
                <w:p w14:paraId="696A84B2">
                  <w:pPr>
                    <w:pStyle w:val="5"/>
                    <w:spacing w:before="0" w:after="0" w:line="0" w:lineRule="atLeast"/>
                    <w:jc w:val="center"/>
                    <w:rPr>
                      <w:sz w:val="21"/>
                      <w:szCs w:val="21"/>
                    </w:rPr>
                  </w:pPr>
                  <w:r>
                    <w:rPr>
                      <w:sz w:val="21"/>
                      <w:szCs w:val="21"/>
                    </w:rPr>
                    <w:t>排放速率kg/h</w:t>
                  </w:r>
                </w:p>
              </w:tc>
              <w:tc>
                <w:tcPr>
                  <w:tcW w:w="260" w:type="pct"/>
                  <w:vMerge w:val="restart"/>
                  <w:tcBorders>
                    <w:tl2br w:val="nil"/>
                    <w:tr2bl w:val="nil"/>
                  </w:tcBorders>
                  <w:vAlign w:val="center"/>
                </w:tcPr>
                <w:p w14:paraId="63423C16">
                  <w:pPr>
                    <w:pStyle w:val="5"/>
                    <w:spacing w:before="0" w:after="0" w:line="0" w:lineRule="atLeast"/>
                    <w:jc w:val="center"/>
                    <w:rPr>
                      <w:sz w:val="21"/>
                      <w:szCs w:val="21"/>
                    </w:rPr>
                  </w:pPr>
                  <w:r>
                    <w:rPr>
                      <w:sz w:val="21"/>
                      <w:szCs w:val="21"/>
                    </w:rPr>
                    <w:t>排放量t/a</w:t>
                  </w:r>
                </w:p>
              </w:tc>
              <w:tc>
                <w:tcPr>
                  <w:tcW w:w="167" w:type="pct"/>
                  <w:vMerge w:val="restart"/>
                  <w:tcBorders>
                    <w:tl2br w:val="nil"/>
                    <w:tr2bl w:val="nil"/>
                  </w:tcBorders>
                  <w:vAlign w:val="center"/>
                </w:tcPr>
                <w:p w14:paraId="0224FC38">
                  <w:pPr>
                    <w:pStyle w:val="5"/>
                    <w:spacing w:before="0" w:after="0" w:line="0" w:lineRule="atLeast"/>
                    <w:jc w:val="center"/>
                    <w:rPr>
                      <w:sz w:val="21"/>
                      <w:szCs w:val="21"/>
                    </w:rPr>
                  </w:pPr>
                  <w:r>
                    <w:rPr>
                      <w:sz w:val="21"/>
                      <w:szCs w:val="21"/>
                    </w:rPr>
                    <w:t>排放筒编号</w:t>
                  </w:r>
                </w:p>
              </w:tc>
              <w:tc>
                <w:tcPr>
                  <w:tcW w:w="173" w:type="pct"/>
                  <w:tcBorders>
                    <w:tl2br w:val="nil"/>
                    <w:tr2bl w:val="nil"/>
                  </w:tcBorders>
                  <w:vAlign w:val="center"/>
                </w:tcPr>
                <w:p w14:paraId="689D12AF">
                  <w:pPr>
                    <w:pStyle w:val="5"/>
                    <w:spacing w:before="0" w:after="0" w:line="0" w:lineRule="atLeast"/>
                    <w:jc w:val="center"/>
                    <w:rPr>
                      <w:sz w:val="21"/>
                      <w:szCs w:val="21"/>
                    </w:rPr>
                  </w:pPr>
                  <w:r>
                    <w:rPr>
                      <w:rFonts w:hint="eastAsia"/>
                      <w:sz w:val="21"/>
                      <w:szCs w:val="21"/>
                    </w:rPr>
                    <w:t>高度</w:t>
                  </w:r>
                </w:p>
              </w:tc>
              <w:tc>
                <w:tcPr>
                  <w:tcW w:w="179" w:type="pct"/>
                  <w:tcBorders>
                    <w:tl2br w:val="nil"/>
                    <w:tr2bl w:val="nil"/>
                  </w:tcBorders>
                  <w:vAlign w:val="center"/>
                </w:tcPr>
                <w:p w14:paraId="51264D20">
                  <w:pPr>
                    <w:pStyle w:val="5"/>
                    <w:spacing w:before="0" w:after="0" w:line="0" w:lineRule="atLeast"/>
                    <w:jc w:val="center"/>
                    <w:rPr>
                      <w:sz w:val="21"/>
                      <w:szCs w:val="21"/>
                    </w:rPr>
                  </w:pPr>
                  <w:r>
                    <w:rPr>
                      <w:rFonts w:hint="eastAsia"/>
                      <w:sz w:val="21"/>
                      <w:szCs w:val="21"/>
                    </w:rPr>
                    <w:t>内径</w:t>
                  </w:r>
                </w:p>
              </w:tc>
              <w:tc>
                <w:tcPr>
                  <w:tcW w:w="191" w:type="pct"/>
                  <w:tcBorders>
                    <w:tl2br w:val="nil"/>
                    <w:tr2bl w:val="nil"/>
                  </w:tcBorders>
                  <w:vAlign w:val="center"/>
                </w:tcPr>
                <w:p w14:paraId="3F0FC140">
                  <w:pPr>
                    <w:pStyle w:val="5"/>
                    <w:spacing w:before="0" w:after="0" w:line="0" w:lineRule="atLeast"/>
                    <w:jc w:val="center"/>
                    <w:rPr>
                      <w:sz w:val="21"/>
                      <w:szCs w:val="21"/>
                    </w:rPr>
                  </w:pPr>
                  <w:r>
                    <w:rPr>
                      <w:rFonts w:hint="eastAsia"/>
                      <w:sz w:val="21"/>
                      <w:szCs w:val="21"/>
                    </w:rPr>
                    <w:t>温度</w:t>
                  </w:r>
                </w:p>
              </w:tc>
              <w:tc>
                <w:tcPr>
                  <w:tcW w:w="173" w:type="pct"/>
                  <w:tcBorders>
                    <w:tl2br w:val="nil"/>
                    <w:tr2bl w:val="nil"/>
                  </w:tcBorders>
                  <w:vAlign w:val="center"/>
                </w:tcPr>
                <w:p w14:paraId="77FF88D1">
                  <w:pPr>
                    <w:pStyle w:val="5"/>
                    <w:spacing w:before="0" w:after="0" w:line="0" w:lineRule="atLeast"/>
                    <w:jc w:val="center"/>
                    <w:rPr>
                      <w:sz w:val="21"/>
                      <w:szCs w:val="21"/>
                    </w:rPr>
                  </w:pPr>
                  <w:r>
                    <w:rPr>
                      <w:rFonts w:hint="eastAsia"/>
                      <w:sz w:val="21"/>
                      <w:szCs w:val="21"/>
                    </w:rPr>
                    <w:t>类型</w:t>
                  </w:r>
                </w:p>
              </w:tc>
              <w:tc>
                <w:tcPr>
                  <w:tcW w:w="260" w:type="pct"/>
                  <w:vMerge w:val="restart"/>
                  <w:tcBorders>
                    <w:tl2br w:val="nil"/>
                    <w:tr2bl w:val="nil"/>
                  </w:tcBorders>
                  <w:vAlign w:val="center"/>
                </w:tcPr>
                <w:p w14:paraId="4A333A07">
                  <w:pPr>
                    <w:pStyle w:val="5"/>
                    <w:spacing w:before="0" w:after="0" w:line="0" w:lineRule="atLeast"/>
                    <w:jc w:val="center"/>
                    <w:rPr>
                      <w:sz w:val="21"/>
                      <w:szCs w:val="21"/>
                    </w:rPr>
                  </w:pPr>
                  <w:r>
                    <w:rPr>
                      <w:rFonts w:hint="eastAsia"/>
                      <w:sz w:val="21"/>
                      <w:szCs w:val="21"/>
                    </w:rPr>
                    <w:t>地理坐标</w:t>
                  </w:r>
                </w:p>
              </w:tc>
              <w:tc>
                <w:tcPr>
                  <w:tcW w:w="214" w:type="pct"/>
                  <w:vMerge w:val="restart"/>
                  <w:tcBorders>
                    <w:tl2br w:val="nil"/>
                    <w:tr2bl w:val="nil"/>
                  </w:tcBorders>
                  <w:vAlign w:val="center"/>
                </w:tcPr>
                <w:p w14:paraId="54DC06B4">
                  <w:pPr>
                    <w:pStyle w:val="5"/>
                    <w:spacing w:before="0" w:after="0" w:line="0" w:lineRule="atLeast"/>
                    <w:jc w:val="center"/>
                    <w:rPr>
                      <w:sz w:val="21"/>
                      <w:szCs w:val="21"/>
                      <w:vertAlign w:val="superscript"/>
                    </w:rPr>
                  </w:pPr>
                  <w:r>
                    <w:rPr>
                      <w:sz w:val="21"/>
                      <w:szCs w:val="21"/>
                    </w:rPr>
                    <w:t>浓度mg/m</w:t>
                  </w:r>
                  <w:r>
                    <w:rPr>
                      <w:sz w:val="21"/>
                      <w:szCs w:val="21"/>
                      <w:vertAlign w:val="superscript"/>
                    </w:rPr>
                    <w:t>3</w:t>
                  </w:r>
                </w:p>
              </w:tc>
              <w:tc>
                <w:tcPr>
                  <w:tcW w:w="189" w:type="pct"/>
                  <w:vMerge w:val="restart"/>
                  <w:tcBorders>
                    <w:tl2br w:val="nil"/>
                    <w:tr2bl w:val="nil"/>
                  </w:tcBorders>
                  <w:vAlign w:val="center"/>
                </w:tcPr>
                <w:p w14:paraId="5B9B6340">
                  <w:pPr>
                    <w:pStyle w:val="5"/>
                    <w:spacing w:before="0" w:after="0" w:line="0" w:lineRule="atLeast"/>
                    <w:jc w:val="center"/>
                    <w:rPr>
                      <w:sz w:val="21"/>
                      <w:szCs w:val="21"/>
                    </w:rPr>
                  </w:pPr>
                  <w:r>
                    <w:rPr>
                      <w:sz w:val="21"/>
                      <w:szCs w:val="21"/>
                    </w:rPr>
                    <w:t>速率kg/h</w:t>
                  </w:r>
                </w:p>
              </w:tc>
            </w:tr>
            <w:tr w14:paraId="7AB39E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54" w:type="pct"/>
                  <w:vMerge w:val="continue"/>
                  <w:tcBorders>
                    <w:tl2br w:val="nil"/>
                    <w:tr2bl w:val="nil"/>
                  </w:tcBorders>
                  <w:vAlign w:val="center"/>
                </w:tcPr>
                <w:p w14:paraId="30C9A253">
                  <w:pPr>
                    <w:pStyle w:val="5"/>
                    <w:spacing w:before="0" w:after="0" w:line="0" w:lineRule="atLeast"/>
                    <w:jc w:val="center"/>
                    <w:rPr>
                      <w:sz w:val="21"/>
                      <w:szCs w:val="21"/>
                    </w:rPr>
                  </w:pPr>
                </w:p>
              </w:tc>
              <w:tc>
                <w:tcPr>
                  <w:tcW w:w="154" w:type="pct"/>
                  <w:vMerge w:val="continue"/>
                  <w:tcBorders>
                    <w:tl2br w:val="nil"/>
                    <w:tr2bl w:val="nil"/>
                  </w:tcBorders>
                  <w:vAlign w:val="center"/>
                </w:tcPr>
                <w:p w14:paraId="4537EC3E">
                  <w:pPr>
                    <w:pStyle w:val="5"/>
                    <w:spacing w:before="0" w:after="0" w:line="0" w:lineRule="atLeast"/>
                    <w:jc w:val="center"/>
                    <w:rPr>
                      <w:sz w:val="21"/>
                      <w:szCs w:val="21"/>
                    </w:rPr>
                  </w:pPr>
                </w:p>
              </w:tc>
              <w:tc>
                <w:tcPr>
                  <w:tcW w:w="331" w:type="pct"/>
                  <w:vMerge w:val="continue"/>
                  <w:tcBorders>
                    <w:tl2br w:val="nil"/>
                    <w:tr2bl w:val="nil"/>
                  </w:tcBorders>
                  <w:vAlign w:val="center"/>
                </w:tcPr>
                <w:p w14:paraId="57BF937A">
                  <w:pPr>
                    <w:pStyle w:val="5"/>
                    <w:spacing w:before="0" w:after="0" w:line="0" w:lineRule="atLeast"/>
                    <w:jc w:val="center"/>
                    <w:rPr>
                      <w:sz w:val="21"/>
                      <w:szCs w:val="21"/>
                    </w:rPr>
                  </w:pPr>
                </w:p>
              </w:tc>
              <w:tc>
                <w:tcPr>
                  <w:tcW w:w="322" w:type="pct"/>
                  <w:vMerge w:val="continue"/>
                  <w:tcBorders>
                    <w:tl2br w:val="nil"/>
                    <w:tr2bl w:val="nil"/>
                  </w:tcBorders>
                  <w:vAlign w:val="center"/>
                </w:tcPr>
                <w:p w14:paraId="08B75F6F">
                  <w:pPr>
                    <w:pStyle w:val="5"/>
                    <w:spacing w:before="0" w:after="0" w:line="0" w:lineRule="atLeast"/>
                    <w:jc w:val="center"/>
                    <w:rPr>
                      <w:sz w:val="21"/>
                      <w:szCs w:val="21"/>
                    </w:rPr>
                  </w:pPr>
                </w:p>
              </w:tc>
              <w:tc>
                <w:tcPr>
                  <w:tcW w:w="257" w:type="pct"/>
                  <w:vMerge w:val="continue"/>
                  <w:tcBorders>
                    <w:tl2br w:val="nil"/>
                    <w:tr2bl w:val="nil"/>
                  </w:tcBorders>
                  <w:vAlign w:val="center"/>
                </w:tcPr>
                <w:p w14:paraId="7840EB18">
                  <w:pPr>
                    <w:pStyle w:val="5"/>
                    <w:spacing w:before="0" w:after="0" w:line="0" w:lineRule="atLeast"/>
                    <w:jc w:val="center"/>
                    <w:rPr>
                      <w:sz w:val="21"/>
                      <w:szCs w:val="21"/>
                    </w:rPr>
                  </w:pPr>
                </w:p>
              </w:tc>
              <w:tc>
                <w:tcPr>
                  <w:tcW w:w="295" w:type="pct"/>
                  <w:vMerge w:val="continue"/>
                  <w:tcBorders>
                    <w:tl2br w:val="nil"/>
                    <w:tr2bl w:val="nil"/>
                  </w:tcBorders>
                  <w:vAlign w:val="center"/>
                </w:tcPr>
                <w:p w14:paraId="6070F140">
                  <w:pPr>
                    <w:pStyle w:val="5"/>
                    <w:spacing w:before="0" w:after="0" w:line="0" w:lineRule="atLeast"/>
                    <w:jc w:val="center"/>
                    <w:rPr>
                      <w:sz w:val="21"/>
                      <w:szCs w:val="21"/>
                    </w:rPr>
                  </w:pPr>
                </w:p>
              </w:tc>
              <w:tc>
                <w:tcPr>
                  <w:tcW w:w="279" w:type="pct"/>
                  <w:vMerge w:val="continue"/>
                  <w:tcBorders>
                    <w:tl2br w:val="nil"/>
                    <w:tr2bl w:val="nil"/>
                  </w:tcBorders>
                  <w:vAlign w:val="center"/>
                </w:tcPr>
                <w:p w14:paraId="25C7E1FA">
                  <w:pPr>
                    <w:pStyle w:val="5"/>
                    <w:spacing w:before="0" w:after="0" w:line="0" w:lineRule="atLeast"/>
                    <w:jc w:val="center"/>
                    <w:rPr>
                      <w:rFonts w:hint="default" w:eastAsia="宋体"/>
                      <w:sz w:val="21"/>
                      <w:szCs w:val="21"/>
                      <w:lang w:val="en-US" w:eastAsia="zh-CN"/>
                    </w:rPr>
                  </w:pPr>
                </w:p>
              </w:tc>
              <w:tc>
                <w:tcPr>
                  <w:tcW w:w="230" w:type="pct"/>
                  <w:vMerge w:val="continue"/>
                  <w:tcBorders>
                    <w:tl2br w:val="nil"/>
                    <w:tr2bl w:val="nil"/>
                  </w:tcBorders>
                  <w:vAlign w:val="center"/>
                </w:tcPr>
                <w:p w14:paraId="10E09D37">
                  <w:pPr>
                    <w:pStyle w:val="5"/>
                    <w:spacing w:before="0" w:after="0" w:line="0" w:lineRule="atLeast"/>
                    <w:jc w:val="center"/>
                    <w:rPr>
                      <w:sz w:val="21"/>
                      <w:szCs w:val="21"/>
                    </w:rPr>
                  </w:pPr>
                </w:p>
              </w:tc>
              <w:tc>
                <w:tcPr>
                  <w:tcW w:w="251" w:type="pct"/>
                  <w:vMerge w:val="continue"/>
                  <w:tcBorders>
                    <w:tl2br w:val="nil"/>
                    <w:tr2bl w:val="nil"/>
                  </w:tcBorders>
                  <w:vAlign w:val="center"/>
                </w:tcPr>
                <w:p w14:paraId="4406EBC9">
                  <w:pPr>
                    <w:pStyle w:val="5"/>
                    <w:spacing w:before="0" w:after="0" w:line="0" w:lineRule="atLeast"/>
                    <w:jc w:val="center"/>
                    <w:rPr>
                      <w:sz w:val="21"/>
                      <w:szCs w:val="21"/>
                    </w:rPr>
                  </w:pPr>
                </w:p>
              </w:tc>
              <w:tc>
                <w:tcPr>
                  <w:tcW w:w="254" w:type="pct"/>
                  <w:vMerge w:val="continue"/>
                  <w:tcBorders>
                    <w:tl2br w:val="nil"/>
                    <w:tr2bl w:val="nil"/>
                  </w:tcBorders>
                  <w:vAlign w:val="center"/>
                </w:tcPr>
                <w:p w14:paraId="1C62D087">
                  <w:pPr>
                    <w:pStyle w:val="5"/>
                    <w:spacing w:before="0" w:after="0" w:line="0" w:lineRule="atLeast"/>
                    <w:jc w:val="center"/>
                    <w:rPr>
                      <w:sz w:val="21"/>
                      <w:szCs w:val="21"/>
                    </w:rPr>
                  </w:pPr>
                </w:p>
              </w:tc>
              <w:tc>
                <w:tcPr>
                  <w:tcW w:w="138" w:type="pct"/>
                  <w:vMerge w:val="continue"/>
                  <w:tcBorders>
                    <w:tl2br w:val="nil"/>
                    <w:tr2bl w:val="nil"/>
                  </w:tcBorders>
                  <w:vAlign w:val="center"/>
                </w:tcPr>
                <w:p w14:paraId="7A3C4FBD">
                  <w:pPr>
                    <w:pStyle w:val="5"/>
                    <w:spacing w:before="0" w:after="0" w:line="0" w:lineRule="atLeast"/>
                    <w:jc w:val="center"/>
                    <w:rPr>
                      <w:sz w:val="21"/>
                      <w:szCs w:val="21"/>
                    </w:rPr>
                  </w:pPr>
                </w:p>
              </w:tc>
              <w:tc>
                <w:tcPr>
                  <w:tcW w:w="242" w:type="pct"/>
                  <w:vMerge w:val="continue"/>
                  <w:tcBorders>
                    <w:tl2br w:val="nil"/>
                    <w:tr2bl w:val="nil"/>
                  </w:tcBorders>
                  <w:vAlign w:val="center"/>
                </w:tcPr>
                <w:p w14:paraId="7CC3F851">
                  <w:pPr>
                    <w:pStyle w:val="5"/>
                    <w:spacing w:before="0" w:after="0" w:line="0" w:lineRule="atLeast"/>
                    <w:jc w:val="center"/>
                    <w:rPr>
                      <w:sz w:val="21"/>
                      <w:szCs w:val="21"/>
                    </w:rPr>
                  </w:pPr>
                </w:p>
              </w:tc>
              <w:tc>
                <w:tcPr>
                  <w:tcW w:w="277" w:type="pct"/>
                  <w:vMerge w:val="continue"/>
                  <w:tcBorders>
                    <w:tl2br w:val="nil"/>
                    <w:tr2bl w:val="nil"/>
                  </w:tcBorders>
                  <w:vAlign w:val="center"/>
                </w:tcPr>
                <w:p w14:paraId="475DAC3C">
                  <w:pPr>
                    <w:pStyle w:val="5"/>
                    <w:spacing w:before="0" w:after="0" w:line="0" w:lineRule="atLeast"/>
                    <w:jc w:val="center"/>
                    <w:rPr>
                      <w:sz w:val="21"/>
                      <w:szCs w:val="21"/>
                    </w:rPr>
                  </w:pPr>
                </w:p>
              </w:tc>
              <w:tc>
                <w:tcPr>
                  <w:tcW w:w="260" w:type="pct"/>
                  <w:vMerge w:val="continue"/>
                  <w:tcBorders>
                    <w:tl2br w:val="nil"/>
                    <w:tr2bl w:val="nil"/>
                  </w:tcBorders>
                  <w:vAlign w:val="center"/>
                </w:tcPr>
                <w:p w14:paraId="1AD683E7">
                  <w:pPr>
                    <w:pStyle w:val="5"/>
                    <w:spacing w:before="0" w:after="0" w:line="0" w:lineRule="atLeast"/>
                    <w:jc w:val="center"/>
                    <w:rPr>
                      <w:sz w:val="21"/>
                      <w:szCs w:val="21"/>
                    </w:rPr>
                  </w:pPr>
                </w:p>
              </w:tc>
              <w:tc>
                <w:tcPr>
                  <w:tcW w:w="167" w:type="pct"/>
                  <w:vMerge w:val="continue"/>
                  <w:tcBorders>
                    <w:tl2br w:val="nil"/>
                    <w:tr2bl w:val="nil"/>
                  </w:tcBorders>
                  <w:vAlign w:val="center"/>
                </w:tcPr>
                <w:p w14:paraId="26ED73CC">
                  <w:pPr>
                    <w:pStyle w:val="5"/>
                    <w:spacing w:before="0" w:after="0" w:line="0" w:lineRule="atLeast"/>
                    <w:jc w:val="center"/>
                    <w:rPr>
                      <w:sz w:val="21"/>
                      <w:szCs w:val="21"/>
                    </w:rPr>
                  </w:pPr>
                </w:p>
              </w:tc>
              <w:tc>
                <w:tcPr>
                  <w:tcW w:w="173" w:type="pct"/>
                  <w:tcBorders>
                    <w:tl2br w:val="nil"/>
                    <w:tr2bl w:val="nil"/>
                  </w:tcBorders>
                  <w:vAlign w:val="center"/>
                </w:tcPr>
                <w:p w14:paraId="1BB9F90E">
                  <w:pPr>
                    <w:pStyle w:val="5"/>
                    <w:spacing w:before="0" w:after="0" w:line="0" w:lineRule="atLeast"/>
                    <w:jc w:val="center"/>
                    <w:rPr>
                      <w:sz w:val="21"/>
                      <w:szCs w:val="21"/>
                    </w:rPr>
                  </w:pPr>
                  <w:r>
                    <w:rPr>
                      <w:rFonts w:hint="eastAsia"/>
                      <w:sz w:val="21"/>
                      <w:szCs w:val="21"/>
                    </w:rPr>
                    <w:t>m</w:t>
                  </w:r>
                </w:p>
              </w:tc>
              <w:tc>
                <w:tcPr>
                  <w:tcW w:w="179" w:type="pct"/>
                  <w:tcBorders>
                    <w:tl2br w:val="nil"/>
                    <w:tr2bl w:val="nil"/>
                  </w:tcBorders>
                  <w:vAlign w:val="center"/>
                </w:tcPr>
                <w:p w14:paraId="17CF9155">
                  <w:pPr>
                    <w:pStyle w:val="5"/>
                    <w:spacing w:before="0" w:after="0" w:line="0" w:lineRule="atLeast"/>
                    <w:jc w:val="center"/>
                    <w:rPr>
                      <w:sz w:val="21"/>
                      <w:szCs w:val="21"/>
                    </w:rPr>
                  </w:pPr>
                  <w:r>
                    <w:rPr>
                      <w:rFonts w:hint="eastAsia"/>
                      <w:sz w:val="21"/>
                      <w:szCs w:val="21"/>
                    </w:rPr>
                    <w:t>m</w:t>
                  </w:r>
                </w:p>
              </w:tc>
              <w:tc>
                <w:tcPr>
                  <w:tcW w:w="191" w:type="pct"/>
                  <w:tcBorders>
                    <w:tl2br w:val="nil"/>
                    <w:tr2bl w:val="nil"/>
                  </w:tcBorders>
                  <w:shd w:val="clear" w:color="auto" w:fill="auto"/>
                  <w:vAlign w:val="center"/>
                </w:tcPr>
                <w:p w14:paraId="1C6D9FEA">
                  <w:pPr>
                    <w:adjustRightInd w:val="0"/>
                    <w:snapToGrid w:val="0"/>
                    <w:ind w:left="-63" w:leftChars="-30" w:right="-63" w:rightChars="-30"/>
                    <w:jc w:val="center"/>
                    <w:rPr>
                      <w:szCs w:val="21"/>
                    </w:rPr>
                  </w:pPr>
                  <w:r>
                    <w:rPr>
                      <w:szCs w:val="21"/>
                    </w:rPr>
                    <w:t>℃</w:t>
                  </w:r>
                </w:p>
              </w:tc>
              <w:tc>
                <w:tcPr>
                  <w:tcW w:w="173" w:type="pct"/>
                  <w:tcBorders>
                    <w:tl2br w:val="nil"/>
                    <w:tr2bl w:val="nil"/>
                  </w:tcBorders>
                  <w:vAlign w:val="center"/>
                </w:tcPr>
                <w:p w14:paraId="477CAFB7">
                  <w:pPr>
                    <w:pStyle w:val="5"/>
                    <w:spacing w:before="0" w:after="0" w:line="0" w:lineRule="atLeast"/>
                    <w:jc w:val="center"/>
                    <w:rPr>
                      <w:sz w:val="21"/>
                      <w:szCs w:val="21"/>
                    </w:rPr>
                  </w:pPr>
                  <w:r>
                    <w:rPr>
                      <w:rFonts w:hint="eastAsia"/>
                      <w:sz w:val="21"/>
                      <w:szCs w:val="21"/>
                    </w:rPr>
                    <w:t>/</w:t>
                  </w:r>
                </w:p>
              </w:tc>
              <w:tc>
                <w:tcPr>
                  <w:tcW w:w="260" w:type="pct"/>
                  <w:vMerge w:val="continue"/>
                  <w:tcBorders>
                    <w:tl2br w:val="nil"/>
                    <w:tr2bl w:val="nil"/>
                  </w:tcBorders>
                  <w:vAlign w:val="center"/>
                </w:tcPr>
                <w:p w14:paraId="2B568214">
                  <w:pPr>
                    <w:pStyle w:val="5"/>
                    <w:spacing w:before="0" w:after="0" w:line="0" w:lineRule="atLeast"/>
                    <w:jc w:val="center"/>
                    <w:rPr>
                      <w:sz w:val="21"/>
                      <w:szCs w:val="21"/>
                    </w:rPr>
                  </w:pPr>
                </w:p>
              </w:tc>
              <w:tc>
                <w:tcPr>
                  <w:tcW w:w="214" w:type="pct"/>
                  <w:vMerge w:val="continue"/>
                  <w:tcBorders>
                    <w:tl2br w:val="nil"/>
                    <w:tr2bl w:val="nil"/>
                  </w:tcBorders>
                  <w:vAlign w:val="center"/>
                </w:tcPr>
                <w:p w14:paraId="617B179E">
                  <w:pPr>
                    <w:pStyle w:val="5"/>
                    <w:spacing w:before="0" w:after="0" w:line="0" w:lineRule="atLeast"/>
                    <w:jc w:val="center"/>
                    <w:rPr>
                      <w:sz w:val="21"/>
                      <w:szCs w:val="21"/>
                    </w:rPr>
                  </w:pPr>
                </w:p>
              </w:tc>
              <w:tc>
                <w:tcPr>
                  <w:tcW w:w="189" w:type="pct"/>
                  <w:vMerge w:val="continue"/>
                  <w:tcBorders>
                    <w:tl2br w:val="nil"/>
                    <w:tr2bl w:val="nil"/>
                  </w:tcBorders>
                  <w:vAlign w:val="center"/>
                </w:tcPr>
                <w:p w14:paraId="4ADA726F">
                  <w:pPr>
                    <w:pStyle w:val="5"/>
                    <w:spacing w:before="0" w:after="0" w:line="0" w:lineRule="atLeast"/>
                    <w:jc w:val="center"/>
                    <w:rPr>
                      <w:sz w:val="21"/>
                      <w:szCs w:val="21"/>
                    </w:rPr>
                  </w:pPr>
                </w:p>
              </w:tc>
            </w:tr>
            <w:tr w14:paraId="0EA7E0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65" w:hRule="atLeast"/>
                <w:jc w:val="center"/>
              </w:trPr>
              <w:tc>
                <w:tcPr>
                  <w:tcW w:w="154" w:type="pct"/>
                  <w:vMerge w:val="restart"/>
                  <w:tcBorders>
                    <w:tl2br w:val="nil"/>
                    <w:tr2bl w:val="nil"/>
                  </w:tcBorders>
                  <w:vAlign w:val="center"/>
                </w:tcPr>
                <w:p w14:paraId="05C55F1F">
                  <w:pPr>
                    <w:pStyle w:val="5"/>
                    <w:spacing w:before="0" w:after="0" w:line="0" w:lineRule="atLeast"/>
                    <w:jc w:val="center"/>
                    <w:rPr>
                      <w:rFonts w:hint="default"/>
                      <w:b w:val="0"/>
                      <w:bCs w:val="0"/>
                      <w:sz w:val="21"/>
                      <w:szCs w:val="21"/>
                      <w:lang w:val="en-US" w:eastAsia="zh-CN"/>
                    </w:rPr>
                  </w:pPr>
                  <w:r>
                    <w:rPr>
                      <w:rFonts w:hint="eastAsia"/>
                      <w:b w:val="0"/>
                      <w:bCs w:val="0"/>
                      <w:sz w:val="21"/>
                      <w:szCs w:val="21"/>
                      <w:lang w:val="en-US" w:eastAsia="zh-CN"/>
                    </w:rPr>
                    <w:t>锅炉烟气</w:t>
                  </w:r>
                </w:p>
              </w:tc>
              <w:tc>
                <w:tcPr>
                  <w:tcW w:w="154" w:type="pct"/>
                  <w:vMerge w:val="restart"/>
                  <w:tcBorders>
                    <w:tl2br w:val="nil"/>
                    <w:tr2bl w:val="nil"/>
                  </w:tcBorders>
                  <w:vAlign w:val="center"/>
                </w:tcPr>
                <w:p w14:paraId="5F43F661">
                  <w:pPr>
                    <w:pStyle w:val="5"/>
                    <w:spacing w:before="0" w:after="0" w:line="0" w:lineRule="atLeast"/>
                    <w:jc w:val="center"/>
                    <w:rPr>
                      <w:rFonts w:hint="eastAsia" w:eastAsia="宋体"/>
                      <w:b w:val="0"/>
                      <w:bCs w:val="0"/>
                      <w:sz w:val="21"/>
                      <w:szCs w:val="21"/>
                      <w:lang w:val="en-US" w:eastAsia="zh-CN"/>
                    </w:rPr>
                  </w:pPr>
                  <w:r>
                    <w:rPr>
                      <w:rFonts w:hint="eastAsia"/>
                      <w:b w:val="0"/>
                      <w:bCs w:val="0"/>
                      <w:sz w:val="21"/>
                      <w:szCs w:val="21"/>
                      <w:lang w:val="en-US" w:eastAsia="zh-CN"/>
                    </w:rPr>
                    <w:t>有组织</w:t>
                  </w:r>
                </w:p>
              </w:tc>
              <w:tc>
                <w:tcPr>
                  <w:tcW w:w="331" w:type="pct"/>
                  <w:tcBorders>
                    <w:tl2br w:val="nil"/>
                    <w:tr2bl w:val="nil"/>
                  </w:tcBorders>
                  <w:vAlign w:val="center"/>
                </w:tcPr>
                <w:p w14:paraId="742ADE66">
                  <w:pPr>
                    <w:keepNext/>
                    <w:keepLines/>
                    <w:spacing w:line="0" w:lineRule="atLeast"/>
                    <w:jc w:val="center"/>
                    <w:rPr>
                      <w:rFonts w:hint="eastAsia" w:eastAsia="宋体"/>
                      <w:szCs w:val="21"/>
                      <w:lang w:eastAsia="zh-CN"/>
                    </w:rPr>
                  </w:pPr>
                  <w:r>
                    <w:rPr>
                      <w:rFonts w:hint="eastAsia"/>
                      <w:szCs w:val="21"/>
                      <w:lang w:val="en-US" w:eastAsia="zh-CN"/>
                    </w:rPr>
                    <w:t>颗粒物</w:t>
                  </w:r>
                </w:p>
              </w:tc>
              <w:tc>
                <w:tcPr>
                  <w:tcW w:w="322" w:type="pct"/>
                  <w:tcBorders>
                    <w:tl2br w:val="nil"/>
                    <w:tr2bl w:val="nil"/>
                  </w:tcBorders>
                  <w:vAlign w:val="center"/>
                </w:tcPr>
                <w:p w14:paraId="32304B02">
                  <w:pPr>
                    <w:pStyle w:val="5"/>
                    <w:spacing w:before="0" w:after="0" w:line="0" w:lineRule="atLeast"/>
                    <w:jc w:val="center"/>
                    <w:rPr>
                      <w:rFonts w:hint="default"/>
                      <w:b w:val="0"/>
                      <w:bCs w:val="0"/>
                      <w:color w:val="FF0000"/>
                      <w:sz w:val="21"/>
                      <w:szCs w:val="21"/>
                      <w:highlight w:val="cyan"/>
                      <w:lang w:val="en-US"/>
                    </w:rPr>
                  </w:pPr>
                  <w:r>
                    <w:rPr>
                      <w:rFonts w:hint="eastAsia" w:cs="Times New Roman"/>
                      <w:b w:val="0"/>
                      <w:bCs w:val="0"/>
                      <w:color w:val="FF0000"/>
                      <w:sz w:val="21"/>
                      <w:szCs w:val="21"/>
                      <w:highlight w:val="none"/>
                      <w:lang w:val="en-US" w:eastAsia="zh-CN"/>
                    </w:rPr>
                    <w:t>6025.335</w:t>
                  </w:r>
                </w:p>
              </w:tc>
              <w:tc>
                <w:tcPr>
                  <w:tcW w:w="257" w:type="pct"/>
                  <w:tcBorders>
                    <w:tl2br w:val="nil"/>
                    <w:tr2bl w:val="nil"/>
                  </w:tcBorders>
                  <w:vAlign w:val="center"/>
                </w:tcPr>
                <w:p w14:paraId="427F7D26">
                  <w:pPr>
                    <w:pStyle w:val="5"/>
                    <w:spacing w:before="0" w:after="0" w:line="0" w:lineRule="atLeast"/>
                    <w:jc w:val="center"/>
                    <w:rPr>
                      <w:rFonts w:hint="default" w:eastAsia="宋体"/>
                      <w:b w:val="0"/>
                      <w:bCs w:val="0"/>
                      <w:color w:val="FF0000"/>
                      <w:sz w:val="21"/>
                      <w:szCs w:val="21"/>
                      <w:lang w:val="en-US" w:eastAsia="zh-CN"/>
                    </w:rPr>
                  </w:pPr>
                  <w:r>
                    <w:rPr>
                      <w:rFonts w:hint="eastAsia"/>
                      <w:b w:val="0"/>
                      <w:bCs w:val="0"/>
                      <w:color w:val="FF0000"/>
                      <w:sz w:val="21"/>
                      <w:szCs w:val="21"/>
                      <w:lang w:val="en-US" w:eastAsia="zh-CN"/>
                    </w:rPr>
                    <w:t>36.387</w:t>
                  </w:r>
                </w:p>
              </w:tc>
              <w:tc>
                <w:tcPr>
                  <w:tcW w:w="295" w:type="pct"/>
                  <w:tcBorders>
                    <w:tl2br w:val="nil"/>
                    <w:tr2bl w:val="nil"/>
                  </w:tcBorders>
                  <w:vAlign w:val="center"/>
                </w:tcPr>
                <w:p w14:paraId="62834F03">
                  <w:pPr>
                    <w:pStyle w:val="5"/>
                    <w:spacing w:before="0" w:after="0" w:line="0" w:lineRule="atLeast"/>
                    <w:jc w:val="center"/>
                    <w:rPr>
                      <w:rFonts w:hint="default" w:eastAsia="宋体"/>
                      <w:b w:val="0"/>
                      <w:bCs w:val="0"/>
                      <w:color w:val="FF0000"/>
                      <w:sz w:val="21"/>
                      <w:szCs w:val="21"/>
                      <w:lang w:val="en-US" w:eastAsia="zh-CN"/>
                    </w:rPr>
                  </w:pPr>
                  <w:r>
                    <w:rPr>
                      <w:rFonts w:hint="eastAsia"/>
                      <w:b w:val="0"/>
                      <w:bCs w:val="0"/>
                      <w:color w:val="FF0000"/>
                      <w:sz w:val="21"/>
                      <w:szCs w:val="21"/>
                      <w:lang w:val="en-US" w:eastAsia="zh-CN"/>
                    </w:rPr>
                    <w:t>169.2</w:t>
                  </w:r>
                </w:p>
              </w:tc>
              <w:tc>
                <w:tcPr>
                  <w:tcW w:w="279" w:type="pct"/>
                  <w:vMerge w:val="restart"/>
                  <w:tcBorders>
                    <w:tl2br w:val="nil"/>
                    <w:tr2bl w:val="nil"/>
                  </w:tcBorders>
                  <w:vAlign w:val="center"/>
                </w:tcPr>
                <w:p w14:paraId="78F53220">
                  <w:pPr>
                    <w:pStyle w:val="5"/>
                    <w:spacing w:before="0" w:after="0" w:line="0" w:lineRule="atLeast"/>
                    <w:jc w:val="center"/>
                    <w:rPr>
                      <w:rFonts w:hint="default"/>
                      <w:b w:val="0"/>
                      <w:bCs w:val="0"/>
                      <w:sz w:val="21"/>
                      <w:szCs w:val="21"/>
                      <w:lang w:val="en-US" w:eastAsia="zh-CN"/>
                    </w:rPr>
                  </w:pPr>
                  <w:r>
                    <w:rPr>
                      <w:rFonts w:hint="eastAsia"/>
                      <w:b w:val="0"/>
                      <w:bCs w:val="0"/>
                      <w:sz w:val="21"/>
                      <w:szCs w:val="21"/>
                      <w:lang w:val="en-US" w:eastAsia="zh-CN"/>
                    </w:rPr>
                    <w:t>6039</w:t>
                  </w:r>
                </w:p>
              </w:tc>
              <w:tc>
                <w:tcPr>
                  <w:tcW w:w="230" w:type="pct"/>
                  <w:tcBorders>
                    <w:tl2br w:val="nil"/>
                    <w:tr2bl w:val="nil"/>
                  </w:tcBorders>
                  <w:vAlign w:val="center"/>
                </w:tcPr>
                <w:p w14:paraId="218207E7">
                  <w:pPr>
                    <w:pStyle w:val="5"/>
                    <w:spacing w:before="0" w:after="0" w:line="0" w:lineRule="atLeast"/>
                    <w:jc w:val="center"/>
                    <w:rPr>
                      <w:rFonts w:hint="default" w:eastAsia="宋体"/>
                      <w:b w:val="0"/>
                      <w:bCs w:val="0"/>
                      <w:sz w:val="21"/>
                      <w:szCs w:val="21"/>
                      <w:lang w:val="en-US" w:eastAsia="zh-CN"/>
                    </w:rPr>
                  </w:pPr>
                  <w:r>
                    <w:rPr>
                      <w:rFonts w:hint="eastAsia"/>
                      <w:b w:val="0"/>
                      <w:bCs w:val="0"/>
                      <w:sz w:val="21"/>
                      <w:szCs w:val="21"/>
                      <w:lang w:val="en-US" w:eastAsia="zh-CN"/>
                    </w:rPr>
                    <w:t>100</w:t>
                  </w:r>
                </w:p>
              </w:tc>
              <w:tc>
                <w:tcPr>
                  <w:tcW w:w="251" w:type="pct"/>
                  <w:tcBorders>
                    <w:tl2br w:val="nil"/>
                    <w:tr2bl w:val="nil"/>
                  </w:tcBorders>
                  <w:vAlign w:val="center"/>
                </w:tcPr>
                <w:p w14:paraId="296A7024">
                  <w:pPr>
                    <w:pStyle w:val="5"/>
                    <w:spacing w:before="0" w:after="0" w:line="0" w:lineRule="atLeast"/>
                    <w:jc w:val="center"/>
                    <w:rPr>
                      <w:rFonts w:hint="default" w:eastAsia="宋体"/>
                      <w:b w:val="0"/>
                      <w:bCs w:val="0"/>
                      <w:sz w:val="21"/>
                      <w:szCs w:val="21"/>
                      <w:lang w:val="en-US" w:eastAsia="zh-CN"/>
                    </w:rPr>
                  </w:pPr>
                  <w:r>
                    <w:rPr>
                      <w:rFonts w:hint="eastAsia"/>
                      <w:b w:val="0"/>
                      <w:bCs w:val="0"/>
                      <w:sz w:val="21"/>
                      <w:szCs w:val="21"/>
                      <w:lang w:val="en-US" w:eastAsia="zh-CN"/>
                    </w:rPr>
                    <w:t>99.7</w:t>
                  </w:r>
                </w:p>
              </w:tc>
              <w:tc>
                <w:tcPr>
                  <w:tcW w:w="254" w:type="pct"/>
                  <w:vMerge w:val="restart"/>
                  <w:tcBorders>
                    <w:tl2br w:val="nil"/>
                    <w:tr2bl w:val="nil"/>
                  </w:tcBorders>
                  <w:vAlign w:val="center"/>
                </w:tcPr>
                <w:p w14:paraId="4FE82ACF">
                  <w:pPr>
                    <w:pStyle w:val="5"/>
                    <w:spacing w:before="0" w:after="0" w:line="0" w:lineRule="atLeast"/>
                    <w:jc w:val="center"/>
                    <w:rPr>
                      <w:rFonts w:hint="default" w:eastAsia="宋体"/>
                      <w:b w:val="0"/>
                      <w:bCs w:val="0"/>
                      <w:sz w:val="21"/>
                      <w:szCs w:val="21"/>
                      <w:lang w:val="en-US" w:eastAsia="zh-CN"/>
                    </w:rPr>
                  </w:pPr>
                  <w:r>
                    <w:rPr>
                      <w:rFonts w:hint="eastAsia"/>
                      <w:b w:val="0"/>
                      <w:bCs w:val="0"/>
                      <w:sz w:val="21"/>
                      <w:szCs w:val="21"/>
                      <w:lang w:val="en-US" w:eastAsia="zh-CN"/>
                    </w:rPr>
                    <w:t>冷却塔+布袋除尘</w:t>
                  </w:r>
                </w:p>
              </w:tc>
              <w:tc>
                <w:tcPr>
                  <w:tcW w:w="138" w:type="pct"/>
                  <w:vMerge w:val="restart"/>
                  <w:tcBorders>
                    <w:tl2br w:val="nil"/>
                    <w:tr2bl w:val="nil"/>
                  </w:tcBorders>
                  <w:vAlign w:val="center"/>
                </w:tcPr>
                <w:p w14:paraId="3B3F21FF">
                  <w:pPr>
                    <w:pStyle w:val="5"/>
                    <w:spacing w:before="0" w:after="0" w:line="0" w:lineRule="atLeast"/>
                    <w:jc w:val="center"/>
                    <w:rPr>
                      <w:rFonts w:hint="eastAsia" w:eastAsia="宋体"/>
                      <w:b w:val="0"/>
                      <w:bCs w:val="0"/>
                      <w:sz w:val="21"/>
                      <w:szCs w:val="21"/>
                      <w:lang w:val="en-US" w:eastAsia="zh-CN"/>
                    </w:rPr>
                  </w:pPr>
                  <w:r>
                    <w:rPr>
                      <w:rFonts w:hint="eastAsia"/>
                      <w:b w:val="0"/>
                      <w:bCs w:val="0"/>
                      <w:sz w:val="21"/>
                      <w:szCs w:val="21"/>
                      <w:lang w:val="en-US" w:eastAsia="zh-CN"/>
                    </w:rPr>
                    <w:t>是</w:t>
                  </w:r>
                </w:p>
              </w:tc>
              <w:tc>
                <w:tcPr>
                  <w:tcW w:w="242" w:type="pct"/>
                  <w:tcBorders>
                    <w:tl2br w:val="nil"/>
                    <w:tr2bl w:val="nil"/>
                  </w:tcBorders>
                  <w:vAlign w:val="center"/>
                </w:tcPr>
                <w:p w14:paraId="29EA9EBB">
                  <w:pPr>
                    <w:pStyle w:val="5"/>
                    <w:spacing w:before="0" w:after="0" w:line="0" w:lineRule="atLeast"/>
                    <w:jc w:val="center"/>
                    <w:rPr>
                      <w:rFonts w:hint="default" w:eastAsia="宋体"/>
                      <w:b w:val="0"/>
                      <w:bCs w:val="0"/>
                      <w:color w:val="FF0000"/>
                      <w:sz w:val="21"/>
                      <w:szCs w:val="21"/>
                      <w:lang w:val="en-US" w:eastAsia="zh-CN"/>
                    </w:rPr>
                  </w:pPr>
                  <w:r>
                    <w:rPr>
                      <w:rFonts w:hint="eastAsia"/>
                      <w:b w:val="0"/>
                      <w:bCs w:val="0"/>
                      <w:color w:val="FF0000"/>
                      <w:sz w:val="21"/>
                      <w:szCs w:val="21"/>
                      <w:lang w:val="en-US" w:eastAsia="zh-CN"/>
                    </w:rPr>
                    <w:t>18.049</w:t>
                  </w:r>
                </w:p>
              </w:tc>
              <w:tc>
                <w:tcPr>
                  <w:tcW w:w="277" w:type="pct"/>
                  <w:tcBorders>
                    <w:tl2br w:val="nil"/>
                    <w:tr2bl w:val="nil"/>
                  </w:tcBorders>
                  <w:vAlign w:val="center"/>
                </w:tcPr>
                <w:p w14:paraId="0467E587">
                  <w:pPr>
                    <w:pStyle w:val="5"/>
                    <w:spacing w:before="0" w:after="0" w:line="0" w:lineRule="atLeast"/>
                    <w:jc w:val="center"/>
                    <w:rPr>
                      <w:rFonts w:hint="default" w:eastAsia="宋体"/>
                      <w:b w:val="0"/>
                      <w:bCs w:val="0"/>
                      <w:color w:val="FF0000"/>
                      <w:sz w:val="21"/>
                      <w:szCs w:val="21"/>
                      <w:lang w:val="en-US" w:eastAsia="zh-CN"/>
                    </w:rPr>
                  </w:pPr>
                  <w:r>
                    <w:rPr>
                      <w:rFonts w:hint="eastAsia"/>
                      <w:b w:val="0"/>
                      <w:bCs w:val="0"/>
                      <w:color w:val="FF0000"/>
                      <w:sz w:val="21"/>
                      <w:szCs w:val="21"/>
                      <w:lang w:val="en-US" w:eastAsia="zh-CN"/>
                    </w:rPr>
                    <w:t>0.109</w:t>
                  </w:r>
                </w:p>
              </w:tc>
              <w:tc>
                <w:tcPr>
                  <w:tcW w:w="260" w:type="pct"/>
                  <w:tcBorders>
                    <w:tl2br w:val="nil"/>
                    <w:tr2bl w:val="nil"/>
                  </w:tcBorders>
                  <w:vAlign w:val="center"/>
                </w:tcPr>
                <w:p w14:paraId="01F51261">
                  <w:pPr>
                    <w:pStyle w:val="5"/>
                    <w:spacing w:before="0" w:after="0" w:line="0" w:lineRule="atLeast"/>
                    <w:jc w:val="center"/>
                    <w:rPr>
                      <w:rFonts w:hint="default" w:eastAsia="宋体"/>
                      <w:b w:val="0"/>
                      <w:bCs w:val="0"/>
                      <w:color w:val="FF0000"/>
                      <w:sz w:val="21"/>
                      <w:szCs w:val="21"/>
                      <w:lang w:val="en-US" w:eastAsia="zh-CN"/>
                    </w:rPr>
                  </w:pPr>
                  <w:r>
                    <w:rPr>
                      <w:rFonts w:hint="eastAsia"/>
                      <w:b w:val="0"/>
                      <w:bCs w:val="0"/>
                      <w:color w:val="FF0000"/>
                      <w:sz w:val="21"/>
                      <w:szCs w:val="21"/>
                      <w:lang w:val="en-US" w:eastAsia="zh-CN"/>
                    </w:rPr>
                    <w:t>0.508</w:t>
                  </w:r>
                </w:p>
              </w:tc>
              <w:tc>
                <w:tcPr>
                  <w:tcW w:w="167" w:type="pct"/>
                  <w:vMerge w:val="restart"/>
                  <w:tcBorders>
                    <w:tl2br w:val="nil"/>
                    <w:tr2bl w:val="nil"/>
                  </w:tcBorders>
                  <w:vAlign w:val="center"/>
                </w:tcPr>
                <w:p w14:paraId="1C9154E5">
                  <w:pPr>
                    <w:pStyle w:val="5"/>
                    <w:spacing w:before="0" w:after="0" w:line="0" w:lineRule="atLeast"/>
                    <w:jc w:val="center"/>
                    <w:rPr>
                      <w:rFonts w:hint="default" w:eastAsia="宋体"/>
                      <w:b w:val="0"/>
                      <w:bCs w:val="0"/>
                      <w:sz w:val="21"/>
                      <w:szCs w:val="21"/>
                      <w:lang w:val="en-US" w:eastAsia="zh-CN"/>
                    </w:rPr>
                  </w:pPr>
                  <w:r>
                    <w:rPr>
                      <w:rFonts w:hint="eastAsia"/>
                      <w:b w:val="0"/>
                      <w:bCs w:val="0"/>
                      <w:sz w:val="21"/>
                      <w:szCs w:val="21"/>
                      <w:lang w:val="en-US" w:eastAsia="zh-CN"/>
                    </w:rPr>
                    <w:t>DA001</w:t>
                  </w:r>
                </w:p>
              </w:tc>
              <w:tc>
                <w:tcPr>
                  <w:tcW w:w="173" w:type="pct"/>
                  <w:vMerge w:val="restart"/>
                  <w:tcBorders>
                    <w:tl2br w:val="nil"/>
                    <w:tr2bl w:val="nil"/>
                  </w:tcBorders>
                  <w:vAlign w:val="center"/>
                </w:tcPr>
                <w:p w14:paraId="5EEB8EF3">
                  <w:pPr>
                    <w:pStyle w:val="5"/>
                    <w:spacing w:before="0" w:after="0" w:line="0" w:lineRule="atLeast"/>
                    <w:jc w:val="center"/>
                    <w:rPr>
                      <w:rFonts w:hint="default" w:eastAsia="宋体"/>
                      <w:b w:val="0"/>
                      <w:bCs w:val="0"/>
                      <w:color w:val="FF0000"/>
                      <w:sz w:val="21"/>
                      <w:szCs w:val="21"/>
                      <w:lang w:val="en-US" w:eastAsia="zh-CN"/>
                    </w:rPr>
                  </w:pPr>
                  <w:r>
                    <w:rPr>
                      <w:rFonts w:hint="eastAsia"/>
                      <w:b w:val="0"/>
                      <w:bCs w:val="0"/>
                      <w:color w:val="FF0000"/>
                      <w:sz w:val="21"/>
                      <w:szCs w:val="21"/>
                      <w:lang w:val="en-US" w:eastAsia="zh-CN"/>
                    </w:rPr>
                    <w:t>35</w:t>
                  </w:r>
                </w:p>
              </w:tc>
              <w:tc>
                <w:tcPr>
                  <w:tcW w:w="179" w:type="pct"/>
                  <w:vMerge w:val="restart"/>
                  <w:tcBorders>
                    <w:tl2br w:val="nil"/>
                    <w:tr2bl w:val="nil"/>
                  </w:tcBorders>
                  <w:vAlign w:val="center"/>
                </w:tcPr>
                <w:p w14:paraId="598460CD">
                  <w:pPr>
                    <w:pStyle w:val="5"/>
                    <w:spacing w:before="0" w:after="0" w:line="0" w:lineRule="atLeast"/>
                    <w:jc w:val="center"/>
                    <w:rPr>
                      <w:rFonts w:hint="default" w:eastAsia="宋体"/>
                      <w:b w:val="0"/>
                      <w:bCs w:val="0"/>
                      <w:color w:val="FF0000"/>
                      <w:sz w:val="21"/>
                      <w:szCs w:val="21"/>
                      <w:lang w:val="en-US" w:eastAsia="zh-CN"/>
                    </w:rPr>
                  </w:pPr>
                  <w:r>
                    <w:rPr>
                      <w:rFonts w:hint="eastAsia"/>
                      <w:b w:val="0"/>
                      <w:bCs w:val="0"/>
                      <w:color w:val="FF0000"/>
                      <w:sz w:val="21"/>
                      <w:szCs w:val="21"/>
                      <w:lang w:val="en-US" w:eastAsia="zh-CN"/>
                    </w:rPr>
                    <w:t>0.6</w:t>
                  </w:r>
                </w:p>
              </w:tc>
              <w:tc>
                <w:tcPr>
                  <w:tcW w:w="191" w:type="pct"/>
                  <w:vMerge w:val="restart"/>
                  <w:tcBorders>
                    <w:tl2br w:val="nil"/>
                    <w:tr2bl w:val="nil"/>
                  </w:tcBorders>
                  <w:vAlign w:val="center"/>
                </w:tcPr>
                <w:p w14:paraId="3EECF1D4">
                  <w:pPr>
                    <w:pStyle w:val="5"/>
                    <w:spacing w:before="0" w:after="0" w:line="0" w:lineRule="atLeast"/>
                    <w:jc w:val="center"/>
                    <w:rPr>
                      <w:rFonts w:hint="default" w:eastAsia="宋体"/>
                      <w:b w:val="0"/>
                      <w:bCs w:val="0"/>
                      <w:sz w:val="21"/>
                      <w:szCs w:val="21"/>
                      <w:lang w:val="en-US" w:eastAsia="zh-CN"/>
                    </w:rPr>
                  </w:pPr>
                  <w:r>
                    <w:rPr>
                      <w:rFonts w:hint="eastAsia"/>
                      <w:b w:val="0"/>
                      <w:bCs w:val="0"/>
                      <w:sz w:val="21"/>
                      <w:szCs w:val="21"/>
                      <w:lang w:val="en-US" w:eastAsia="zh-CN"/>
                    </w:rPr>
                    <w:t>65</w:t>
                  </w:r>
                </w:p>
              </w:tc>
              <w:tc>
                <w:tcPr>
                  <w:tcW w:w="173" w:type="pct"/>
                  <w:vMerge w:val="restart"/>
                  <w:tcBorders>
                    <w:tl2br w:val="nil"/>
                    <w:tr2bl w:val="nil"/>
                  </w:tcBorders>
                  <w:vAlign w:val="center"/>
                </w:tcPr>
                <w:p w14:paraId="6229D691">
                  <w:pPr>
                    <w:pStyle w:val="5"/>
                    <w:spacing w:before="0" w:after="0" w:line="0" w:lineRule="atLeast"/>
                    <w:jc w:val="center"/>
                    <w:rPr>
                      <w:rFonts w:hint="default" w:eastAsia="宋体"/>
                      <w:b w:val="0"/>
                      <w:bCs w:val="0"/>
                      <w:sz w:val="21"/>
                      <w:szCs w:val="21"/>
                      <w:lang w:val="en-US" w:eastAsia="zh-CN"/>
                    </w:rPr>
                  </w:pPr>
                  <w:r>
                    <w:rPr>
                      <w:rFonts w:hint="eastAsia"/>
                      <w:b w:val="0"/>
                      <w:bCs w:val="0"/>
                      <w:sz w:val="21"/>
                      <w:szCs w:val="21"/>
                      <w:lang w:val="en-US" w:eastAsia="zh-CN"/>
                    </w:rPr>
                    <w:t>一般排放口</w:t>
                  </w:r>
                </w:p>
              </w:tc>
              <w:tc>
                <w:tcPr>
                  <w:tcW w:w="260" w:type="pct"/>
                  <w:vMerge w:val="restart"/>
                  <w:tcBorders>
                    <w:tl2br w:val="nil"/>
                    <w:tr2bl w:val="nil"/>
                  </w:tcBorders>
                  <w:shd w:val="clear" w:color="auto" w:fill="auto"/>
                  <w:vAlign w:val="center"/>
                </w:tcPr>
                <w:p w14:paraId="6C6959BA">
                  <w:pPr>
                    <w:adjustRightInd w:val="0"/>
                    <w:snapToGrid w:val="0"/>
                    <w:jc w:val="both"/>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E</w:t>
                  </w:r>
                  <w:r>
                    <w:rPr>
                      <w:rFonts w:hint="eastAsia" w:ascii="Times New Roman" w:hAnsi="Times New Roman" w:eastAsia="宋体" w:cs="Times New Roman"/>
                      <w:kern w:val="2"/>
                      <w:sz w:val="21"/>
                      <w:szCs w:val="21"/>
                      <w:lang w:val="en-US" w:eastAsia="zh-CN" w:bidi="ar-SA"/>
                    </w:rPr>
                    <w:t>115</w:t>
                  </w:r>
                  <w:r>
                    <w:rPr>
                      <w:rFonts w:hint="default" w:ascii="Times New Roman" w:hAnsi="Times New Roman" w:cs="Times New Roman"/>
                      <w:color w:val="auto"/>
                      <w:kern w:val="0"/>
                      <w:sz w:val="21"/>
                      <w:szCs w:val="21"/>
                      <w:highlight w:val="none"/>
                      <w:lang w:bidi="ar"/>
                    </w:rPr>
                    <w:t>°</w:t>
                  </w:r>
                  <w:r>
                    <w:rPr>
                      <w:rFonts w:hint="eastAsia" w:ascii="Times New Roman" w:hAnsi="Times New Roman" w:eastAsia="宋体" w:cs="Times New Roman"/>
                      <w:kern w:val="2"/>
                      <w:sz w:val="21"/>
                      <w:szCs w:val="21"/>
                      <w:lang w:val="en-US" w:eastAsia="zh-CN" w:bidi="ar-SA"/>
                    </w:rPr>
                    <w:t>30</w:t>
                  </w:r>
                  <w:r>
                    <w:rPr>
                      <w:rFonts w:hint="default" w:ascii="Times New Roman" w:hAnsi="Times New Roman" w:cs="Times New Roman"/>
                      <w:color w:val="auto"/>
                      <w:kern w:val="0"/>
                      <w:sz w:val="21"/>
                      <w:szCs w:val="21"/>
                      <w:highlight w:val="none"/>
                      <w:lang w:bidi="ar"/>
                    </w:rPr>
                    <w:t>′</w:t>
                  </w:r>
                  <w:r>
                    <w:rPr>
                      <w:rFonts w:hint="eastAsia" w:ascii="Times New Roman" w:hAnsi="Times New Roman" w:eastAsia="宋体" w:cs="Times New Roman"/>
                      <w:kern w:val="2"/>
                      <w:sz w:val="21"/>
                      <w:szCs w:val="21"/>
                      <w:lang w:val="en-US" w:eastAsia="zh-CN" w:bidi="ar-SA"/>
                    </w:rPr>
                    <w:t>15.779</w:t>
                  </w:r>
                  <w:r>
                    <w:rPr>
                      <w:rFonts w:hint="default" w:ascii="Times New Roman" w:hAnsi="Times New Roman" w:cs="Times New Roman"/>
                      <w:color w:val="auto"/>
                      <w:kern w:val="0"/>
                      <w:sz w:val="21"/>
                      <w:szCs w:val="21"/>
                      <w:highlight w:val="none"/>
                      <w:lang w:bidi="ar"/>
                    </w:rPr>
                    <w:t>″</w:t>
                  </w:r>
                  <w:r>
                    <w:rPr>
                      <w:rFonts w:hint="eastAsia" w:cs="Times New Roman"/>
                      <w:kern w:val="2"/>
                      <w:sz w:val="21"/>
                      <w:szCs w:val="21"/>
                      <w:lang w:val="en-US" w:eastAsia="zh-CN" w:bidi="ar-SA"/>
                    </w:rPr>
                    <w:t>N28</w:t>
                  </w:r>
                  <w:r>
                    <w:rPr>
                      <w:rFonts w:hint="default" w:ascii="Times New Roman" w:hAnsi="Times New Roman" w:cs="Times New Roman"/>
                      <w:color w:val="auto"/>
                      <w:kern w:val="0"/>
                      <w:sz w:val="21"/>
                      <w:szCs w:val="21"/>
                      <w:highlight w:val="none"/>
                      <w:lang w:bidi="ar"/>
                    </w:rPr>
                    <w:t>°</w:t>
                  </w:r>
                  <w:r>
                    <w:rPr>
                      <w:rFonts w:hint="eastAsia" w:cs="Times New Roman"/>
                      <w:kern w:val="2"/>
                      <w:sz w:val="21"/>
                      <w:szCs w:val="21"/>
                      <w:lang w:val="en-US" w:eastAsia="zh-CN" w:bidi="ar-SA"/>
                    </w:rPr>
                    <w:t>8</w:t>
                  </w:r>
                  <w:r>
                    <w:rPr>
                      <w:rFonts w:hint="default" w:ascii="Times New Roman" w:hAnsi="Times New Roman" w:cs="Times New Roman"/>
                      <w:color w:val="auto"/>
                      <w:kern w:val="0"/>
                      <w:sz w:val="21"/>
                      <w:szCs w:val="21"/>
                      <w:highlight w:val="none"/>
                      <w:lang w:bidi="ar"/>
                    </w:rPr>
                    <w:t>′</w:t>
                  </w:r>
                  <w:r>
                    <w:rPr>
                      <w:rFonts w:hint="eastAsia" w:cs="Times New Roman"/>
                      <w:kern w:val="2"/>
                      <w:sz w:val="21"/>
                      <w:szCs w:val="21"/>
                      <w:lang w:val="en-US" w:eastAsia="zh-CN" w:bidi="ar-SA"/>
                    </w:rPr>
                    <w:t>46.991</w:t>
                  </w:r>
                  <w:r>
                    <w:rPr>
                      <w:rFonts w:hint="default" w:ascii="Times New Roman" w:hAnsi="Times New Roman" w:cs="Times New Roman"/>
                      <w:color w:val="auto"/>
                      <w:kern w:val="0"/>
                      <w:sz w:val="21"/>
                      <w:szCs w:val="21"/>
                      <w:highlight w:val="none"/>
                      <w:lang w:bidi="ar"/>
                    </w:rPr>
                    <w:t>″</w:t>
                  </w:r>
                </w:p>
              </w:tc>
              <w:tc>
                <w:tcPr>
                  <w:tcW w:w="214" w:type="pct"/>
                  <w:tcBorders>
                    <w:tl2br w:val="nil"/>
                    <w:tr2bl w:val="nil"/>
                  </w:tcBorders>
                  <w:vAlign w:val="center"/>
                </w:tcPr>
                <w:p w14:paraId="00F9954C">
                  <w:pPr>
                    <w:keepNext/>
                    <w:keepLines/>
                    <w:spacing w:line="0" w:lineRule="atLeast"/>
                    <w:jc w:val="center"/>
                    <w:rPr>
                      <w:rFonts w:hint="default" w:eastAsia="宋体"/>
                      <w:b w:val="0"/>
                      <w:bCs w:val="0"/>
                      <w:color w:val="FF0000"/>
                      <w:sz w:val="21"/>
                      <w:szCs w:val="21"/>
                      <w:lang w:val="en-US" w:eastAsia="zh-CN"/>
                    </w:rPr>
                  </w:pPr>
                  <w:r>
                    <w:rPr>
                      <w:rFonts w:hint="eastAsia"/>
                      <w:szCs w:val="21"/>
                      <w:lang w:val="en-US" w:eastAsia="zh-CN"/>
                    </w:rPr>
                    <w:t>20</w:t>
                  </w:r>
                </w:p>
              </w:tc>
              <w:tc>
                <w:tcPr>
                  <w:tcW w:w="189" w:type="pct"/>
                  <w:tcBorders>
                    <w:tl2br w:val="nil"/>
                    <w:tr2bl w:val="nil"/>
                  </w:tcBorders>
                  <w:vAlign w:val="center"/>
                </w:tcPr>
                <w:p w14:paraId="04B98D25">
                  <w:pPr>
                    <w:keepNext/>
                    <w:keepLines/>
                    <w:spacing w:line="0" w:lineRule="atLeast"/>
                    <w:jc w:val="center"/>
                    <w:rPr>
                      <w:b w:val="0"/>
                      <w:bCs w:val="0"/>
                      <w:sz w:val="21"/>
                      <w:szCs w:val="21"/>
                    </w:rPr>
                  </w:pPr>
                  <w:r>
                    <w:rPr>
                      <w:szCs w:val="21"/>
                    </w:rPr>
                    <w:t>/</w:t>
                  </w:r>
                </w:p>
              </w:tc>
            </w:tr>
            <w:tr w14:paraId="035069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65" w:hRule="atLeast"/>
                <w:jc w:val="center"/>
              </w:trPr>
              <w:tc>
                <w:tcPr>
                  <w:tcW w:w="154" w:type="pct"/>
                  <w:vMerge w:val="continue"/>
                  <w:tcBorders>
                    <w:tl2br w:val="nil"/>
                    <w:tr2bl w:val="nil"/>
                  </w:tcBorders>
                  <w:vAlign w:val="center"/>
                </w:tcPr>
                <w:p w14:paraId="6A0B4E36">
                  <w:pPr>
                    <w:pStyle w:val="5"/>
                    <w:spacing w:before="0" w:after="0" w:line="0" w:lineRule="atLeast"/>
                    <w:jc w:val="center"/>
                    <w:rPr>
                      <w:rFonts w:hint="default"/>
                      <w:b w:val="0"/>
                      <w:bCs w:val="0"/>
                      <w:sz w:val="21"/>
                      <w:szCs w:val="21"/>
                      <w:lang w:val="en-US" w:eastAsia="zh-CN"/>
                    </w:rPr>
                  </w:pPr>
                </w:p>
              </w:tc>
              <w:tc>
                <w:tcPr>
                  <w:tcW w:w="154" w:type="pct"/>
                  <w:vMerge w:val="continue"/>
                  <w:tcBorders>
                    <w:tl2br w:val="nil"/>
                    <w:tr2bl w:val="nil"/>
                  </w:tcBorders>
                  <w:vAlign w:val="center"/>
                </w:tcPr>
                <w:p w14:paraId="0B7F185B">
                  <w:pPr>
                    <w:pStyle w:val="5"/>
                    <w:spacing w:before="0" w:after="0" w:line="0" w:lineRule="atLeast"/>
                    <w:jc w:val="center"/>
                    <w:rPr>
                      <w:b w:val="0"/>
                      <w:bCs w:val="0"/>
                      <w:sz w:val="21"/>
                      <w:szCs w:val="21"/>
                    </w:rPr>
                  </w:pPr>
                </w:p>
              </w:tc>
              <w:tc>
                <w:tcPr>
                  <w:tcW w:w="331" w:type="pct"/>
                  <w:tcBorders>
                    <w:tl2br w:val="nil"/>
                    <w:tr2bl w:val="nil"/>
                  </w:tcBorders>
                  <w:vAlign w:val="center"/>
                </w:tcPr>
                <w:p w14:paraId="6B5137B0">
                  <w:pPr>
                    <w:keepNext/>
                    <w:keepLines/>
                    <w:spacing w:line="0" w:lineRule="atLeast"/>
                    <w:jc w:val="center"/>
                    <w:rPr>
                      <w:rFonts w:hint="default" w:eastAsia="宋体"/>
                      <w:szCs w:val="21"/>
                      <w:lang w:val="en-US" w:eastAsia="zh-CN"/>
                    </w:rPr>
                  </w:pPr>
                  <w:r>
                    <w:rPr>
                      <w:rFonts w:hint="eastAsia"/>
                      <w:szCs w:val="21"/>
                      <w:lang w:val="en-US" w:eastAsia="zh-CN"/>
                    </w:rPr>
                    <w:t>SO</w:t>
                  </w:r>
                  <w:r>
                    <w:rPr>
                      <w:rFonts w:hint="eastAsia"/>
                      <w:szCs w:val="21"/>
                      <w:vertAlign w:val="subscript"/>
                      <w:lang w:val="en-US" w:eastAsia="zh-CN"/>
                    </w:rPr>
                    <w:t>2</w:t>
                  </w:r>
                </w:p>
              </w:tc>
              <w:tc>
                <w:tcPr>
                  <w:tcW w:w="322" w:type="pct"/>
                  <w:tcBorders>
                    <w:tl2br w:val="nil"/>
                    <w:tr2bl w:val="nil"/>
                  </w:tcBorders>
                  <w:vAlign w:val="center"/>
                </w:tcPr>
                <w:p w14:paraId="09F30E78">
                  <w:pPr>
                    <w:pStyle w:val="5"/>
                    <w:spacing w:before="0" w:after="0" w:line="0" w:lineRule="atLeast"/>
                    <w:jc w:val="center"/>
                    <w:rPr>
                      <w:rFonts w:hint="default" w:ascii="Times New Roman" w:hAnsi="Times New Roman"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27.322</w:t>
                  </w:r>
                </w:p>
              </w:tc>
              <w:tc>
                <w:tcPr>
                  <w:tcW w:w="257" w:type="pct"/>
                  <w:tcBorders>
                    <w:tl2br w:val="nil"/>
                    <w:tr2bl w:val="nil"/>
                  </w:tcBorders>
                  <w:vAlign w:val="center"/>
                </w:tcPr>
                <w:p w14:paraId="111FA233">
                  <w:pPr>
                    <w:pStyle w:val="5"/>
                    <w:spacing w:before="0" w:after="0" w:line="0" w:lineRule="atLeast"/>
                    <w:jc w:val="center"/>
                    <w:rPr>
                      <w:rFonts w:hint="default" w:ascii="Times New Roman" w:hAnsi="Times New Roman" w:cs="Times New Roman"/>
                      <w:b w:val="0"/>
                      <w:bCs w:val="0"/>
                      <w:color w:val="auto"/>
                      <w:sz w:val="21"/>
                      <w:szCs w:val="21"/>
                      <w:lang w:val="en-US" w:eastAsia="zh-CN"/>
                    </w:rPr>
                  </w:pPr>
                  <w:r>
                    <w:rPr>
                      <w:rFonts w:hint="eastAsia" w:cs="Times New Roman"/>
                      <w:b w:val="0"/>
                      <w:bCs w:val="0"/>
                      <w:color w:val="auto"/>
                      <w:sz w:val="21"/>
                      <w:szCs w:val="21"/>
                      <w:lang w:val="en-US" w:eastAsia="zh-CN"/>
                    </w:rPr>
                    <w:t>0.165</w:t>
                  </w:r>
                </w:p>
              </w:tc>
              <w:tc>
                <w:tcPr>
                  <w:tcW w:w="295" w:type="pct"/>
                  <w:tcBorders>
                    <w:tl2br w:val="nil"/>
                    <w:tr2bl w:val="nil"/>
                  </w:tcBorders>
                  <w:vAlign w:val="center"/>
                </w:tcPr>
                <w:p w14:paraId="78CC6EF8">
                  <w:pPr>
                    <w:pStyle w:val="5"/>
                    <w:spacing w:before="0" w:after="0" w:line="0" w:lineRule="atLeast"/>
                    <w:jc w:val="center"/>
                    <w:rPr>
                      <w:rFonts w:hint="default" w:ascii="Times New Roman" w:hAnsi="Times New Roman" w:eastAsia="宋体" w:cs="Times New Roman"/>
                      <w:b w:val="0"/>
                      <w:bCs w:val="0"/>
                      <w:color w:val="000000"/>
                      <w:sz w:val="21"/>
                      <w:szCs w:val="21"/>
                      <w:vertAlign w:val="baseline"/>
                      <w:lang w:val="en-US" w:eastAsia="zh-CN"/>
                    </w:rPr>
                  </w:pPr>
                  <w:r>
                    <w:rPr>
                      <w:rFonts w:hint="eastAsia" w:cs="Times New Roman"/>
                      <w:b w:val="0"/>
                      <w:bCs w:val="0"/>
                      <w:color w:val="000000"/>
                      <w:sz w:val="21"/>
                      <w:szCs w:val="21"/>
                      <w:vertAlign w:val="baseline"/>
                      <w:lang w:val="en-US" w:eastAsia="zh-CN"/>
                    </w:rPr>
                    <w:t>0.765</w:t>
                  </w:r>
                </w:p>
              </w:tc>
              <w:tc>
                <w:tcPr>
                  <w:tcW w:w="279" w:type="pct"/>
                  <w:vMerge w:val="continue"/>
                  <w:tcBorders>
                    <w:tl2br w:val="nil"/>
                    <w:tr2bl w:val="nil"/>
                  </w:tcBorders>
                  <w:vAlign w:val="center"/>
                </w:tcPr>
                <w:p w14:paraId="693E0A57">
                  <w:pPr>
                    <w:pStyle w:val="5"/>
                    <w:spacing w:before="0" w:after="0" w:line="0" w:lineRule="atLeast"/>
                    <w:jc w:val="center"/>
                    <w:rPr>
                      <w:rFonts w:hint="eastAsia"/>
                      <w:b w:val="0"/>
                      <w:bCs w:val="0"/>
                      <w:sz w:val="21"/>
                      <w:szCs w:val="21"/>
                    </w:rPr>
                  </w:pPr>
                </w:p>
              </w:tc>
              <w:tc>
                <w:tcPr>
                  <w:tcW w:w="230" w:type="pct"/>
                  <w:tcBorders>
                    <w:tl2br w:val="nil"/>
                    <w:tr2bl w:val="nil"/>
                  </w:tcBorders>
                  <w:vAlign w:val="center"/>
                </w:tcPr>
                <w:p w14:paraId="674E442C">
                  <w:pPr>
                    <w:pStyle w:val="5"/>
                    <w:spacing w:before="0" w:after="0" w:line="0" w:lineRule="atLeast"/>
                    <w:jc w:val="center"/>
                    <w:rPr>
                      <w:rFonts w:hint="eastAsia"/>
                      <w:b w:val="0"/>
                      <w:bCs w:val="0"/>
                      <w:sz w:val="21"/>
                      <w:szCs w:val="21"/>
                      <w:lang w:val="en-US" w:eastAsia="zh-CN"/>
                    </w:rPr>
                  </w:pPr>
                  <w:r>
                    <w:rPr>
                      <w:rFonts w:hint="eastAsia"/>
                      <w:b w:val="0"/>
                      <w:bCs w:val="0"/>
                      <w:sz w:val="21"/>
                      <w:szCs w:val="21"/>
                      <w:lang w:val="en-US" w:eastAsia="zh-CN"/>
                    </w:rPr>
                    <w:t>100</w:t>
                  </w:r>
                </w:p>
              </w:tc>
              <w:tc>
                <w:tcPr>
                  <w:tcW w:w="251" w:type="pct"/>
                  <w:tcBorders>
                    <w:tl2br w:val="nil"/>
                    <w:tr2bl w:val="nil"/>
                  </w:tcBorders>
                  <w:vAlign w:val="center"/>
                </w:tcPr>
                <w:p w14:paraId="6C3DE0BF">
                  <w:pPr>
                    <w:pStyle w:val="5"/>
                    <w:spacing w:before="0" w:after="0" w:line="0" w:lineRule="atLeast"/>
                    <w:jc w:val="center"/>
                    <w:rPr>
                      <w:rFonts w:hint="default"/>
                      <w:b w:val="0"/>
                      <w:bCs w:val="0"/>
                      <w:sz w:val="21"/>
                      <w:szCs w:val="21"/>
                      <w:lang w:val="en-US" w:eastAsia="zh-CN"/>
                    </w:rPr>
                  </w:pPr>
                  <w:r>
                    <w:rPr>
                      <w:rFonts w:hint="eastAsia"/>
                      <w:b w:val="0"/>
                      <w:bCs w:val="0"/>
                      <w:sz w:val="21"/>
                      <w:szCs w:val="21"/>
                      <w:lang w:val="en-US" w:eastAsia="zh-CN"/>
                    </w:rPr>
                    <w:t>0</w:t>
                  </w:r>
                </w:p>
              </w:tc>
              <w:tc>
                <w:tcPr>
                  <w:tcW w:w="254" w:type="pct"/>
                  <w:vMerge w:val="continue"/>
                  <w:tcBorders>
                    <w:tl2br w:val="nil"/>
                    <w:tr2bl w:val="nil"/>
                  </w:tcBorders>
                  <w:vAlign w:val="center"/>
                </w:tcPr>
                <w:p w14:paraId="56C19594">
                  <w:pPr>
                    <w:pStyle w:val="5"/>
                    <w:spacing w:before="0" w:after="0" w:line="0" w:lineRule="atLeast"/>
                    <w:jc w:val="center"/>
                    <w:rPr>
                      <w:rFonts w:hint="eastAsia"/>
                      <w:b w:val="0"/>
                      <w:bCs w:val="0"/>
                      <w:sz w:val="21"/>
                      <w:szCs w:val="21"/>
                    </w:rPr>
                  </w:pPr>
                </w:p>
              </w:tc>
              <w:tc>
                <w:tcPr>
                  <w:tcW w:w="138" w:type="pct"/>
                  <w:vMerge w:val="continue"/>
                  <w:tcBorders>
                    <w:tl2br w:val="nil"/>
                    <w:tr2bl w:val="nil"/>
                  </w:tcBorders>
                  <w:vAlign w:val="center"/>
                </w:tcPr>
                <w:p w14:paraId="72EDE4CE">
                  <w:pPr>
                    <w:pStyle w:val="5"/>
                    <w:spacing w:before="0" w:after="0" w:line="0" w:lineRule="atLeast"/>
                    <w:jc w:val="center"/>
                    <w:rPr>
                      <w:rFonts w:hint="eastAsia" w:eastAsia="宋体"/>
                      <w:b w:val="0"/>
                      <w:bCs w:val="0"/>
                      <w:sz w:val="21"/>
                      <w:szCs w:val="21"/>
                      <w:lang w:val="en-US" w:eastAsia="zh-CN"/>
                    </w:rPr>
                  </w:pPr>
                </w:p>
              </w:tc>
              <w:tc>
                <w:tcPr>
                  <w:tcW w:w="242" w:type="pct"/>
                  <w:tcBorders>
                    <w:tl2br w:val="nil"/>
                    <w:tr2bl w:val="nil"/>
                  </w:tcBorders>
                  <w:vAlign w:val="center"/>
                </w:tcPr>
                <w:p w14:paraId="3F2E1075">
                  <w:pPr>
                    <w:pStyle w:val="5"/>
                    <w:spacing w:before="0" w:after="0" w:line="0" w:lineRule="atLeast"/>
                    <w:jc w:val="center"/>
                    <w:rPr>
                      <w:rFonts w:hint="default" w:ascii="Times New Roman" w:hAnsi="Times New Roman" w:cs="Times New Roman"/>
                      <w:b w:val="0"/>
                      <w:bCs w:val="0"/>
                      <w:color w:val="auto"/>
                      <w:sz w:val="21"/>
                      <w:szCs w:val="21"/>
                      <w:vertAlign w:val="baseline"/>
                      <w:lang w:val="en-US" w:eastAsia="zh-CN"/>
                    </w:rPr>
                  </w:pPr>
                  <w:r>
                    <w:rPr>
                      <w:rFonts w:hint="eastAsia" w:cs="Times New Roman"/>
                      <w:b w:val="0"/>
                      <w:bCs w:val="0"/>
                      <w:color w:val="auto"/>
                      <w:sz w:val="21"/>
                      <w:szCs w:val="21"/>
                      <w:highlight w:val="none"/>
                      <w:lang w:val="en-US" w:eastAsia="zh-CN"/>
                    </w:rPr>
                    <w:t>27.322</w:t>
                  </w:r>
                </w:p>
              </w:tc>
              <w:tc>
                <w:tcPr>
                  <w:tcW w:w="277" w:type="pct"/>
                  <w:tcBorders>
                    <w:tl2br w:val="nil"/>
                    <w:tr2bl w:val="nil"/>
                  </w:tcBorders>
                  <w:vAlign w:val="center"/>
                </w:tcPr>
                <w:p w14:paraId="4ED3EB3C">
                  <w:pPr>
                    <w:pStyle w:val="5"/>
                    <w:spacing w:before="0" w:after="0" w:line="0" w:lineRule="atLeast"/>
                    <w:jc w:val="center"/>
                    <w:rPr>
                      <w:rFonts w:hint="default" w:ascii="Times New Roman" w:hAnsi="Times New Roman" w:cs="Times New Roman"/>
                      <w:b w:val="0"/>
                      <w:bCs w:val="0"/>
                      <w:color w:val="auto"/>
                      <w:sz w:val="21"/>
                      <w:szCs w:val="21"/>
                      <w:lang w:val="en-US" w:eastAsia="zh-CN"/>
                    </w:rPr>
                  </w:pPr>
                  <w:r>
                    <w:rPr>
                      <w:rFonts w:hint="eastAsia" w:cs="Times New Roman"/>
                      <w:b w:val="0"/>
                      <w:bCs w:val="0"/>
                      <w:color w:val="auto"/>
                      <w:sz w:val="21"/>
                      <w:szCs w:val="21"/>
                      <w:lang w:val="en-US" w:eastAsia="zh-CN"/>
                    </w:rPr>
                    <w:t>0.165</w:t>
                  </w:r>
                </w:p>
              </w:tc>
              <w:tc>
                <w:tcPr>
                  <w:tcW w:w="260" w:type="pct"/>
                  <w:tcBorders>
                    <w:tl2br w:val="nil"/>
                    <w:tr2bl w:val="nil"/>
                  </w:tcBorders>
                  <w:vAlign w:val="center"/>
                </w:tcPr>
                <w:p w14:paraId="1482E290">
                  <w:pPr>
                    <w:pStyle w:val="5"/>
                    <w:spacing w:before="0" w:after="0" w:line="0" w:lineRule="atLeast"/>
                    <w:jc w:val="center"/>
                    <w:rPr>
                      <w:rFonts w:hint="default" w:ascii="Times New Roman" w:hAnsi="Times New Roman" w:cs="Times New Roman"/>
                      <w:b w:val="0"/>
                      <w:bCs w:val="0"/>
                      <w:color w:val="auto"/>
                      <w:sz w:val="21"/>
                      <w:szCs w:val="21"/>
                      <w:vertAlign w:val="baseline"/>
                      <w:lang w:val="en-US" w:eastAsia="zh-CN"/>
                    </w:rPr>
                  </w:pPr>
                  <w:r>
                    <w:rPr>
                      <w:rFonts w:hint="eastAsia" w:cs="Times New Roman"/>
                      <w:b w:val="0"/>
                      <w:bCs w:val="0"/>
                      <w:color w:val="000000"/>
                      <w:sz w:val="21"/>
                      <w:szCs w:val="21"/>
                      <w:vertAlign w:val="baseline"/>
                      <w:lang w:val="en-US" w:eastAsia="zh-CN"/>
                    </w:rPr>
                    <w:t>0.765</w:t>
                  </w:r>
                </w:p>
              </w:tc>
              <w:tc>
                <w:tcPr>
                  <w:tcW w:w="167" w:type="pct"/>
                  <w:vMerge w:val="continue"/>
                  <w:tcBorders>
                    <w:tl2br w:val="nil"/>
                    <w:tr2bl w:val="nil"/>
                  </w:tcBorders>
                  <w:vAlign w:val="center"/>
                </w:tcPr>
                <w:p w14:paraId="7C3FD294">
                  <w:pPr>
                    <w:pStyle w:val="5"/>
                    <w:spacing w:before="0" w:after="0" w:line="0" w:lineRule="atLeast"/>
                    <w:jc w:val="center"/>
                    <w:rPr>
                      <w:b w:val="0"/>
                      <w:bCs w:val="0"/>
                      <w:sz w:val="21"/>
                      <w:szCs w:val="21"/>
                    </w:rPr>
                  </w:pPr>
                </w:p>
              </w:tc>
              <w:tc>
                <w:tcPr>
                  <w:tcW w:w="173" w:type="pct"/>
                  <w:vMerge w:val="continue"/>
                  <w:tcBorders>
                    <w:tl2br w:val="nil"/>
                    <w:tr2bl w:val="nil"/>
                  </w:tcBorders>
                  <w:vAlign w:val="center"/>
                </w:tcPr>
                <w:p w14:paraId="4D02B421">
                  <w:pPr>
                    <w:pStyle w:val="5"/>
                    <w:spacing w:before="0" w:after="0" w:line="0" w:lineRule="atLeast"/>
                    <w:jc w:val="center"/>
                    <w:rPr>
                      <w:b w:val="0"/>
                      <w:bCs w:val="0"/>
                      <w:sz w:val="21"/>
                      <w:szCs w:val="21"/>
                    </w:rPr>
                  </w:pPr>
                </w:p>
              </w:tc>
              <w:tc>
                <w:tcPr>
                  <w:tcW w:w="179" w:type="pct"/>
                  <w:vMerge w:val="continue"/>
                  <w:tcBorders>
                    <w:tl2br w:val="nil"/>
                    <w:tr2bl w:val="nil"/>
                  </w:tcBorders>
                  <w:vAlign w:val="center"/>
                </w:tcPr>
                <w:p w14:paraId="7DF9074B">
                  <w:pPr>
                    <w:pStyle w:val="5"/>
                    <w:spacing w:before="0" w:after="0" w:line="0" w:lineRule="atLeast"/>
                    <w:jc w:val="center"/>
                    <w:rPr>
                      <w:b w:val="0"/>
                      <w:bCs w:val="0"/>
                      <w:sz w:val="21"/>
                      <w:szCs w:val="21"/>
                    </w:rPr>
                  </w:pPr>
                </w:p>
              </w:tc>
              <w:tc>
                <w:tcPr>
                  <w:tcW w:w="191" w:type="pct"/>
                  <w:vMerge w:val="continue"/>
                  <w:tcBorders>
                    <w:tl2br w:val="nil"/>
                    <w:tr2bl w:val="nil"/>
                  </w:tcBorders>
                  <w:vAlign w:val="center"/>
                </w:tcPr>
                <w:p w14:paraId="5EAF432B">
                  <w:pPr>
                    <w:pStyle w:val="5"/>
                    <w:spacing w:before="0" w:after="0" w:line="0" w:lineRule="atLeast"/>
                    <w:jc w:val="center"/>
                    <w:rPr>
                      <w:b w:val="0"/>
                      <w:bCs w:val="0"/>
                      <w:sz w:val="21"/>
                      <w:szCs w:val="21"/>
                    </w:rPr>
                  </w:pPr>
                </w:p>
              </w:tc>
              <w:tc>
                <w:tcPr>
                  <w:tcW w:w="173" w:type="pct"/>
                  <w:vMerge w:val="continue"/>
                  <w:tcBorders>
                    <w:tl2br w:val="nil"/>
                    <w:tr2bl w:val="nil"/>
                  </w:tcBorders>
                  <w:vAlign w:val="center"/>
                </w:tcPr>
                <w:p w14:paraId="6A720977">
                  <w:pPr>
                    <w:pStyle w:val="5"/>
                    <w:spacing w:before="0" w:after="0" w:line="0" w:lineRule="atLeast"/>
                    <w:jc w:val="center"/>
                    <w:rPr>
                      <w:b w:val="0"/>
                      <w:bCs w:val="0"/>
                      <w:sz w:val="21"/>
                      <w:szCs w:val="21"/>
                    </w:rPr>
                  </w:pPr>
                </w:p>
              </w:tc>
              <w:tc>
                <w:tcPr>
                  <w:tcW w:w="260" w:type="pct"/>
                  <w:vMerge w:val="continue"/>
                  <w:tcBorders>
                    <w:tl2br w:val="nil"/>
                    <w:tr2bl w:val="nil"/>
                  </w:tcBorders>
                  <w:vAlign w:val="center"/>
                </w:tcPr>
                <w:p w14:paraId="2F7EB022">
                  <w:pPr>
                    <w:pStyle w:val="5"/>
                    <w:spacing w:before="0" w:after="0" w:line="0" w:lineRule="atLeast"/>
                    <w:jc w:val="center"/>
                    <w:rPr>
                      <w:b w:val="0"/>
                      <w:bCs w:val="0"/>
                      <w:sz w:val="21"/>
                      <w:szCs w:val="21"/>
                    </w:rPr>
                  </w:pPr>
                </w:p>
              </w:tc>
              <w:tc>
                <w:tcPr>
                  <w:tcW w:w="214" w:type="pct"/>
                  <w:tcBorders>
                    <w:tl2br w:val="nil"/>
                    <w:tr2bl w:val="nil"/>
                  </w:tcBorders>
                  <w:vAlign w:val="center"/>
                </w:tcPr>
                <w:p w14:paraId="0761D958">
                  <w:pPr>
                    <w:keepNext/>
                    <w:keepLines/>
                    <w:spacing w:line="0" w:lineRule="atLeast"/>
                    <w:jc w:val="center"/>
                    <w:rPr>
                      <w:rFonts w:hint="default" w:eastAsia="宋体"/>
                      <w:b w:val="0"/>
                      <w:bCs w:val="0"/>
                      <w:sz w:val="21"/>
                      <w:szCs w:val="21"/>
                      <w:lang w:val="en-US" w:eastAsia="zh-CN"/>
                    </w:rPr>
                  </w:pPr>
                  <w:r>
                    <w:rPr>
                      <w:rFonts w:hint="eastAsia"/>
                      <w:szCs w:val="21"/>
                      <w:lang w:val="en-US" w:eastAsia="zh-CN"/>
                    </w:rPr>
                    <w:t>50</w:t>
                  </w:r>
                </w:p>
              </w:tc>
              <w:tc>
                <w:tcPr>
                  <w:tcW w:w="189" w:type="pct"/>
                  <w:tcBorders>
                    <w:tl2br w:val="nil"/>
                    <w:tr2bl w:val="nil"/>
                  </w:tcBorders>
                  <w:vAlign w:val="center"/>
                </w:tcPr>
                <w:p w14:paraId="77C2CA0F">
                  <w:pPr>
                    <w:keepNext/>
                    <w:keepLines/>
                    <w:spacing w:line="0" w:lineRule="atLeast"/>
                    <w:jc w:val="center"/>
                    <w:rPr>
                      <w:rFonts w:hint="default" w:eastAsia="宋体"/>
                      <w:b w:val="0"/>
                      <w:bCs w:val="0"/>
                      <w:sz w:val="21"/>
                      <w:szCs w:val="21"/>
                      <w:lang w:val="en-US" w:eastAsia="zh-CN"/>
                    </w:rPr>
                  </w:pPr>
                  <w:r>
                    <w:rPr>
                      <w:szCs w:val="21"/>
                    </w:rPr>
                    <w:t>/</w:t>
                  </w:r>
                </w:p>
              </w:tc>
            </w:tr>
            <w:tr w14:paraId="1E9C8C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65" w:hRule="atLeast"/>
                <w:jc w:val="center"/>
              </w:trPr>
              <w:tc>
                <w:tcPr>
                  <w:tcW w:w="154" w:type="pct"/>
                  <w:vMerge w:val="continue"/>
                  <w:tcBorders>
                    <w:tl2br w:val="nil"/>
                    <w:tr2bl w:val="nil"/>
                  </w:tcBorders>
                  <w:vAlign w:val="center"/>
                </w:tcPr>
                <w:p w14:paraId="051B360C">
                  <w:pPr>
                    <w:pStyle w:val="5"/>
                    <w:spacing w:before="0" w:after="0" w:line="0" w:lineRule="atLeast"/>
                    <w:jc w:val="center"/>
                    <w:rPr>
                      <w:rFonts w:hint="default"/>
                      <w:b w:val="0"/>
                      <w:bCs w:val="0"/>
                      <w:sz w:val="21"/>
                      <w:szCs w:val="21"/>
                      <w:lang w:val="en-US" w:eastAsia="zh-CN"/>
                    </w:rPr>
                  </w:pPr>
                </w:p>
              </w:tc>
              <w:tc>
                <w:tcPr>
                  <w:tcW w:w="154" w:type="pct"/>
                  <w:vMerge w:val="continue"/>
                  <w:tcBorders>
                    <w:tl2br w:val="nil"/>
                    <w:tr2bl w:val="nil"/>
                  </w:tcBorders>
                  <w:vAlign w:val="center"/>
                </w:tcPr>
                <w:p w14:paraId="599D3F7A">
                  <w:pPr>
                    <w:pStyle w:val="5"/>
                    <w:spacing w:before="0" w:after="0" w:line="0" w:lineRule="atLeast"/>
                    <w:jc w:val="center"/>
                    <w:rPr>
                      <w:b w:val="0"/>
                      <w:bCs w:val="0"/>
                      <w:sz w:val="21"/>
                      <w:szCs w:val="21"/>
                    </w:rPr>
                  </w:pPr>
                </w:p>
              </w:tc>
              <w:tc>
                <w:tcPr>
                  <w:tcW w:w="331" w:type="pct"/>
                  <w:tcBorders>
                    <w:tl2br w:val="nil"/>
                    <w:tr2bl w:val="nil"/>
                  </w:tcBorders>
                  <w:vAlign w:val="center"/>
                </w:tcPr>
                <w:p w14:paraId="637A8186">
                  <w:pPr>
                    <w:keepNext/>
                    <w:keepLines/>
                    <w:spacing w:line="0" w:lineRule="atLeast"/>
                    <w:jc w:val="center"/>
                    <w:rPr>
                      <w:rFonts w:hint="default"/>
                      <w:szCs w:val="21"/>
                      <w:lang w:val="en-US" w:eastAsia="zh-CN"/>
                    </w:rPr>
                  </w:pPr>
                  <w:r>
                    <w:rPr>
                      <w:rFonts w:hint="eastAsia"/>
                      <w:szCs w:val="21"/>
                      <w:lang w:val="en-US" w:eastAsia="zh-CN"/>
                    </w:rPr>
                    <w:t>NO</w:t>
                  </w:r>
                  <w:r>
                    <w:rPr>
                      <w:rFonts w:hint="eastAsia"/>
                      <w:szCs w:val="21"/>
                      <w:vertAlign w:val="subscript"/>
                      <w:lang w:val="en-US" w:eastAsia="zh-CN"/>
                    </w:rPr>
                    <w:t>X</w:t>
                  </w:r>
                </w:p>
              </w:tc>
              <w:tc>
                <w:tcPr>
                  <w:tcW w:w="322" w:type="pct"/>
                  <w:tcBorders>
                    <w:tl2br w:val="nil"/>
                    <w:tr2bl w:val="nil"/>
                  </w:tcBorders>
                  <w:vAlign w:val="center"/>
                </w:tcPr>
                <w:p w14:paraId="6002D5F4">
                  <w:pPr>
                    <w:pStyle w:val="5"/>
                    <w:spacing w:before="0" w:after="0" w:line="0" w:lineRule="atLeast"/>
                    <w:jc w:val="center"/>
                    <w:rPr>
                      <w:rFonts w:hint="default" w:ascii="Times New Roman" w:hAnsi="Times New Roman" w:cs="Times New Roman"/>
                      <w:b w:val="0"/>
                      <w:bCs w:val="0"/>
                      <w:color w:val="auto"/>
                      <w:sz w:val="21"/>
                      <w:szCs w:val="21"/>
                      <w:highlight w:val="none"/>
                      <w:vertAlign w:val="baseline"/>
                      <w:lang w:val="en-US" w:eastAsia="zh-CN"/>
                    </w:rPr>
                  </w:pPr>
                  <w:r>
                    <w:rPr>
                      <w:rFonts w:hint="eastAsia" w:cs="Times New Roman"/>
                      <w:b w:val="0"/>
                      <w:bCs w:val="0"/>
                      <w:color w:val="000000" w:themeColor="text1"/>
                      <w:sz w:val="21"/>
                      <w:szCs w:val="21"/>
                      <w:highlight w:val="none"/>
                      <w:vertAlign w:val="baseline"/>
                      <w:lang w:val="en-US" w:eastAsia="zh-CN"/>
                      <w14:textFill>
                        <w14:solidFill>
                          <w14:schemeClr w14:val="tx1"/>
                        </w14:solidFill>
                      </w14:textFill>
                    </w:rPr>
                    <w:t>163.438</w:t>
                  </w:r>
                </w:p>
              </w:tc>
              <w:tc>
                <w:tcPr>
                  <w:tcW w:w="257" w:type="pct"/>
                  <w:tcBorders>
                    <w:tl2br w:val="nil"/>
                    <w:tr2bl w:val="nil"/>
                  </w:tcBorders>
                  <w:vAlign w:val="center"/>
                </w:tcPr>
                <w:p w14:paraId="603007A2">
                  <w:pPr>
                    <w:pStyle w:val="5"/>
                    <w:spacing w:before="0" w:after="0" w:line="0" w:lineRule="atLeast"/>
                    <w:jc w:val="center"/>
                    <w:rPr>
                      <w:rFonts w:hint="default" w:ascii="Times New Roman" w:hAnsi="Times New Roman" w:cs="Times New Roman"/>
                      <w:b w:val="0"/>
                      <w:bCs w:val="0"/>
                      <w:color w:val="000000" w:themeColor="text1"/>
                      <w:sz w:val="21"/>
                      <w:szCs w:val="21"/>
                      <w:lang w:val="en-US" w:eastAsia="zh-CN"/>
                      <w14:textFill>
                        <w14:solidFill>
                          <w14:schemeClr w14:val="tx1"/>
                        </w14:solidFill>
                      </w14:textFill>
                    </w:rPr>
                  </w:pPr>
                  <w:r>
                    <w:rPr>
                      <w:rFonts w:hint="eastAsia" w:cs="Times New Roman"/>
                      <w:b w:val="0"/>
                      <w:bCs w:val="0"/>
                      <w:color w:val="000000" w:themeColor="text1"/>
                      <w:sz w:val="21"/>
                      <w:szCs w:val="21"/>
                      <w:lang w:val="en-US" w:eastAsia="zh-CN"/>
                      <w14:textFill>
                        <w14:solidFill>
                          <w14:schemeClr w14:val="tx1"/>
                        </w14:solidFill>
                      </w14:textFill>
                    </w:rPr>
                    <w:t>0.987</w:t>
                  </w:r>
                </w:p>
              </w:tc>
              <w:tc>
                <w:tcPr>
                  <w:tcW w:w="295" w:type="pct"/>
                  <w:tcBorders>
                    <w:tl2br w:val="nil"/>
                    <w:tr2bl w:val="nil"/>
                  </w:tcBorders>
                  <w:vAlign w:val="center"/>
                </w:tcPr>
                <w:p w14:paraId="0334A6E3">
                  <w:pPr>
                    <w:pStyle w:val="5"/>
                    <w:spacing w:before="0" w:after="0" w:line="0" w:lineRule="atLeast"/>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cs="Times New Roman"/>
                      <w:b w:val="0"/>
                      <w:bCs w:val="0"/>
                      <w:color w:val="000000" w:themeColor="text1"/>
                      <w:sz w:val="21"/>
                      <w:szCs w:val="21"/>
                      <w:lang w:val="en-US" w:eastAsia="zh-CN"/>
                      <w14:textFill>
                        <w14:solidFill>
                          <w14:schemeClr w14:val="tx1"/>
                        </w14:solidFill>
                      </w14:textFill>
                    </w:rPr>
                    <w:t>4.59</w:t>
                  </w:r>
                </w:p>
              </w:tc>
              <w:tc>
                <w:tcPr>
                  <w:tcW w:w="279" w:type="pct"/>
                  <w:vMerge w:val="continue"/>
                  <w:tcBorders>
                    <w:tl2br w:val="nil"/>
                    <w:tr2bl w:val="nil"/>
                  </w:tcBorders>
                  <w:vAlign w:val="center"/>
                </w:tcPr>
                <w:p w14:paraId="0015ECF8">
                  <w:pPr>
                    <w:pStyle w:val="5"/>
                    <w:spacing w:before="0" w:after="0" w:line="0" w:lineRule="atLeast"/>
                    <w:jc w:val="center"/>
                    <w:rPr>
                      <w:rFonts w:hint="eastAsia"/>
                      <w:b w:val="0"/>
                      <w:bCs w:val="0"/>
                      <w:sz w:val="21"/>
                      <w:szCs w:val="21"/>
                    </w:rPr>
                  </w:pPr>
                </w:p>
              </w:tc>
              <w:tc>
                <w:tcPr>
                  <w:tcW w:w="230" w:type="pct"/>
                  <w:tcBorders>
                    <w:tl2br w:val="nil"/>
                    <w:tr2bl w:val="nil"/>
                  </w:tcBorders>
                  <w:vAlign w:val="center"/>
                </w:tcPr>
                <w:p w14:paraId="71622992">
                  <w:pPr>
                    <w:pStyle w:val="5"/>
                    <w:spacing w:before="0" w:after="0" w:line="0" w:lineRule="atLeast"/>
                    <w:jc w:val="center"/>
                    <w:rPr>
                      <w:rFonts w:hint="eastAsia"/>
                      <w:b w:val="0"/>
                      <w:bCs w:val="0"/>
                      <w:sz w:val="21"/>
                      <w:szCs w:val="21"/>
                      <w:lang w:val="en-US" w:eastAsia="zh-CN"/>
                    </w:rPr>
                  </w:pPr>
                  <w:r>
                    <w:rPr>
                      <w:rFonts w:hint="eastAsia"/>
                      <w:b w:val="0"/>
                      <w:bCs w:val="0"/>
                      <w:sz w:val="21"/>
                      <w:szCs w:val="21"/>
                      <w:lang w:val="en-US" w:eastAsia="zh-CN"/>
                    </w:rPr>
                    <w:t>100</w:t>
                  </w:r>
                </w:p>
              </w:tc>
              <w:tc>
                <w:tcPr>
                  <w:tcW w:w="251" w:type="pct"/>
                  <w:tcBorders>
                    <w:tl2br w:val="nil"/>
                    <w:tr2bl w:val="nil"/>
                  </w:tcBorders>
                  <w:vAlign w:val="center"/>
                </w:tcPr>
                <w:p w14:paraId="79411333">
                  <w:pPr>
                    <w:pStyle w:val="5"/>
                    <w:spacing w:before="0" w:after="0" w:line="0" w:lineRule="atLeast"/>
                    <w:jc w:val="center"/>
                    <w:rPr>
                      <w:rFonts w:hint="default"/>
                      <w:b w:val="0"/>
                      <w:bCs w:val="0"/>
                      <w:sz w:val="21"/>
                      <w:szCs w:val="21"/>
                      <w:lang w:val="en-US" w:eastAsia="zh-CN"/>
                    </w:rPr>
                  </w:pPr>
                  <w:r>
                    <w:rPr>
                      <w:rFonts w:hint="eastAsia"/>
                      <w:b w:val="0"/>
                      <w:bCs w:val="0"/>
                      <w:sz w:val="21"/>
                      <w:szCs w:val="21"/>
                      <w:lang w:val="en-US" w:eastAsia="zh-CN"/>
                    </w:rPr>
                    <w:t>0</w:t>
                  </w:r>
                </w:p>
              </w:tc>
              <w:tc>
                <w:tcPr>
                  <w:tcW w:w="254" w:type="pct"/>
                  <w:vMerge w:val="continue"/>
                  <w:tcBorders>
                    <w:tl2br w:val="nil"/>
                    <w:tr2bl w:val="nil"/>
                  </w:tcBorders>
                  <w:vAlign w:val="center"/>
                </w:tcPr>
                <w:p w14:paraId="22D9991A">
                  <w:pPr>
                    <w:pStyle w:val="5"/>
                    <w:spacing w:before="0" w:after="0" w:line="0" w:lineRule="atLeast"/>
                    <w:jc w:val="center"/>
                    <w:rPr>
                      <w:rFonts w:hint="eastAsia"/>
                      <w:b w:val="0"/>
                      <w:bCs w:val="0"/>
                      <w:sz w:val="21"/>
                      <w:szCs w:val="21"/>
                    </w:rPr>
                  </w:pPr>
                </w:p>
              </w:tc>
              <w:tc>
                <w:tcPr>
                  <w:tcW w:w="138" w:type="pct"/>
                  <w:vMerge w:val="continue"/>
                  <w:tcBorders>
                    <w:tl2br w:val="nil"/>
                    <w:tr2bl w:val="nil"/>
                  </w:tcBorders>
                  <w:vAlign w:val="center"/>
                </w:tcPr>
                <w:p w14:paraId="010357B4">
                  <w:pPr>
                    <w:pStyle w:val="5"/>
                    <w:spacing w:before="0" w:after="0" w:line="0" w:lineRule="atLeast"/>
                    <w:jc w:val="center"/>
                    <w:rPr>
                      <w:rFonts w:hint="default"/>
                      <w:b w:val="0"/>
                      <w:bCs w:val="0"/>
                      <w:sz w:val="21"/>
                      <w:szCs w:val="21"/>
                      <w:lang w:val="en-US" w:eastAsia="zh-CN"/>
                    </w:rPr>
                  </w:pPr>
                </w:p>
              </w:tc>
              <w:tc>
                <w:tcPr>
                  <w:tcW w:w="242" w:type="pct"/>
                  <w:tcBorders>
                    <w:tl2br w:val="nil"/>
                    <w:tr2bl w:val="nil"/>
                  </w:tcBorders>
                  <w:vAlign w:val="center"/>
                </w:tcPr>
                <w:p w14:paraId="5ED51613">
                  <w:pPr>
                    <w:pStyle w:val="5"/>
                    <w:spacing w:before="0" w:after="0" w:line="0" w:lineRule="atLeast"/>
                    <w:jc w:val="cente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eastAsia" w:cs="Times New Roman"/>
                      <w:b w:val="0"/>
                      <w:bCs w:val="0"/>
                      <w:color w:val="000000" w:themeColor="text1"/>
                      <w:sz w:val="21"/>
                      <w:szCs w:val="21"/>
                      <w:highlight w:val="none"/>
                      <w:vertAlign w:val="baseline"/>
                      <w:lang w:val="en-US" w:eastAsia="zh-CN"/>
                      <w14:textFill>
                        <w14:solidFill>
                          <w14:schemeClr w14:val="tx1"/>
                        </w14:solidFill>
                      </w14:textFill>
                    </w:rPr>
                    <w:t>163.438</w:t>
                  </w:r>
                </w:p>
              </w:tc>
              <w:tc>
                <w:tcPr>
                  <w:tcW w:w="277" w:type="pct"/>
                  <w:tcBorders>
                    <w:tl2br w:val="nil"/>
                    <w:tr2bl w:val="nil"/>
                  </w:tcBorders>
                  <w:vAlign w:val="center"/>
                </w:tcPr>
                <w:p w14:paraId="085C07FC">
                  <w:pPr>
                    <w:pStyle w:val="5"/>
                    <w:spacing w:before="0" w:after="0" w:line="0" w:lineRule="atLeast"/>
                    <w:jc w:val="center"/>
                    <w:rPr>
                      <w:rFonts w:hint="default" w:ascii="Times New Roman" w:hAnsi="Times New Roman" w:cs="Times New Roman"/>
                      <w:b w:val="0"/>
                      <w:bCs w:val="0"/>
                      <w:color w:val="000000" w:themeColor="text1"/>
                      <w:sz w:val="21"/>
                      <w:szCs w:val="21"/>
                      <w:lang w:val="en-US" w:eastAsia="zh-CN"/>
                      <w14:textFill>
                        <w14:solidFill>
                          <w14:schemeClr w14:val="tx1"/>
                        </w14:solidFill>
                      </w14:textFill>
                    </w:rPr>
                  </w:pPr>
                  <w:r>
                    <w:rPr>
                      <w:rFonts w:hint="eastAsia" w:cs="Times New Roman"/>
                      <w:b w:val="0"/>
                      <w:bCs w:val="0"/>
                      <w:color w:val="000000" w:themeColor="text1"/>
                      <w:sz w:val="21"/>
                      <w:szCs w:val="21"/>
                      <w:lang w:val="en-US" w:eastAsia="zh-CN"/>
                      <w14:textFill>
                        <w14:solidFill>
                          <w14:schemeClr w14:val="tx1"/>
                        </w14:solidFill>
                      </w14:textFill>
                    </w:rPr>
                    <w:t>0.987</w:t>
                  </w:r>
                </w:p>
              </w:tc>
              <w:tc>
                <w:tcPr>
                  <w:tcW w:w="260" w:type="pct"/>
                  <w:tcBorders>
                    <w:tl2br w:val="nil"/>
                    <w:tr2bl w:val="nil"/>
                  </w:tcBorders>
                  <w:vAlign w:val="center"/>
                </w:tcPr>
                <w:p w14:paraId="0DA6F4E3">
                  <w:pPr>
                    <w:pStyle w:val="5"/>
                    <w:spacing w:before="0" w:after="0" w:line="0" w:lineRule="atLeast"/>
                    <w:jc w:val="cente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eastAsia" w:cs="Times New Roman"/>
                      <w:b w:val="0"/>
                      <w:bCs w:val="0"/>
                      <w:color w:val="000000" w:themeColor="text1"/>
                      <w:sz w:val="21"/>
                      <w:szCs w:val="21"/>
                      <w:lang w:val="en-US" w:eastAsia="zh-CN"/>
                      <w14:textFill>
                        <w14:solidFill>
                          <w14:schemeClr w14:val="tx1"/>
                        </w14:solidFill>
                      </w14:textFill>
                    </w:rPr>
                    <w:t>4.59</w:t>
                  </w:r>
                </w:p>
              </w:tc>
              <w:tc>
                <w:tcPr>
                  <w:tcW w:w="167" w:type="pct"/>
                  <w:vMerge w:val="continue"/>
                  <w:tcBorders>
                    <w:tl2br w:val="nil"/>
                    <w:tr2bl w:val="nil"/>
                  </w:tcBorders>
                  <w:vAlign w:val="center"/>
                </w:tcPr>
                <w:p w14:paraId="2335710A">
                  <w:pPr>
                    <w:pStyle w:val="5"/>
                    <w:spacing w:before="0" w:after="0" w:line="0" w:lineRule="atLeast"/>
                    <w:jc w:val="center"/>
                    <w:rPr>
                      <w:b w:val="0"/>
                      <w:bCs w:val="0"/>
                      <w:sz w:val="21"/>
                      <w:szCs w:val="21"/>
                    </w:rPr>
                  </w:pPr>
                </w:p>
              </w:tc>
              <w:tc>
                <w:tcPr>
                  <w:tcW w:w="173" w:type="pct"/>
                  <w:vMerge w:val="continue"/>
                  <w:tcBorders>
                    <w:tl2br w:val="nil"/>
                    <w:tr2bl w:val="nil"/>
                  </w:tcBorders>
                  <w:vAlign w:val="center"/>
                </w:tcPr>
                <w:p w14:paraId="47E9D959">
                  <w:pPr>
                    <w:pStyle w:val="5"/>
                    <w:spacing w:before="0" w:after="0" w:line="0" w:lineRule="atLeast"/>
                    <w:jc w:val="center"/>
                    <w:rPr>
                      <w:b w:val="0"/>
                      <w:bCs w:val="0"/>
                      <w:sz w:val="21"/>
                      <w:szCs w:val="21"/>
                    </w:rPr>
                  </w:pPr>
                </w:p>
              </w:tc>
              <w:tc>
                <w:tcPr>
                  <w:tcW w:w="179" w:type="pct"/>
                  <w:vMerge w:val="continue"/>
                  <w:tcBorders>
                    <w:tl2br w:val="nil"/>
                    <w:tr2bl w:val="nil"/>
                  </w:tcBorders>
                  <w:vAlign w:val="center"/>
                </w:tcPr>
                <w:p w14:paraId="7913CA75">
                  <w:pPr>
                    <w:pStyle w:val="5"/>
                    <w:spacing w:before="0" w:after="0" w:line="0" w:lineRule="atLeast"/>
                    <w:jc w:val="center"/>
                    <w:rPr>
                      <w:b w:val="0"/>
                      <w:bCs w:val="0"/>
                      <w:sz w:val="21"/>
                      <w:szCs w:val="21"/>
                    </w:rPr>
                  </w:pPr>
                </w:p>
              </w:tc>
              <w:tc>
                <w:tcPr>
                  <w:tcW w:w="191" w:type="pct"/>
                  <w:vMerge w:val="continue"/>
                  <w:tcBorders>
                    <w:tl2br w:val="nil"/>
                    <w:tr2bl w:val="nil"/>
                  </w:tcBorders>
                  <w:vAlign w:val="center"/>
                </w:tcPr>
                <w:p w14:paraId="0FC4F228">
                  <w:pPr>
                    <w:pStyle w:val="5"/>
                    <w:spacing w:before="0" w:after="0" w:line="0" w:lineRule="atLeast"/>
                    <w:jc w:val="center"/>
                    <w:rPr>
                      <w:b w:val="0"/>
                      <w:bCs w:val="0"/>
                      <w:sz w:val="21"/>
                      <w:szCs w:val="21"/>
                    </w:rPr>
                  </w:pPr>
                </w:p>
              </w:tc>
              <w:tc>
                <w:tcPr>
                  <w:tcW w:w="173" w:type="pct"/>
                  <w:vMerge w:val="continue"/>
                  <w:tcBorders>
                    <w:tl2br w:val="nil"/>
                    <w:tr2bl w:val="nil"/>
                  </w:tcBorders>
                  <w:vAlign w:val="center"/>
                </w:tcPr>
                <w:p w14:paraId="480A4D5F">
                  <w:pPr>
                    <w:pStyle w:val="5"/>
                    <w:spacing w:before="0" w:after="0" w:line="0" w:lineRule="atLeast"/>
                    <w:jc w:val="center"/>
                    <w:rPr>
                      <w:b w:val="0"/>
                      <w:bCs w:val="0"/>
                      <w:sz w:val="21"/>
                      <w:szCs w:val="21"/>
                    </w:rPr>
                  </w:pPr>
                </w:p>
              </w:tc>
              <w:tc>
                <w:tcPr>
                  <w:tcW w:w="260" w:type="pct"/>
                  <w:vMerge w:val="continue"/>
                  <w:tcBorders>
                    <w:tl2br w:val="nil"/>
                    <w:tr2bl w:val="nil"/>
                  </w:tcBorders>
                  <w:vAlign w:val="center"/>
                </w:tcPr>
                <w:p w14:paraId="3C9CA357">
                  <w:pPr>
                    <w:pStyle w:val="5"/>
                    <w:spacing w:before="0" w:after="0" w:line="0" w:lineRule="atLeast"/>
                    <w:jc w:val="center"/>
                    <w:rPr>
                      <w:b w:val="0"/>
                      <w:bCs w:val="0"/>
                      <w:sz w:val="21"/>
                      <w:szCs w:val="21"/>
                    </w:rPr>
                  </w:pPr>
                </w:p>
              </w:tc>
              <w:tc>
                <w:tcPr>
                  <w:tcW w:w="214" w:type="pct"/>
                  <w:tcBorders>
                    <w:tl2br w:val="nil"/>
                    <w:tr2bl w:val="nil"/>
                  </w:tcBorders>
                  <w:vAlign w:val="center"/>
                </w:tcPr>
                <w:p w14:paraId="4BC758DF">
                  <w:pPr>
                    <w:keepNext/>
                    <w:keepLines/>
                    <w:spacing w:line="0" w:lineRule="atLeast"/>
                    <w:jc w:val="center"/>
                    <w:rPr>
                      <w:rFonts w:hint="default" w:eastAsia="宋体"/>
                      <w:b w:val="0"/>
                      <w:bCs w:val="0"/>
                      <w:sz w:val="21"/>
                      <w:szCs w:val="21"/>
                      <w:lang w:val="en-US" w:eastAsia="zh-CN"/>
                    </w:rPr>
                  </w:pPr>
                  <w:r>
                    <w:rPr>
                      <w:rFonts w:hint="eastAsia"/>
                      <w:szCs w:val="21"/>
                      <w:lang w:val="en-US" w:eastAsia="zh-CN"/>
                    </w:rPr>
                    <w:t>200</w:t>
                  </w:r>
                </w:p>
              </w:tc>
              <w:tc>
                <w:tcPr>
                  <w:tcW w:w="189" w:type="pct"/>
                  <w:tcBorders>
                    <w:tl2br w:val="nil"/>
                    <w:tr2bl w:val="nil"/>
                  </w:tcBorders>
                  <w:vAlign w:val="center"/>
                </w:tcPr>
                <w:p w14:paraId="7ABCF4DC">
                  <w:pPr>
                    <w:keepNext/>
                    <w:keepLines/>
                    <w:spacing w:line="0" w:lineRule="atLeast"/>
                    <w:jc w:val="center"/>
                    <w:rPr>
                      <w:rFonts w:hint="default" w:eastAsia="宋体"/>
                      <w:b w:val="0"/>
                      <w:bCs w:val="0"/>
                      <w:sz w:val="21"/>
                      <w:szCs w:val="21"/>
                      <w:lang w:val="en-US" w:eastAsia="zh-CN"/>
                    </w:rPr>
                  </w:pPr>
                  <w:r>
                    <w:rPr>
                      <w:szCs w:val="21"/>
                    </w:rPr>
                    <w:t>/</w:t>
                  </w:r>
                </w:p>
              </w:tc>
            </w:tr>
          </w:tbl>
          <w:p w14:paraId="213050A6">
            <w:pPr>
              <w:pStyle w:val="17"/>
              <w:rPr>
                <w:rFonts w:cs="宋体"/>
                <w:b/>
                <w:kern w:val="0"/>
                <w:sz w:val="28"/>
                <w:szCs w:val="28"/>
              </w:rPr>
            </w:pPr>
          </w:p>
        </w:tc>
      </w:tr>
    </w:tbl>
    <w:p w14:paraId="4065A73D">
      <w:pPr>
        <w:rPr>
          <w:rFonts w:hint="eastAsia"/>
        </w:rPr>
        <w:sectPr>
          <w:pgSz w:w="16840" w:h="11907" w:orient="landscape"/>
          <w:pgMar w:top="1531" w:right="1701" w:bottom="1531" w:left="2127" w:header="851" w:footer="851" w:gutter="0"/>
          <w:pgBorders>
            <w:top w:val="none" w:sz="0" w:space="0"/>
            <w:left w:val="none" w:sz="0" w:space="0"/>
            <w:bottom w:val="none" w:sz="0" w:space="0"/>
            <w:right w:val="none" w:sz="0" w:space="0"/>
          </w:pgBorders>
          <w:pgNumType w:fmt="decimal"/>
          <w:cols w:space="720" w:num="1"/>
          <w:docGrid w:linePitch="312" w:charSpace="0"/>
        </w:sectPr>
      </w:pPr>
    </w:p>
    <w:tbl>
      <w:tblPr>
        <w:tblStyle w:val="27"/>
        <w:tblW w:w="898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27"/>
        <w:gridCol w:w="8554"/>
      </w:tblGrid>
      <w:tr w14:paraId="2E953E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7" w:type="dxa"/>
            <w:tcMar>
              <w:left w:w="28" w:type="dxa"/>
              <w:right w:w="28" w:type="dxa"/>
            </w:tcMar>
            <w:vAlign w:val="center"/>
          </w:tcPr>
          <w:p w14:paraId="0FAFA99C">
            <w:pPr>
              <w:adjustRightInd w:val="0"/>
              <w:snapToGrid w:val="0"/>
              <w:jc w:val="center"/>
              <w:rPr>
                <w:rFonts w:ascii="宋体" w:hAnsi="宋体" w:cs="宋体"/>
                <w:bCs/>
                <w:szCs w:val="21"/>
              </w:rPr>
            </w:pPr>
            <w:r>
              <w:rPr>
                <w:rFonts w:hint="eastAsia" w:ascii="宋体" w:hAnsi="宋体" w:cs="宋体"/>
                <w:bCs/>
                <w:szCs w:val="21"/>
              </w:rPr>
              <w:t>运营</w:t>
            </w:r>
          </w:p>
          <w:p w14:paraId="37EE54ED">
            <w:pPr>
              <w:adjustRightInd w:val="0"/>
              <w:snapToGrid w:val="0"/>
              <w:jc w:val="center"/>
              <w:rPr>
                <w:rFonts w:ascii="宋体" w:hAnsi="宋体" w:cs="宋体"/>
                <w:bCs/>
                <w:szCs w:val="21"/>
              </w:rPr>
            </w:pPr>
            <w:r>
              <w:rPr>
                <w:rFonts w:hint="eastAsia" w:ascii="宋体" w:hAnsi="宋体" w:cs="宋体"/>
                <w:bCs/>
                <w:szCs w:val="21"/>
              </w:rPr>
              <w:t>期环</w:t>
            </w:r>
          </w:p>
          <w:p w14:paraId="4BAB92C8">
            <w:pPr>
              <w:adjustRightInd w:val="0"/>
              <w:snapToGrid w:val="0"/>
              <w:jc w:val="center"/>
              <w:rPr>
                <w:rFonts w:ascii="宋体" w:hAnsi="宋体" w:cs="宋体"/>
                <w:bCs/>
                <w:szCs w:val="21"/>
              </w:rPr>
            </w:pPr>
            <w:r>
              <w:rPr>
                <w:rFonts w:hint="eastAsia" w:ascii="宋体" w:hAnsi="宋体" w:cs="宋体"/>
                <w:bCs/>
                <w:szCs w:val="21"/>
              </w:rPr>
              <w:t>境影</w:t>
            </w:r>
          </w:p>
          <w:p w14:paraId="62EAC4FC">
            <w:pPr>
              <w:adjustRightInd w:val="0"/>
              <w:snapToGrid w:val="0"/>
              <w:jc w:val="center"/>
              <w:rPr>
                <w:rFonts w:ascii="宋体" w:hAnsi="宋体" w:cs="宋体"/>
                <w:bCs/>
                <w:szCs w:val="21"/>
              </w:rPr>
            </w:pPr>
            <w:r>
              <w:rPr>
                <w:rFonts w:hint="eastAsia" w:ascii="宋体" w:hAnsi="宋体" w:cs="宋体"/>
                <w:bCs/>
                <w:szCs w:val="21"/>
              </w:rPr>
              <w:t>响和</w:t>
            </w:r>
          </w:p>
          <w:p w14:paraId="431B678F">
            <w:pPr>
              <w:adjustRightInd w:val="0"/>
              <w:snapToGrid w:val="0"/>
              <w:jc w:val="center"/>
              <w:rPr>
                <w:rFonts w:ascii="宋体" w:hAnsi="宋体" w:cs="宋体"/>
                <w:bCs/>
                <w:szCs w:val="21"/>
              </w:rPr>
            </w:pPr>
            <w:r>
              <w:rPr>
                <w:rFonts w:hint="eastAsia" w:ascii="宋体" w:hAnsi="宋体" w:cs="宋体"/>
                <w:bCs/>
                <w:szCs w:val="21"/>
              </w:rPr>
              <w:t>保护</w:t>
            </w:r>
          </w:p>
          <w:p w14:paraId="0C166596">
            <w:pPr>
              <w:adjustRightInd w:val="0"/>
              <w:snapToGrid w:val="0"/>
              <w:jc w:val="center"/>
              <w:rPr>
                <w:rFonts w:ascii="宋体" w:hAnsi="宋体" w:cs="宋体"/>
                <w:bCs/>
                <w:szCs w:val="21"/>
              </w:rPr>
            </w:pPr>
            <w:r>
              <w:rPr>
                <w:rFonts w:hint="eastAsia" w:ascii="宋体" w:hAnsi="宋体" w:cs="宋体"/>
                <w:bCs/>
                <w:szCs w:val="21"/>
              </w:rPr>
              <w:t>措施</w:t>
            </w:r>
          </w:p>
        </w:tc>
        <w:tc>
          <w:tcPr>
            <w:tcW w:w="8554" w:type="dxa"/>
            <w:vAlign w:val="center"/>
          </w:tcPr>
          <w:p w14:paraId="503AAA97">
            <w:pPr>
              <w:snapToGrid w:val="0"/>
              <w:spacing w:line="360" w:lineRule="auto"/>
              <w:ind w:firstLine="482" w:firstLineChars="200"/>
              <w:contextualSpacing/>
              <w:rPr>
                <w:rFonts w:hint="default" w:ascii="Times New Roman" w:hAnsi="Times New Roman" w:cs="Times New Roman"/>
                <w:b/>
                <w:color w:val="auto"/>
                <w:sz w:val="24"/>
              </w:rPr>
            </w:pPr>
            <w:r>
              <w:rPr>
                <w:rFonts w:hint="eastAsia" w:cs="Times New Roman"/>
                <w:b/>
                <w:color w:val="auto"/>
                <w:sz w:val="24"/>
                <w:lang w:val="en-US" w:eastAsia="zh-CN"/>
              </w:rPr>
              <w:t>2、</w:t>
            </w:r>
            <w:r>
              <w:rPr>
                <w:rFonts w:hint="default" w:ascii="Times New Roman" w:hAnsi="Times New Roman" w:cs="Times New Roman"/>
                <w:b/>
                <w:color w:val="auto"/>
                <w:sz w:val="24"/>
              </w:rPr>
              <w:t>污染源强核算过程</w:t>
            </w:r>
          </w:p>
          <w:p w14:paraId="69D71A2C">
            <w:pPr>
              <w:adjustRightInd w:val="0"/>
              <w:snapToGrid w:val="0"/>
              <w:spacing w:line="360" w:lineRule="auto"/>
              <w:ind w:firstLine="480" w:firstLineChars="200"/>
              <w:jc w:val="left"/>
              <w:rPr>
                <w:rFonts w:hint="default" w:ascii="Times New Roman" w:hAnsi="Times New Roman" w:cs="Times New Roman"/>
                <w:bCs/>
                <w:color w:val="auto"/>
                <w:sz w:val="24"/>
              </w:rPr>
            </w:pPr>
            <w:r>
              <w:rPr>
                <w:rFonts w:hint="default" w:ascii="Times New Roman" w:hAnsi="Times New Roman" w:cs="Times New Roman"/>
                <w:bCs/>
                <w:color w:val="auto"/>
                <w:sz w:val="24"/>
              </w:rPr>
              <w:t>（1）本</w:t>
            </w:r>
            <w:r>
              <w:rPr>
                <w:rFonts w:hint="eastAsia" w:cs="Times New Roman"/>
                <w:bCs/>
                <w:color w:val="auto"/>
                <w:sz w:val="24"/>
                <w:lang w:val="en-US" w:eastAsia="zh-CN"/>
              </w:rPr>
              <w:t>锅炉技改</w:t>
            </w:r>
            <w:r>
              <w:rPr>
                <w:rFonts w:hint="default" w:ascii="Times New Roman" w:hAnsi="Times New Roman" w:cs="Times New Roman"/>
                <w:bCs/>
                <w:color w:val="auto"/>
                <w:sz w:val="24"/>
              </w:rPr>
              <w:t>项目生产时</w:t>
            </w:r>
            <w:r>
              <w:rPr>
                <w:rFonts w:hint="eastAsia" w:ascii="Times New Roman" w:hAnsi="Times New Roman" w:cs="Times New Roman"/>
                <w:bCs/>
                <w:color w:val="auto"/>
                <w:sz w:val="24"/>
                <w:lang w:val="en-US" w:eastAsia="zh-CN"/>
              </w:rPr>
              <w:t>产生的</w:t>
            </w:r>
            <w:r>
              <w:rPr>
                <w:rFonts w:hint="default" w:ascii="Times New Roman" w:hAnsi="Times New Roman" w:cs="Times New Roman"/>
                <w:bCs/>
                <w:color w:val="auto"/>
                <w:sz w:val="24"/>
              </w:rPr>
              <w:t>废气为</w:t>
            </w:r>
            <w:r>
              <w:rPr>
                <w:rFonts w:hint="eastAsia" w:cs="Times New Roman"/>
                <w:bCs/>
                <w:color w:val="auto"/>
                <w:sz w:val="24"/>
                <w:lang w:val="en-US" w:eastAsia="zh-CN"/>
              </w:rPr>
              <w:t>锅炉烟气，</w:t>
            </w:r>
            <w:r>
              <w:rPr>
                <w:rFonts w:hint="default" w:ascii="Times New Roman" w:hAnsi="Times New Roman" w:cs="Times New Roman"/>
                <w:bCs/>
                <w:color w:val="auto"/>
                <w:sz w:val="24"/>
              </w:rPr>
              <w:t>具体如下：</w:t>
            </w:r>
          </w:p>
          <w:p w14:paraId="7850CDE2">
            <w:pPr>
              <w:pStyle w:val="41"/>
              <w:spacing w:before="0" w:after="0" w:line="360" w:lineRule="auto"/>
              <w:ind w:left="433" w:leftChars="202" w:hanging="9" w:hangingChars="4"/>
              <w:rPr>
                <w:rFonts w:hint="default" w:eastAsia="宋体"/>
                <w:color w:val="auto"/>
                <w:sz w:val="24"/>
                <w:szCs w:val="24"/>
                <w:lang w:val="en-US" w:eastAsia="zh-CN"/>
              </w:rPr>
            </w:pPr>
            <w:r>
              <w:rPr>
                <w:rFonts w:hint="eastAsia" w:eastAsia="宋体"/>
                <w:color w:val="auto"/>
                <w:sz w:val="24"/>
                <w:szCs w:val="24"/>
                <w:lang w:val="en-US" w:eastAsia="zh-CN"/>
              </w:rPr>
              <w:t>锅炉烟气</w:t>
            </w:r>
          </w:p>
          <w:p w14:paraId="3E006A30">
            <w:pPr>
              <w:pStyle w:val="9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jc w:val="both"/>
              <w:textAlignment w:val="auto"/>
              <w:rPr>
                <w:rFonts w:hint="eastAsia" w:eastAsia="宋体"/>
                <w:color w:val="FF0000"/>
                <w:sz w:val="24"/>
                <w:szCs w:val="24"/>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为了确保生产经营活动正常进行</w:t>
            </w:r>
            <w:r>
              <w:rPr>
                <w:rFonts w:hint="eastAsia" w:ascii="Times New Roman" w:hAnsi="Times New Roman" w:cs="Times New Roman"/>
                <w:color w:val="000000" w:themeColor="text1"/>
                <w:sz w:val="24"/>
                <w:szCs w:val="24"/>
                <w:lang w:val="en-US" w:eastAsia="zh-CN"/>
                <w14:textFill>
                  <w14:solidFill>
                    <w14:schemeClr w14:val="tx1"/>
                  </w14:solidFill>
                </w14:textFill>
              </w:rPr>
              <w:t>，</w:t>
            </w:r>
            <w:r>
              <w:rPr>
                <w:rFonts w:hint="eastAsia" w:cs="Times New Roman"/>
                <w:color w:val="auto"/>
                <w:sz w:val="24"/>
                <w:szCs w:val="24"/>
                <w:lang w:val="en-US" w:eastAsia="zh-CN" w:bidi="ar"/>
              </w:rPr>
              <w:t>本次锅炉技改项目新增一台</w:t>
            </w:r>
            <w:r>
              <w:rPr>
                <w:rFonts w:hint="eastAsia" w:ascii="Times New Roman" w:hAnsi="Times New Roman" w:eastAsia="宋体" w:cs="Times New Roman"/>
                <w:color w:val="auto"/>
                <w:sz w:val="24"/>
                <w:szCs w:val="24"/>
                <w:lang w:val="en-US" w:eastAsia="zh-CN"/>
              </w:rPr>
              <w:t>6t/h生物质锅炉</w:t>
            </w:r>
            <w:r>
              <w:rPr>
                <w:rFonts w:hint="eastAsia" w:cs="Times New Roman"/>
                <w:color w:val="auto"/>
                <w:sz w:val="24"/>
                <w:szCs w:val="24"/>
                <w:lang w:val="en-US" w:eastAsia="zh-CN"/>
              </w:rPr>
              <w:t>为现有项目供热，并配套相应烟气处理设施，</w:t>
            </w:r>
            <w:r>
              <w:rPr>
                <w:rFonts w:hint="eastAsia" w:cs="Times New Roman"/>
                <w:color w:val="auto"/>
                <w:sz w:val="24"/>
                <w:szCs w:val="24"/>
                <w:lang w:val="en-US" w:eastAsia="zh-CN" w:bidi="ar"/>
              </w:rPr>
              <w:t>原有的一台</w:t>
            </w:r>
            <w:r>
              <w:rPr>
                <w:rFonts w:hint="eastAsia" w:ascii="Times New Roman" w:hAnsi="Times New Roman" w:eastAsia="宋体" w:cs="Times New Roman"/>
                <w:color w:val="auto"/>
                <w:sz w:val="24"/>
                <w:szCs w:val="24"/>
                <w:lang w:val="en-US" w:eastAsia="zh-CN"/>
              </w:rPr>
              <w:t>6t/h生物质锅炉</w:t>
            </w:r>
            <w:r>
              <w:rPr>
                <w:rFonts w:hint="eastAsia" w:cs="Times New Roman"/>
                <w:color w:val="auto"/>
                <w:sz w:val="24"/>
                <w:szCs w:val="24"/>
                <w:lang w:val="en-US" w:eastAsia="zh-CN"/>
              </w:rPr>
              <w:t>作为备用锅炉使用，锅炉生物质燃料不发生变化，为</w:t>
            </w:r>
            <w:r>
              <w:rPr>
                <w:rFonts w:hint="eastAsia"/>
                <w:b w:val="0"/>
                <w:bCs w:val="0"/>
                <w:color w:val="auto"/>
                <w:sz w:val="24"/>
                <w:szCs w:val="24"/>
                <w:lang w:val="en-US" w:eastAsia="zh-CN"/>
              </w:rPr>
              <w:t>4500t/a，</w:t>
            </w:r>
            <w:r>
              <w:rPr>
                <w:rFonts w:hint="eastAsia" w:cs="Times New Roman"/>
                <w:color w:val="auto"/>
                <w:sz w:val="24"/>
                <w:szCs w:val="24"/>
                <w:lang w:val="en-US" w:eastAsia="zh-CN"/>
              </w:rPr>
              <w:t>新增</w:t>
            </w:r>
            <w:r>
              <w:rPr>
                <w:rFonts w:hint="eastAsia"/>
                <w:b w:val="0"/>
                <w:bCs w:val="0"/>
                <w:color w:val="auto"/>
                <w:sz w:val="24"/>
                <w:szCs w:val="24"/>
                <w:lang w:val="en-US" w:eastAsia="zh-CN"/>
              </w:rPr>
              <w:t>锅炉年运行时长按4650h/a计</w:t>
            </w:r>
            <w:r>
              <w:rPr>
                <w:rFonts w:hint="eastAsia" w:eastAsia="宋体"/>
                <w:b w:val="0"/>
                <w:bCs w:val="0"/>
                <w:color w:val="auto"/>
                <w:sz w:val="24"/>
                <w:szCs w:val="24"/>
                <w:highlight w:val="none"/>
                <w:lang w:val="en-US" w:eastAsia="zh-CN"/>
              </w:rPr>
              <w:t>。</w:t>
            </w:r>
            <w:r>
              <w:rPr>
                <w:rFonts w:hint="eastAsia" w:eastAsia="宋体"/>
                <w:b w:val="0"/>
                <w:bCs w:val="0"/>
                <w:color w:val="auto"/>
                <w:sz w:val="24"/>
                <w:szCs w:val="24"/>
                <w:lang w:val="en-US" w:eastAsia="zh-CN"/>
              </w:rPr>
              <w:t>根据</w:t>
            </w:r>
            <w:r>
              <w:rPr>
                <w:rFonts w:hint="default" w:ascii="Times New Roman" w:hAnsi="Times New Roman" w:eastAsia="宋体" w:cs="Times New Roman"/>
                <w:b w:val="0"/>
                <w:bCs w:val="0"/>
                <w:color w:val="000000"/>
                <w:sz w:val="24"/>
                <w:lang w:val="en-US" w:eastAsia="zh-CN"/>
              </w:rPr>
              <w:t>《排放源统计调查产排污核算方法和系数手册</w:t>
            </w:r>
            <w:r>
              <w:rPr>
                <w:rFonts w:hint="default" w:ascii="Times New Roman" w:hAnsi="Times New Roman" w:eastAsia="宋体" w:cs="Times New Roman"/>
                <w:b w:val="0"/>
                <w:bCs w:val="0"/>
                <w:color w:val="auto"/>
                <w:kern w:val="2"/>
                <w:sz w:val="24"/>
                <w:szCs w:val="24"/>
              </w:rPr>
              <w:t>—</w:t>
            </w:r>
            <w:r>
              <w:rPr>
                <w:rFonts w:hint="eastAsia" w:ascii="Times New Roman" w:hAnsi="Times New Roman" w:eastAsia="宋体" w:cs="Times New Roman"/>
                <w:b w:val="0"/>
                <w:bCs w:val="0"/>
                <w:color w:val="auto"/>
                <w:kern w:val="2"/>
                <w:sz w:val="24"/>
                <w:szCs w:val="24"/>
                <w:lang w:val="en-US" w:eastAsia="zh-CN"/>
              </w:rPr>
              <w:t xml:space="preserve">4430 </w:t>
            </w:r>
            <w:r>
              <w:rPr>
                <w:rFonts w:hint="default" w:ascii="Times New Roman" w:hAnsi="Times New Roman" w:eastAsia="宋体" w:cs="Times New Roman"/>
                <w:b w:val="0"/>
                <w:bCs w:val="0"/>
                <w:color w:val="auto"/>
                <w:kern w:val="2"/>
                <w:sz w:val="24"/>
                <w:szCs w:val="24"/>
              </w:rPr>
              <w:t>工业锅炉</w:t>
            </w:r>
            <w:r>
              <w:rPr>
                <w:rFonts w:hint="eastAsia" w:cs="Times New Roman"/>
                <w:b w:val="0"/>
                <w:bCs w:val="0"/>
                <w:color w:val="auto"/>
                <w:kern w:val="2"/>
                <w:sz w:val="24"/>
                <w:szCs w:val="24"/>
                <w:lang w:eastAsia="zh-CN"/>
              </w:rPr>
              <w:t>（</w:t>
            </w:r>
            <w:r>
              <w:rPr>
                <w:rFonts w:hint="default" w:ascii="Times New Roman" w:hAnsi="Times New Roman" w:eastAsia="宋体" w:cs="Times New Roman"/>
                <w:b w:val="0"/>
                <w:bCs w:val="0"/>
                <w:color w:val="auto"/>
                <w:kern w:val="2"/>
                <w:sz w:val="24"/>
                <w:szCs w:val="24"/>
              </w:rPr>
              <w:t>热力供应</w:t>
            </w:r>
            <w:r>
              <w:rPr>
                <w:rFonts w:hint="eastAsia" w:cs="Times New Roman"/>
                <w:b w:val="0"/>
                <w:bCs w:val="0"/>
                <w:color w:val="auto"/>
                <w:kern w:val="2"/>
                <w:sz w:val="24"/>
                <w:szCs w:val="24"/>
                <w:lang w:eastAsia="zh-CN"/>
              </w:rPr>
              <w:t>）</w:t>
            </w:r>
            <w:r>
              <w:rPr>
                <w:rFonts w:hint="default" w:ascii="Times New Roman" w:hAnsi="Times New Roman" w:eastAsia="宋体" w:cs="Times New Roman"/>
                <w:b w:val="0"/>
                <w:bCs w:val="0"/>
                <w:color w:val="auto"/>
                <w:kern w:val="2"/>
                <w:sz w:val="24"/>
                <w:szCs w:val="24"/>
              </w:rPr>
              <w:t>行业系数手册</w:t>
            </w:r>
            <w:r>
              <w:rPr>
                <w:rFonts w:hint="default" w:ascii="Times New Roman" w:hAnsi="Times New Roman" w:eastAsia="宋体" w:cs="Times New Roman"/>
                <w:b w:val="0"/>
                <w:bCs w:val="0"/>
                <w:color w:val="000000"/>
                <w:sz w:val="24"/>
                <w:lang w:val="en-US" w:eastAsia="zh-CN"/>
              </w:rPr>
              <w:t>》中（4430 工业锅炉</w:t>
            </w:r>
            <w:r>
              <w:rPr>
                <w:rFonts w:hint="eastAsia" w:cs="Times New Roman"/>
                <w:b w:val="0"/>
                <w:bCs w:val="0"/>
                <w:color w:val="000000"/>
                <w:sz w:val="24"/>
                <w:lang w:val="en-US" w:eastAsia="zh-CN"/>
              </w:rPr>
              <w:t>（</w:t>
            </w:r>
            <w:r>
              <w:rPr>
                <w:rFonts w:hint="default" w:ascii="Times New Roman" w:hAnsi="Times New Roman" w:eastAsia="宋体" w:cs="Times New Roman"/>
                <w:b w:val="0"/>
                <w:bCs w:val="0"/>
                <w:color w:val="000000"/>
                <w:sz w:val="24"/>
                <w:lang w:val="en-US" w:eastAsia="zh-CN"/>
              </w:rPr>
              <w:t>热力生产和供应行业</w:t>
            </w:r>
            <w:r>
              <w:rPr>
                <w:rFonts w:hint="eastAsia" w:cs="Times New Roman"/>
                <w:b w:val="0"/>
                <w:bCs w:val="0"/>
                <w:color w:val="000000"/>
                <w:sz w:val="24"/>
                <w:lang w:val="en-US" w:eastAsia="zh-CN"/>
              </w:rPr>
              <w:t>）</w:t>
            </w:r>
            <w:r>
              <w:rPr>
                <w:rFonts w:hint="default" w:ascii="Times New Roman" w:hAnsi="Times New Roman" w:eastAsia="宋体" w:cs="Times New Roman"/>
                <w:b w:val="0"/>
                <w:bCs w:val="0"/>
                <w:color w:val="000000"/>
                <w:sz w:val="24"/>
                <w:lang w:val="en-US" w:eastAsia="zh-CN"/>
              </w:rPr>
              <w:t>产污系数表-生物质工</w:t>
            </w:r>
            <w:r>
              <w:rPr>
                <w:rFonts w:hint="default" w:ascii="Times New Roman" w:hAnsi="Times New Roman" w:eastAsia="宋体" w:cs="Times New Roman"/>
                <w:b w:val="0"/>
                <w:bCs w:val="0"/>
                <w:color w:val="auto"/>
                <w:sz w:val="24"/>
                <w:lang w:val="en-US" w:eastAsia="zh-CN"/>
              </w:rPr>
              <w:t>业锅炉）</w:t>
            </w:r>
            <w:r>
              <w:rPr>
                <w:rFonts w:hint="eastAsia" w:ascii="Times New Roman" w:hAnsi="Times New Roman" w:eastAsia="宋体" w:cs="Times New Roman"/>
                <w:b w:val="0"/>
                <w:bCs w:val="0"/>
                <w:color w:val="auto"/>
                <w:sz w:val="24"/>
                <w:lang w:val="en-US" w:eastAsia="zh-CN"/>
              </w:rPr>
              <w:t>，</w:t>
            </w:r>
            <w:r>
              <w:rPr>
                <w:rFonts w:hint="eastAsia" w:cs="Times New Roman"/>
                <w:b w:val="0"/>
                <w:bCs w:val="0"/>
                <w:color w:val="auto"/>
                <w:sz w:val="24"/>
                <w:lang w:val="en-US" w:eastAsia="zh-CN"/>
              </w:rPr>
              <w:t>工业废气量产物系数为6240/标立方米/吨-原料、</w:t>
            </w:r>
            <w:r>
              <w:rPr>
                <w:rFonts w:hint="eastAsia" w:ascii="Times New Roman" w:hAnsi="Times New Roman" w:eastAsia="宋体" w:cs="Times New Roman"/>
                <w:b w:val="0"/>
                <w:bCs w:val="0"/>
                <w:color w:val="auto"/>
                <w:sz w:val="24"/>
                <w:lang w:val="en-US" w:eastAsia="zh-CN"/>
              </w:rPr>
              <w:t>颗粒物的产生系</w:t>
            </w:r>
            <w:r>
              <w:rPr>
                <w:rFonts w:hint="eastAsia" w:ascii="Times New Roman" w:hAnsi="Times New Roman" w:eastAsia="宋体" w:cs="Times New Roman"/>
                <w:b w:val="0"/>
                <w:bCs w:val="0"/>
                <w:color w:val="auto"/>
                <w:sz w:val="24"/>
                <w:highlight w:val="none"/>
                <w:lang w:val="en-US" w:eastAsia="zh-CN"/>
              </w:rPr>
              <w:t>数为</w:t>
            </w:r>
            <w:r>
              <w:rPr>
                <w:rFonts w:hint="eastAsia" w:cs="Times New Roman"/>
                <w:b w:val="0"/>
                <w:bCs w:val="0"/>
                <w:color w:val="auto"/>
                <w:sz w:val="24"/>
                <w:highlight w:val="none"/>
                <w:lang w:val="en-US" w:eastAsia="zh-CN"/>
              </w:rPr>
              <w:t>37.6</w:t>
            </w:r>
            <w:r>
              <w:rPr>
                <w:rFonts w:hint="eastAsia" w:ascii="Times New Roman" w:hAnsi="Times New Roman" w:eastAsia="宋体" w:cs="Times New Roman"/>
                <w:b w:val="0"/>
                <w:bCs w:val="0"/>
                <w:color w:val="auto"/>
                <w:sz w:val="24"/>
                <w:highlight w:val="none"/>
                <w:lang w:val="en-US" w:eastAsia="zh-CN"/>
              </w:rPr>
              <w:t>kg/吨-原料</w:t>
            </w:r>
            <w:r>
              <w:rPr>
                <w:rFonts w:hint="eastAsia" w:ascii="Times New Roman" w:hAnsi="Times New Roman" w:eastAsia="宋体" w:cs="Times New Roman"/>
                <w:b w:val="0"/>
                <w:bCs w:val="0"/>
                <w:color w:val="auto"/>
                <w:sz w:val="24"/>
                <w:lang w:val="en-US" w:eastAsia="zh-CN"/>
              </w:rPr>
              <w:t>、SO</w:t>
            </w:r>
            <w:r>
              <w:rPr>
                <w:rFonts w:hint="eastAsia" w:ascii="Times New Roman" w:hAnsi="Times New Roman" w:eastAsia="宋体" w:cs="Times New Roman"/>
                <w:b w:val="0"/>
                <w:bCs w:val="0"/>
                <w:color w:val="auto"/>
                <w:sz w:val="24"/>
                <w:vertAlign w:val="subscript"/>
                <w:lang w:val="en-US" w:eastAsia="zh-CN"/>
              </w:rPr>
              <w:t>2</w:t>
            </w:r>
            <w:r>
              <w:rPr>
                <w:rFonts w:hint="eastAsia" w:ascii="Times New Roman" w:hAnsi="Times New Roman" w:eastAsia="宋体" w:cs="Times New Roman"/>
                <w:b w:val="0"/>
                <w:bCs w:val="0"/>
                <w:color w:val="auto"/>
                <w:sz w:val="24"/>
                <w:vertAlign w:val="baseline"/>
                <w:lang w:val="en-US" w:eastAsia="zh-CN"/>
              </w:rPr>
              <w:t>的产生系数</w:t>
            </w:r>
            <w:r>
              <w:rPr>
                <w:rFonts w:hint="default" w:ascii="Times New Roman" w:hAnsi="Times New Roman" w:eastAsia="宋体" w:cs="Times New Roman"/>
                <w:b w:val="0"/>
                <w:bCs w:val="0"/>
                <w:color w:val="auto"/>
                <w:sz w:val="24"/>
                <w:vertAlign w:val="baseline"/>
                <w:lang w:val="en-US" w:eastAsia="zh-CN"/>
              </w:rPr>
              <w:t>为</w:t>
            </w:r>
            <w:r>
              <w:rPr>
                <w:rFonts w:hint="default" w:ascii="Times New Roman" w:hAnsi="Times New Roman" w:eastAsia="宋体" w:cs="Times New Roman"/>
                <w:b w:val="0"/>
                <w:bCs w:val="0"/>
                <w:color w:val="auto"/>
                <w:sz w:val="24"/>
                <w:lang w:val="en-US" w:eastAsia="zh-CN"/>
              </w:rPr>
              <w:t>17Skg/吨-原料（</w:t>
            </w:r>
            <w:r>
              <w:rPr>
                <w:rFonts w:hint="default" w:ascii="Times New Roman" w:hAnsi="Times New Roman" w:cs="Times New Roman"/>
                <w:bCs/>
                <w:color w:val="auto"/>
                <w:sz w:val="24"/>
                <w:lang w:val="en-US" w:eastAsia="zh-CN"/>
              </w:rPr>
              <w:t>二氧化疏的产污系数是以含硫量(S%)的形式表示的，其中含硫量(S%)是指生物质收到基硫分含量，以质量百分数的形式表示。例如生物质中含硫量(S%)为0.1%，则S=0.1</w:t>
            </w:r>
            <w:r>
              <w:rPr>
                <w:rFonts w:hint="eastAsia" w:ascii="Times New Roman" w:hAnsi="Times New Roman" w:cs="Times New Roman"/>
                <w:bCs/>
                <w:color w:val="auto"/>
                <w:sz w:val="24"/>
                <w:lang w:val="en-US" w:eastAsia="zh-CN"/>
              </w:rPr>
              <w:t>。</w:t>
            </w:r>
            <w:r>
              <w:rPr>
                <w:rFonts w:hint="eastAsia" w:cs="Times New Roman"/>
                <w:bCs/>
                <w:color w:val="auto"/>
                <w:sz w:val="24"/>
                <w:lang w:val="en-US" w:eastAsia="zh-CN"/>
              </w:rPr>
              <w:t>根据</w:t>
            </w:r>
            <w:r>
              <w:rPr>
                <w:rFonts w:hint="eastAsia" w:ascii="Times New Roman" w:hAnsi="Times New Roman" w:cs="Times New Roman"/>
                <w:bCs/>
                <w:color w:val="auto"/>
                <w:sz w:val="24"/>
                <w:lang w:val="en-US" w:eastAsia="zh-CN"/>
              </w:rPr>
              <w:t>本项目生物质燃料检验报告</w:t>
            </w:r>
            <w:r>
              <w:rPr>
                <w:rFonts w:hint="default" w:ascii="Times New Roman" w:hAnsi="Times New Roman" w:cs="Times New Roman"/>
                <w:color w:val="auto"/>
                <w:sz w:val="24"/>
              </w:rPr>
              <w:t>单可知，含硫量取值为0.0</w:t>
            </w:r>
            <w:r>
              <w:rPr>
                <w:rFonts w:hint="eastAsia" w:cs="Times New Roman"/>
                <w:color w:val="auto"/>
                <w:sz w:val="24"/>
                <w:lang w:val="en-US" w:eastAsia="zh-CN"/>
              </w:rPr>
              <w:t>1</w:t>
            </w:r>
            <w:r>
              <w:rPr>
                <w:rFonts w:hint="default" w:ascii="Times New Roman" w:hAnsi="Times New Roman" w:cs="Times New Roman"/>
                <w:color w:val="auto"/>
                <w:sz w:val="24"/>
              </w:rPr>
              <w:t>%，即S为0.0</w:t>
            </w:r>
            <w:r>
              <w:rPr>
                <w:rFonts w:hint="eastAsia" w:cs="Times New Roman"/>
                <w:color w:val="auto"/>
                <w:sz w:val="24"/>
                <w:lang w:val="en-US" w:eastAsia="zh-CN"/>
              </w:rPr>
              <w:t>1</w:t>
            </w:r>
            <w:r>
              <w:rPr>
                <w:rFonts w:hint="default" w:ascii="Times New Roman" w:hAnsi="Times New Roman" w:eastAsia="宋体" w:cs="Times New Roman"/>
                <w:b w:val="0"/>
                <w:bCs w:val="0"/>
                <w:color w:val="auto"/>
                <w:sz w:val="24"/>
                <w:lang w:val="en-US" w:eastAsia="zh-CN"/>
              </w:rPr>
              <w:t>）、NO</w:t>
            </w:r>
            <w:r>
              <w:rPr>
                <w:rFonts w:hint="default" w:ascii="Times New Roman" w:hAnsi="Times New Roman" w:eastAsia="宋体" w:cs="Times New Roman"/>
                <w:b w:val="0"/>
                <w:bCs w:val="0"/>
                <w:color w:val="auto"/>
                <w:sz w:val="24"/>
                <w:vertAlign w:val="subscript"/>
                <w:lang w:val="en-US" w:eastAsia="zh-CN"/>
              </w:rPr>
              <w:t>X</w:t>
            </w:r>
            <w:r>
              <w:rPr>
                <w:rFonts w:hint="default" w:ascii="Times New Roman" w:hAnsi="Times New Roman" w:eastAsia="宋体" w:cs="Times New Roman"/>
                <w:b w:val="0"/>
                <w:bCs w:val="0"/>
                <w:color w:val="auto"/>
                <w:sz w:val="24"/>
                <w:lang w:val="en-US" w:eastAsia="zh-CN"/>
              </w:rPr>
              <w:t>产污系数为1.02kg/吨-原料</w:t>
            </w:r>
            <w:r>
              <w:rPr>
                <w:rFonts w:hint="eastAsia" w:ascii="Times New Roman" w:hAnsi="Times New Roman" w:eastAsia="宋体" w:cs="Times New Roman"/>
                <w:b w:val="0"/>
                <w:bCs w:val="0"/>
                <w:color w:val="auto"/>
                <w:sz w:val="24"/>
                <w:lang w:val="en-US" w:eastAsia="zh-CN"/>
              </w:rPr>
              <w:t>，</w:t>
            </w:r>
            <w:r>
              <w:rPr>
                <w:rFonts w:hint="eastAsia" w:cs="Times New Roman"/>
                <w:b w:val="0"/>
                <w:bCs w:val="0"/>
                <w:color w:val="auto"/>
                <w:sz w:val="24"/>
                <w:lang w:val="en-US" w:eastAsia="zh-CN"/>
              </w:rPr>
              <w:t>废气产生量为28080000m</w:t>
            </w:r>
            <w:r>
              <w:rPr>
                <w:rFonts w:hint="eastAsia" w:cs="Times New Roman"/>
                <w:b w:val="0"/>
                <w:bCs w:val="0"/>
                <w:color w:val="auto"/>
                <w:sz w:val="24"/>
                <w:vertAlign w:val="superscript"/>
                <w:lang w:val="en-US" w:eastAsia="zh-CN"/>
              </w:rPr>
              <w:t>3</w:t>
            </w:r>
            <w:r>
              <w:rPr>
                <w:rFonts w:hint="eastAsia" w:cs="Times New Roman"/>
                <w:b w:val="0"/>
                <w:bCs w:val="0"/>
                <w:color w:val="auto"/>
                <w:sz w:val="24"/>
                <w:lang w:val="en-US" w:eastAsia="zh-CN"/>
              </w:rPr>
              <w:t>/a（6039m</w:t>
            </w:r>
            <w:r>
              <w:rPr>
                <w:rFonts w:hint="eastAsia" w:cs="Times New Roman"/>
                <w:b w:val="0"/>
                <w:bCs w:val="0"/>
                <w:color w:val="auto"/>
                <w:sz w:val="24"/>
                <w:vertAlign w:val="superscript"/>
                <w:lang w:val="en-US" w:eastAsia="zh-CN"/>
              </w:rPr>
              <w:t>3</w:t>
            </w:r>
            <w:r>
              <w:rPr>
                <w:rFonts w:hint="eastAsia" w:cs="Times New Roman"/>
                <w:b w:val="0"/>
                <w:bCs w:val="0"/>
                <w:color w:val="auto"/>
                <w:sz w:val="24"/>
                <w:lang w:val="en-US" w:eastAsia="zh-CN"/>
              </w:rPr>
              <w:t>/h）、</w:t>
            </w:r>
            <w:r>
              <w:rPr>
                <w:rFonts w:hint="eastAsia" w:ascii="Times New Roman" w:hAnsi="Times New Roman" w:eastAsia="宋体" w:cs="Times New Roman"/>
                <w:b w:val="0"/>
                <w:bCs w:val="0"/>
                <w:color w:val="auto"/>
                <w:sz w:val="24"/>
                <w:lang w:val="en-US" w:eastAsia="zh-CN"/>
              </w:rPr>
              <w:t>颗粒物</w:t>
            </w:r>
            <w:r>
              <w:rPr>
                <w:rFonts w:hint="default" w:ascii="Times New Roman" w:hAnsi="Times New Roman" w:eastAsia="宋体" w:cs="Times New Roman"/>
                <w:b w:val="0"/>
                <w:bCs w:val="0"/>
                <w:color w:val="auto"/>
                <w:sz w:val="24"/>
                <w:lang w:val="en-US" w:eastAsia="zh-CN"/>
              </w:rPr>
              <w:t>产生量为</w:t>
            </w:r>
            <w:r>
              <w:rPr>
                <w:rFonts w:hint="eastAsia" w:cs="Times New Roman"/>
                <w:b w:val="0"/>
                <w:bCs w:val="0"/>
                <w:color w:val="auto"/>
                <w:sz w:val="24"/>
                <w:lang w:val="en-US" w:eastAsia="zh-CN"/>
              </w:rPr>
              <w:t>169.2</w:t>
            </w:r>
            <w:r>
              <w:rPr>
                <w:rFonts w:hint="default" w:ascii="Times New Roman" w:hAnsi="Times New Roman" w:eastAsia="宋体" w:cs="Times New Roman"/>
                <w:b w:val="0"/>
                <w:bCs w:val="0"/>
                <w:color w:val="auto"/>
                <w:sz w:val="24"/>
                <w:lang w:val="en-US" w:eastAsia="zh-CN"/>
              </w:rPr>
              <w:t>t/a、产生速率为</w:t>
            </w:r>
            <w:r>
              <w:rPr>
                <w:rFonts w:hint="eastAsia" w:cs="Times New Roman"/>
                <w:b w:val="0"/>
                <w:bCs w:val="0"/>
                <w:color w:val="auto"/>
                <w:sz w:val="24"/>
                <w:lang w:val="en-US" w:eastAsia="zh-CN"/>
              </w:rPr>
              <w:t>36.387</w:t>
            </w:r>
            <w:r>
              <w:rPr>
                <w:rFonts w:hint="default" w:ascii="Times New Roman" w:hAnsi="Times New Roman" w:cs="Times New Roman"/>
                <w:b w:val="0"/>
                <w:bCs w:val="0"/>
                <w:color w:val="auto"/>
                <w:sz w:val="24"/>
                <w:lang w:val="en-US" w:eastAsia="zh-CN"/>
              </w:rPr>
              <w:t>kg/</w:t>
            </w:r>
            <w:r>
              <w:rPr>
                <w:rFonts w:hint="default" w:ascii="Times New Roman" w:hAnsi="Times New Roman" w:eastAsia="宋体" w:cs="Times New Roman"/>
                <w:b w:val="0"/>
                <w:bCs w:val="0"/>
                <w:color w:val="auto"/>
                <w:sz w:val="24"/>
                <w:lang w:val="en-US" w:eastAsia="zh-CN"/>
              </w:rPr>
              <w:t>h；SO</w:t>
            </w:r>
            <w:r>
              <w:rPr>
                <w:rFonts w:hint="default" w:ascii="Times New Roman" w:hAnsi="Times New Roman" w:eastAsia="宋体" w:cs="Times New Roman"/>
                <w:b w:val="0"/>
                <w:bCs w:val="0"/>
                <w:color w:val="auto"/>
                <w:sz w:val="24"/>
                <w:vertAlign w:val="subscript"/>
                <w:lang w:val="en-US" w:eastAsia="zh-CN"/>
              </w:rPr>
              <w:t>2</w:t>
            </w:r>
            <w:r>
              <w:rPr>
                <w:rFonts w:hint="default" w:ascii="Times New Roman" w:hAnsi="Times New Roman" w:eastAsia="宋体" w:cs="Times New Roman"/>
                <w:b w:val="0"/>
                <w:bCs w:val="0"/>
                <w:color w:val="auto"/>
                <w:sz w:val="24"/>
                <w:vertAlign w:val="baseline"/>
                <w:lang w:val="en-US" w:eastAsia="zh-CN"/>
              </w:rPr>
              <w:t>产生量为</w:t>
            </w:r>
            <w:r>
              <w:rPr>
                <w:rFonts w:hint="eastAsia" w:cs="Times New Roman"/>
                <w:b w:val="0"/>
                <w:bCs w:val="0"/>
                <w:color w:val="auto"/>
                <w:sz w:val="24"/>
                <w:vertAlign w:val="baseline"/>
                <w:lang w:val="en-US" w:eastAsia="zh-CN"/>
              </w:rPr>
              <w:t>0.765</w:t>
            </w:r>
            <w:r>
              <w:rPr>
                <w:rFonts w:hint="default" w:ascii="Times New Roman" w:hAnsi="Times New Roman" w:eastAsia="宋体" w:cs="Times New Roman"/>
                <w:b w:val="0"/>
                <w:bCs w:val="0"/>
                <w:color w:val="auto"/>
                <w:sz w:val="24"/>
                <w:vertAlign w:val="baseline"/>
                <w:lang w:val="en-US" w:eastAsia="zh-CN"/>
              </w:rPr>
              <w:t>t/a、产生速率为</w:t>
            </w:r>
            <w:r>
              <w:rPr>
                <w:rFonts w:hint="eastAsia" w:cs="Times New Roman"/>
                <w:b w:val="0"/>
                <w:bCs w:val="0"/>
                <w:color w:val="auto"/>
                <w:sz w:val="24"/>
                <w:vertAlign w:val="baseline"/>
                <w:lang w:val="en-US" w:eastAsia="zh-CN"/>
              </w:rPr>
              <w:t>0.165</w:t>
            </w:r>
            <w:r>
              <w:rPr>
                <w:rFonts w:hint="default" w:ascii="Times New Roman" w:hAnsi="Times New Roman" w:eastAsia="宋体" w:cs="Times New Roman"/>
                <w:b w:val="0"/>
                <w:bCs w:val="0"/>
                <w:color w:val="auto"/>
                <w:sz w:val="24"/>
                <w:lang w:val="en-US" w:eastAsia="zh-CN"/>
              </w:rPr>
              <w:t>kg/h；NO</w:t>
            </w:r>
            <w:r>
              <w:rPr>
                <w:rFonts w:hint="default" w:ascii="Times New Roman" w:hAnsi="Times New Roman" w:eastAsia="宋体" w:cs="Times New Roman"/>
                <w:b w:val="0"/>
                <w:bCs w:val="0"/>
                <w:color w:val="auto"/>
                <w:sz w:val="24"/>
                <w:vertAlign w:val="subscript"/>
                <w:lang w:val="en-US" w:eastAsia="zh-CN"/>
              </w:rPr>
              <w:t>X</w:t>
            </w:r>
            <w:r>
              <w:rPr>
                <w:rFonts w:hint="default" w:ascii="Times New Roman" w:hAnsi="Times New Roman" w:eastAsia="宋体" w:cs="Times New Roman"/>
                <w:b w:val="0"/>
                <w:bCs w:val="0"/>
                <w:color w:val="auto"/>
                <w:sz w:val="24"/>
                <w:vertAlign w:val="baseline"/>
                <w:lang w:val="en-US" w:eastAsia="zh-CN"/>
              </w:rPr>
              <w:t>产生量为</w:t>
            </w:r>
            <w:r>
              <w:rPr>
                <w:rFonts w:hint="eastAsia" w:cs="Times New Roman"/>
                <w:b w:val="0"/>
                <w:bCs w:val="0"/>
                <w:color w:val="auto"/>
                <w:sz w:val="24"/>
                <w:vertAlign w:val="baseline"/>
                <w:lang w:val="en-US" w:eastAsia="zh-CN"/>
              </w:rPr>
              <w:t>4.59</w:t>
            </w:r>
            <w:r>
              <w:rPr>
                <w:rFonts w:hint="default" w:ascii="Times New Roman" w:hAnsi="Times New Roman" w:eastAsia="宋体" w:cs="Times New Roman"/>
                <w:b w:val="0"/>
                <w:bCs w:val="0"/>
                <w:color w:val="auto"/>
                <w:sz w:val="24"/>
                <w:vertAlign w:val="baseline"/>
                <w:lang w:val="en-US" w:eastAsia="zh-CN"/>
              </w:rPr>
              <w:t>t/a、产生速</w:t>
            </w:r>
            <w:r>
              <w:rPr>
                <w:rFonts w:hint="default" w:ascii="Times New Roman" w:hAnsi="Times New Roman" w:eastAsia="宋体" w:cs="Times New Roman"/>
                <w:b w:val="0"/>
                <w:bCs w:val="0"/>
                <w:color w:val="000000"/>
                <w:sz w:val="24"/>
                <w:vertAlign w:val="baseline"/>
                <w:lang w:val="en-US" w:eastAsia="zh-CN"/>
              </w:rPr>
              <w:t>率为</w:t>
            </w:r>
            <w:r>
              <w:rPr>
                <w:rFonts w:hint="eastAsia" w:cs="Times New Roman"/>
                <w:b w:val="0"/>
                <w:bCs w:val="0"/>
                <w:color w:val="000000"/>
                <w:sz w:val="24"/>
                <w:vertAlign w:val="baseline"/>
                <w:lang w:val="en-US" w:eastAsia="zh-CN"/>
              </w:rPr>
              <w:t>0.987</w:t>
            </w:r>
            <w:r>
              <w:rPr>
                <w:rFonts w:hint="default" w:ascii="Times New Roman" w:hAnsi="Times New Roman" w:eastAsia="宋体" w:cs="Times New Roman"/>
                <w:b w:val="0"/>
                <w:bCs w:val="0"/>
                <w:color w:val="000000"/>
                <w:sz w:val="24"/>
                <w:lang w:val="en-US" w:eastAsia="zh-CN"/>
              </w:rPr>
              <w:t>kg/h。</w:t>
            </w:r>
            <w:r>
              <w:rPr>
                <w:rFonts w:hint="eastAsia" w:cs="Times New Roman"/>
                <w:b w:val="0"/>
                <w:bCs w:val="0"/>
                <w:color w:val="000000"/>
                <w:sz w:val="24"/>
                <w:lang w:val="en-US" w:eastAsia="zh-CN"/>
              </w:rPr>
              <w:t>锅炉烟气</w:t>
            </w:r>
            <w:r>
              <w:rPr>
                <w:rFonts w:hint="default" w:ascii="Times New Roman" w:hAnsi="Times New Roman" w:eastAsia="宋体" w:cs="Times New Roman"/>
                <w:b w:val="0"/>
                <w:bCs w:val="0"/>
                <w:color w:val="000000"/>
                <w:sz w:val="24"/>
                <w:lang w:val="en-US" w:eastAsia="zh-CN"/>
              </w:rPr>
              <w:t>收集效率</w:t>
            </w:r>
            <w:r>
              <w:rPr>
                <w:rFonts w:hint="eastAsia" w:cs="Times New Roman"/>
                <w:b w:val="0"/>
                <w:bCs w:val="0"/>
                <w:color w:val="000000"/>
                <w:sz w:val="24"/>
                <w:lang w:val="en-US" w:eastAsia="zh-CN"/>
              </w:rPr>
              <w:t>按</w:t>
            </w:r>
            <w:r>
              <w:rPr>
                <w:rFonts w:hint="default" w:ascii="Times New Roman" w:hAnsi="Times New Roman" w:eastAsia="宋体" w:cs="Times New Roman"/>
                <w:b w:val="0"/>
                <w:bCs w:val="0"/>
                <w:color w:val="000000"/>
                <w:sz w:val="24"/>
                <w:lang w:val="en-US" w:eastAsia="zh-CN"/>
              </w:rPr>
              <w:t>100%</w:t>
            </w:r>
            <w:r>
              <w:rPr>
                <w:rFonts w:hint="eastAsia" w:cs="Times New Roman"/>
                <w:b w:val="0"/>
                <w:bCs w:val="0"/>
                <w:color w:val="000000"/>
                <w:sz w:val="24"/>
                <w:lang w:val="en-US" w:eastAsia="zh-CN"/>
              </w:rPr>
              <w:t>计</w:t>
            </w:r>
            <w:r>
              <w:rPr>
                <w:rFonts w:hint="default" w:ascii="Times New Roman" w:hAnsi="Times New Roman" w:eastAsia="宋体" w:cs="Times New Roman"/>
                <w:b w:val="0"/>
                <w:bCs w:val="0"/>
                <w:color w:val="000000"/>
                <w:sz w:val="24"/>
                <w:lang w:val="en-US" w:eastAsia="zh-CN"/>
              </w:rPr>
              <w:t>，</w:t>
            </w:r>
            <w:r>
              <w:rPr>
                <w:rFonts w:hint="eastAsia" w:cs="Times New Roman"/>
                <w:b w:val="0"/>
                <w:bCs w:val="0"/>
                <w:color w:val="000000"/>
                <w:sz w:val="24"/>
                <w:lang w:val="en-US" w:eastAsia="zh-CN"/>
              </w:rPr>
              <w:t>锅炉排风量为</w:t>
            </w:r>
            <w:r>
              <w:rPr>
                <w:rFonts w:hint="eastAsia" w:cs="Times New Roman"/>
                <w:b w:val="0"/>
                <w:bCs w:val="0"/>
                <w:color w:val="auto"/>
                <w:sz w:val="24"/>
                <w:lang w:val="en-US" w:eastAsia="zh-CN"/>
              </w:rPr>
              <w:t>6039</w:t>
            </w:r>
            <w:r>
              <w:rPr>
                <w:rFonts w:hint="default" w:ascii="Times New Roman" w:hAnsi="Times New Roman" w:eastAsia="宋体" w:cs="Times New Roman"/>
                <w:b w:val="0"/>
                <w:bCs w:val="0"/>
                <w:color w:val="000000"/>
                <w:sz w:val="24"/>
                <w:lang w:val="en-US" w:eastAsia="zh-CN"/>
              </w:rPr>
              <w:t>m</w:t>
            </w:r>
            <w:r>
              <w:rPr>
                <w:rFonts w:hint="default" w:ascii="Times New Roman" w:hAnsi="Times New Roman" w:eastAsia="宋体" w:cs="Times New Roman"/>
                <w:b w:val="0"/>
                <w:bCs w:val="0"/>
                <w:color w:val="000000"/>
                <w:sz w:val="24"/>
                <w:vertAlign w:val="superscript"/>
                <w:lang w:val="en-US" w:eastAsia="zh-CN"/>
              </w:rPr>
              <w:t>3</w:t>
            </w:r>
            <w:r>
              <w:rPr>
                <w:rFonts w:hint="default" w:ascii="Times New Roman" w:hAnsi="Times New Roman" w:eastAsia="宋体" w:cs="Times New Roman"/>
                <w:b w:val="0"/>
                <w:bCs w:val="0"/>
                <w:color w:val="000000"/>
                <w:sz w:val="24"/>
                <w:lang w:val="en-US" w:eastAsia="zh-CN"/>
              </w:rPr>
              <w:t>/h，</w:t>
            </w:r>
            <w:r>
              <w:rPr>
                <w:rFonts w:hint="eastAsia" w:ascii="Times New Roman" w:hAnsi="Times New Roman" w:eastAsia="宋体" w:cs="Times New Roman"/>
                <w:b w:val="0"/>
                <w:bCs w:val="0"/>
                <w:color w:val="000000"/>
                <w:sz w:val="24"/>
                <w:lang w:val="en-US" w:eastAsia="zh-CN"/>
              </w:rPr>
              <w:t>锅炉</w:t>
            </w:r>
            <w:r>
              <w:rPr>
                <w:rFonts w:hint="eastAsia" w:cs="Times New Roman"/>
                <w:b w:val="0"/>
                <w:bCs w:val="0"/>
                <w:color w:val="000000"/>
                <w:sz w:val="24"/>
                <w:lang w:val="en-US" w:eastAsia="zh-CN"/>
              </w:rPr>
              <w:t>烟</w:t>
            </w:r>
            <w:r>
              <w:rPr>
                <w:rFonts w:hint="eastAsia" w:ascii="Times New Roman" w:hAnsi="Times New Roman" w:eastAsia="宋体" w:cs="Times New Roman"/>
                <w:b w:val="0"/>
                <w:bCs w:val="0"/>
                <w:color w:val="000000"/>
                <w:sz w:val="24"/>
                <w:lang w:val="en-US" w:eastAsia="zh-CN"/>
              </w:rPr>
              <w:t>气经</w:t>
            </w:r>
            <w:r>
              <w:rPr>
                <w:rFonts w:hint="eastAsia" w:cs="Times New Roman"/>
                <w:b w:val="0"/>
                <w:bCs w:val="0"/>
                <w:color w:val="000000"/>
                <w:sz w:val="24"/>
                <w:lang w:val="en-US" w:eastAsia="zh-CN"/>
              </w:rPr>
              <w:t>一台冷却塔冷却后再经</w:t>
            </w:r>
            <w:r>
              <w:rPr>
                <w:rFonts w:hint="eastAsia" w:ascii="Times New Roman" w:hAnsi="Times New Roman" w:eastAsia="宋体" w:cs="Times New Roman"/>
                <w:b w:val="0"/>
                <w:bCs w:val="0"/>
                <w:color w:val="000000"/>
                <w:sz w:val="24"/>
                <w:lang w:val="en-US" w:eastAsia="zh-CN"/>
              </w:rPr>
              <w:t>一套布袋除尘器处理达标后</w:t>
            </w:r>
            <w:r>
              <w:rPr>
                <w:rFonts w:hint="eastAsia" w:cs="Times New Roman"/>
                <w:b w:val="0"/>
                <w:bCs w:val="0"/>
                <w:color w:val="000000"/>
                <w:sz w:val="24"/>
                <w:lang w:val="en-US" w:eastAsia="zh-CN"/>
              </w:rPr>
              <w:t>通过</w:t>
            </w:r>
            <w:r>
              <w:rPr>
                <w:rFonts w:hint="eastAsia" w:ascii="Times New Roman" w:hAnsi="Times New Roman" w:eastAsia="宋体" w:cs="Times New Roman"/>
                <w:b w:val="0"/>
                <w:bCs w:val="0"/>
                <w:color w:val="000000"/>
                <w:sz w:val="24"/>
                <w:lang w:val="en-US" w:eastAsia="zh-CN"/>
              </w:rPr>
              <w:t>一根</w:t>
            </w:r>
            <w:r>
              <w:rPr>
                <w:rFonts w:hint="eastAsia" w:cs="Times New Roman"/>
                <w:b w:val="0"/>
                <w:bCs w:val="0"/>
                <w:color w:val="000000"/>
                <w:sz w:val="24"/>
                <w:lang w:val="en-US" w:eastAsia="zh-CN"/>
              </w:rPr>
              <w:t>35</w:t>
            </w:r>
            <w:r>
              <w:rPr>
                <w:rFonts w:hint="eastAsia" w:ascii="Times New Roman" w:hAnsi="Times New Roman" w:eastAsia="宋体" w:cs="Times New Roman"/>
                <w:b w:val="0"/>
                <w:bCs w:val="0"/>
                <w:color w:val="000000"/>
                <w:sz w:val="24"/>
                <w:lang w:val="en-US" w:eastAsia="zh-CN"/>
              </w:rPr>
              <w:t>m高排气筒DA001排放，</w:t>
            </w:r>
            <w:r>
              <w:rPr>
                <w:rFonts w:hint="eastAsia" w:cs="Times New Roman"/>
                <w:b w:val="0"/>
                <w:bCs w:val="0"/>
                <w:color w:val="000000"/>
                <w:sz w:val="24"/>
                <w:lang w:val="en-US" w:eastAsia="zh-CN"/>
              </w:rPr>
              <w:t>根据</w:t>
            </w:r>
            <w:r>
              <w:rPr>
                <w:rFonts w:hint="default" w:ascii="Times New Roman" w:hAnsi="Times New Roman" w:eastAsia="宋体" w:cs="Times New Roman"/>
                <w:b w:val="0"/>
                <w:bCs w:val="0"/>
                <w:color w:val="000000"/>
                <w:sz w:val="24"/>
                <w:lang w:val="en-US" w:eastAsia="zh-CN"/>
              </w:rPr>
              <w:t>《排放源统计调查产排污核算方法和系数手册</w:t>
            </w:r>
            <w:r>
              <w:rPr>
                <w:rFonts w:hint="default" w:ascii="Times New Roman" w:hAnsi="Times New Roman" w:eastAsia="宋体" w:cs="Times New Roman"/>
                <w:b w:val="0"/>
                <w:bCs w:val="0"/>
                <w:color w:val="auto"/>
                <w:kern w:val="2"/>
                <w:sz w:val="24"/>
                <w:szCs w:val="24"/>
              </w:rPr>
              <w:t>—</w:t>
            </w:r>
            <w:r>
              <w:rPr>
                <w:rFonts w:hint="eastAsia" w:ascii="Times New Roman" w:hAnsi="Times New Roman" w:eastAsia="宋体" w:cs="Times New Roman"/>
                <w:b w:val="0"/>
                <w:bCs w:val="0"/>
                <w:color w:val="auto"/>
                <w:kern w:val="2"/>
                <w:sz w:val="24"/>
                <w:szCs w:val="24"/>
                <w:lang w:val="en-US" w:eastAsia="zh-CN"/>
              </w:rPr>
              <w:t xml:space="preserve">4430 </w:t>
            </w:r>
            <w:r>
              <w:rPr>
                <w:rFonts w:hint="default" w:ascii="Times New Roman" w:hAnsi="Times New Roman" w:eastAsia="宋体" w:cs="Times New Roman"/>
                <w:b w:val="0"/>
                <w:bCs w:val="0"/>
                <w:color w:val="auto"/>
                <w:kern w:val="2"/>
                <w:sz w:val="24"/>
                <w:szCs w:val="24"/>
              </w:rPr>
              <w:t>工业锅炉</w:t>
            </w:r>
            <w:r>
              <w:rPr>
                <w:rFonts w:hint="eastAsia" w:cs="Times New Roman"/>
                <w:b w:val="0"/>
                <w:bCs w:val="0"/>
                <w:color w:val="auto"/>
                <w:kern w:val="2"/>
                <w:sz w:val="24"/>
                <w:szCs w:val="24"/>
                <w:lang w:eastAsia="zh-CN"/>
              </w:rPr>
              <w:t>（</w:t>
            </w:r>
            <w:r>
              <w:rPr>
                <w:rFonts w:hint="default" w:ascii="Times New Roman" w:hAnsi="Times New Roman" w:eastAsia="宋体" w:cs="Times New Roman"/>
                <w:b w:val="0"/>
                <w:bCs w:val="0"/>
                <w:color w:val="auto"/>
                <w:kern w:val="2"/>
                <w:sz w:val="24"/>
                <w:szCs w:val="24"/>
              </w:rPr>
              <w:t>热力供应</w:t>
            </w:r>
            <w:r>
              <w:rPr>
                <w:rFonts w:hint="eastAsia" w:cs="Times New Roman"/>
                <w:b w:val="0"/>
                <w:bCs w:val="0"/>
                <w:color w:val="auto"/>
                <w:kern w:val="2"/>
                <w:sz w:val="24"/>
                <w:szCs w:val="24"/>
                <w:lang w:eastAsia="zh-CN"/>
              </w:rPr>
              <w:t>）</w:t>
            </w:r>
            <w:r>
              <w:rPr>
                <w:rFonts w:hint="default" w:ascii="Times New Roman" w:hAnsi="Times New Roman" w:eastAsia="宋体" w:cs="Times New Roman"/>
                <w:b w:val="0"/>
                <w:bCs w:val="0"/>
                <w:color w:val="auto"/>
                <w:kern w:val="2"/>
                <w:sz w:val="24"/>
                <w:szCs w:val="24"/>
              </w:rPr>
              <w:t>行业系数手册</w:t>
            </w:r>
            <w:r>
              <w:rPr>
                <w:rFonts w:hint="default" w:ascii="Times New Roman" w:hAnsi="Times New Roman" w:eastAsia="宋体" w:cs="Times New Roman"/>
                <w:b w:val="0"/>
                <w:bCs w:val="0"/>
                <w:color w:val="000000"/>
                <w:sz w:val="24"/>
                <w:lang w:val="en-US" w:eastAsia="zh-CN"/>
              </w:rPr>
              <w:t>》</w:t>
            </w:r>
            <w:r>
              <w:rPr>
                <w:rFonts w:hint="eastAsia" w:cs="Times New Roman"/>
                <w:b w:val="0"/>
                <w:bCs w:val="0"/>
                <w:color w:val="000000"/>
                <w:sz w:val="24"/>
                <w:lang w:val="en-US" w:eastAsia="zh-CN"/>
              </w:rPr>
              <w:t>末端治理技术，</w:t>
            </w:r>
            <w:r>
              <w:rPr>
                <w:rFonts w:hint="eastAsia" w:cs="Times New Roman"/>
                <w:b w:val="0"/>
                <w:bCs w:val="0"/>
                <w:color w:val="FF0000"/>
                <w:sz w:val="24"/>
                <w:lang w:val="en-US" w:eastAsia="zh-CN"/>
              </w:rPr>
              <w:t>布袋除尘设施对颗粒物</w:t>
            </w:r>
            <w:r>
              <w:rPr>
                <w:rFonts w:hint="eastAsia" w:eastAsia="宋体" w:cs="Times New Roman"/>
                <w:b w:val="0"/>
                <w:bCs w:val="0"/>
                <w:color w:val="FF0000"/>
                <w:sz w:val="24"/>
                <w:lang w:val="en-US" w:eastAsia="zh-CN"/>
              </w:rPr>
              <w:t>去除效率</w:t>
            </w:r>
            <w:r>
              <w:rPr>
                <w:rFonts w:hint="eastAsia" w:cs="Times New Roman"/>
                <w:b w:val="0"/>
                <w:bCs w:val="0"/>
                <w:color w:val="FF0000"/>
                <w:sz w:val="24"/>
                <w:lang w:val="en-US" w:eastAsia="zh-CN"/>
              </w:rPr>
              <w:t>按</w:t>
            </w:r>
            <w:r>
              <w:rPr>
                <w:rFonts w:hint="eastAsia" w:eastAsia="宋体" w:cs="Times New Roman"/>
                <w:b w:val="0"/>
                <w:bCs w:val="0"/>
                <w:color w:val="FF0000"/>
                <w:sz w:val="24"/>
                <w:lang w:val="en-US" w:eastAsia="zh-CN"/>
              </w:rPr>
              <w:t>为9</w:t>
            </w:r>
            <w:r>
              <w:rPr>
                <w:rFonts w:hint="eastAsia" w:cs="Times New Roman"/>
                <w:b w:val="0"/>
                <w:bCs w:val="0"/>
                <w:color w:val="FF0000"/>
                <w:sz w:val="24"/>
                <w:lang w:val="en-US" w:eastAsia="zh-CN"/>
              </w:rPr>
              <w:t>9.7%计</w:t>
            </w:r>
            <w:r>
              <w:rPr>
                <w:rFonts w:hint="eastAsia" w:eastAsia="宋体" w:cs="Times New Roman"/>
                <w:b w:val="0"/>
                <w:bCs w:val="0"/>
                <w:color w:val="FF0000"/>
                <w:sz w:val="24"/>
                <w:lang w:val="en-US" w:eastAsia="zh-CN"/>
              </w:rPr>
              <w:t>，则</w:t>
            </w:r>
            <w:r>
              <w:rPr>
                <w:rFonts w:hint="eastAsia" w:ascii="Times New Roman" w:hAnsi="Times New Roman" w:eastAsia="宋体" w:cs="Times New Roman"/>
                <w:b w:val="0"/>
                <w:bCs w:val="0"/>
                <w:color w:val="FF0000"/>
                <w:sz w:val="24"/>
                <w:lang w:val="en-US" w:eastAsia="zh-CN"/>
              </w:rPr>
              <w:t>颗粒物排放量为</w:t>
            </w:r>
            <w:r>
              <w:rPr>
                <w:rFonts w:hint="eastAsia" w:cs="Times New Roman"/>
                <w:b w:val="0"/>
                <w:bCs w:val="0"/>
                <w:color w:val="FF0000"/>
                <w:sz w:val="24"/>
                <w:lang w:val="en-US" w:eastAsia="zh-CN"/>
              </w:rPr>
              <w:t>0.508</w:t>
            </w:r>
            <w:r>
              <w:rPr>
                <w:rFonts w:hint="eastAsia" w:ascii="Times New Roman" w:hAnsi="Times New Roman" w:eastAsia="宋体" w:cs="Times New Roman"/>
                <w:b w:val="0"/>
                <w:bCs w:val="0"/>
                <w:color w:val="FF0000"/>
                <w:sz w:val="24"/>
                <w:lang w:val="en-US" w:eastAsia="zh-CN"/>
              </w:rPr>
              <w:t>t/a、排放速率为0.</w:t>
            </w:r>
            <w:r>
              <w:rPr>
                <w:rFonts w:hint="eastAsia" w:cs="Times New Roman"/>
                <w:b w:val="0"/>
                <w:bCs w:val="0"/>
                <w:color w:val="FF0000"/>
                <w:sz w:val="24"/>
                <w:lang w:val="en-US" w:eastAsia="zh-CN"/>
              </w:rPr>
              <w:t>109kg/h</w:t>
            </w:r>
            <w:r>
              <w:rPr>
                <w:rFonts w:hint="eastAsia" w:ascii="Times New Roman" w:hAnsi="Times New Roman" w:eastAsia="宋体" w:cs="Times New Roman"/>
                <w:b w:val="0"/>
                <w:bCs w:val="0"/>
                <w:color w:val="FF0000"/>
                <w:sz w:val="24"/>
                <w:lang w:val="en-US" w:eastAsia="zh-CN"/>
              </w:rPr>
              <w:t>、排放浓度为</w:t>
            </w:r>
            <w:r>
              <w:rPr>
                <w:rFonts w:hint="eastAsia" w:cs="Times New Roman"/>
                <w:b w:val="0"/>
                <w:bCs w:val="0"/>
                <w:color w:val="FF0000"/>
                <w:sz w:val="24"/>
                <w:lang w:val="en-US" w:eastAsia="zh-CN"/>
              </w:rPr>
              <w:t>18.049</w:t>
            </w:r>
            <w:r>
              <w:rPr>
                <w:rFonts w:hint="eastAsia" w:ascii="Times New Roman" w:hAnsi="Times New Roman" w:eastAsia="宋体" w:cs="Times New Roman"/>
                <w:b w:val="0"/>
                <w:bCs w:val="0"/>
                <w:color w:val="FF0000"/>
                <w:sz w:val="24"/>
                <w:lang w:val="en-US" w:eastAsia="zh-CN"/>
              </w:rPr>
              <w:t>mg/m</w:t>
            </w:r>
            <w:r>
              <w:rPr>
                <w:rFonts w:hint="eastAsia" w:ascii="Times New Roman" w:hAnsi="Times New Roman" w:eastAsia="宋体" w:cs="Times New Roman"/>
                <w:b w:val="0"/>
                <w:bCs w:val="0"/>
                <w:color w:val="FF0000"/>
                <w:sz w:val="24"/>
                <w:vertAlign w:val="superscript"/>
                <w:lang w:val="en-US" w:eastAsia="zh-CN"/>
              </w:rPr>
              <w:t>3</w:t>
            </w:r>
            <w:r>
              <w:rPr>
                <w:rFonts w:hint="eastAsia" w:ascii="Times New Roman" w:hAnsi="Times New Roman" w:eastAsia="宋体" w:cs="Times New Roman"/>
                <w:b w:val="0"/>
                <w:bCs w:val="0"/>
                <w:color w:val="FF0000"/>
                <w:sz w:val="24"/>
                <w:vertAlign w:val="baseline"/>
                <w:lang w:val="en-US" w:eastAsia="zh-CN"/>
              </w:rPr>
              <w:t>；</w:t>
            </w:r>
            <w:r>
              <w:rPr>
                <w:rFonts w:hint="default" w:ascii="Times New Roman" w:hAnsi="Times New Roman" w:eastAsia="宋体" w:cs="Times New Roman"/>
                <w:b w:val="0"/>
                <w:bCs w:val="0"/>
                <w:color w:val="FF0000"/>
                <w:sz w:val="24"/>
                <w:lang w:val="en-US" w:eastAsia="zh-CN"/>
              </w:rPr>
              <w:t>SO</w:t>
            </w:r>
            <w:r>
              <w:rPr>
                <w:rFonts w:hint="default" w:ascii="Times New Roman" w:hAnsi="Times New Roman" w:eastAsia="宋体" w:cs="Times New Roman"/>
                <w:b w:val="0"/>
                <w:bCs w:val="0"/>
                <w:color w:val="FF0000"/>
                <w:sz w:val="24"/>
                <w:vertAlign w:val="subscript"/>
                <w:lang w:val="en-US" w:eastAsia="zh-CN"/>
              </w:rPr>
              <w:t>2</w:t>
            </w:r>
            <w:r>
              <w:rPr>
                <w:rFonts w:hint="eastAsia" w:ascii="Times New Roman" w:hAnsi="Times New Roman" w:eastAsia="宋体" w:cs="Times New Roman"/>
                <w:b w:val="0"/>
                <w:bCs w:val="0"/>
                <w:color w:val="FF0000"/>
                <w:sz w:val="24"/>
                <w:vertAlign w:val="baseline"/>
                <w:lang w:val="en-US" w:eastAsia="zh-CN"/>
              </w:rPr>
              <w:t>排放</w:t>
            </w:r>
            <w:r>
              <w:rPr>
                <w:rFonts w:hint="default" w:ascii="Times New Roman" w:hAnsi="Times New Roman" w:eastAsia="宋体" w:cs="Times New Roman"/>
                <w:b w:val="0"/>
                <w:bCs w:val="0"/>
                <w:color w:val="FF0000"/>
                <w:sz w:val="24"/>
                <w:vertAlign w:val="baseline"/>
                <w:lang w:val="en-US" w:eastAsia="zh-CN"/>
              </w:rPr>
              <w:t>量为</w:t>
            </w:r>
            <w:r>
              <w:rPr>
                <w:rFonts w:hint="eastAsia" w:cs="Times New Roman"/>
                <w:b w:val="0"/>
                <w:bCs w:val="0"/>
                <w:color w:val="FF0000"/>
                <w:sz w:val="24"/>
                <w:vertAlign w:val="baseline"/>
                <w:lang w:val="en-US" w:eastAsia="zh-CN"/>
              </w:rPr>
              <w:t>0.765</w:t>
            </w:r>
            <w:r>
              <w:rPr>
                <w:rFonts w:hint="default" w:ascii="Times New Roman" w:hAnsi="Times New Roman" w:eastAsia="宋体" w:cs="Times New Roman"/>
                <w:b w:val="0"/>
                <w:bCs w:val="0"/>
                <w:color w:val="FF0000"/>
                <w:sz w:val="24"/>
                <w:vertAlign w:val="baseline"/>
                <w:lang w:val="en-US" w:eastAsia="zh-CN"/>
              </w:rPr>
              <w:t>t/a、</w:t>
            </w:r>
            <w:r>
              <w:rPr>
                <w:rFonts w:hint="eastAsia" w:ascii="Times New Roman" w:hAnsi="Times New Roman" w:eastAsia="宋体" w:cs="Times New Roman"/>
                <w:b w:val="0"/>
                <w:bCs w:val="0"/>
                <w:color w:val="FF0000"/>
                <w:sz w:val="24"/>
                <w:vertAlign w:val="baseline"/>
                <w:lang w:val="en-US" w:eastAsia="zh-CN"/>
              </w:rPr>
              <w:t>排放</w:t>
            </w:r>
            <w:r>
              <w:rPr>
                <w:rFonts w:hint="default" w:ascii="Times New Roman" w:hAnsi="Times New Roman" w:eastAsia="宋体" w:cs="Times New Roman"/>
                <w:b w:val="0"/>
                <w:bCs w:val="0"/>
                <w:color w:val="FF0000"/>
                <w:sz w:val="24"/>
                <w:vertAlign w:val="baseline"/>
                <w:lang w:val="en-US" w:eastAsia="zh-CN"/>
              </w:rPr>
              <w:t>速率为</w:t>
            </w:r>
            <w:r>
              <w:rPr>
                <w:rFonts w:hint="eastAsia" w:cs="Times New Roman"/>
                <w:b w:val="0"/>
                <w:bCs w:val="0"/>
                <w:color w:val="FF0000"/>
                <w:sz w:val="24"/>
                <w:vertAlign w:val="baseline"/>
                <w:lang w:val="en-US" w:eastAsia="zh-CN"/>
              </w:rPr>
              <w:t>0.165</w:t>
            </w:r>
            <w:r>
              <w:rPr>
                <w:rFonts w:hint="default" w:ascii="Times New Roman" w:hAnsi="Times New Roman" w:eastAsia="宋体" w:cs="Times New Roman"/>
                <w:b w:val="0"/>
                <w:bCs w:val="0"/>
                <w:color w:val="FF0000"/>
                <w:sz w:val="24"/>
                <w:lang w:val="en-US" w:eastAsia="zh-CN"/>
              </w:rPr>
              <w:t>kg/h</w:t>
            </w:r>
            <w:r>
              <w:rPr>
                <w:rFonts w:hint="eastAsia" w:cs="Times New Roman"/>
                <w:b w:val="0"/>
                <w:bCs w:val="0"/>
                <w:color w:val="FF0000"/>
                <w:sz w:val="24"/>
                <w:lang w:val="en-US" w:eastAsia="zh-CN"/>
              </w:rPr>
              <w:t>、排放浓度为27.322mg/m</w:t>
            </w:r>
            <w:r>
              <w:rPr>
                <w:rFonts w:hint="eastAsia" w:cs="Times New Roman"/>
                <w:b w:val="0"/>
                <w:bCs w:val="0"/>
                <w:color w:val="FF0000"/>
                <w:sz w:val="24"/>
                <w:vertAlign w:val="superscript"/>
                <w:lang w:val="en-US" w:eastAsia="zh-CN"/>
              </w:rPr>
              <w:t>3</w:t>
            </w:r>
            <w:r>
              <w:rPr>
                <w:rFonts w:hint="default" w:ascii="Times New Roman" w:hAnsi="Times New Roman" w:eastAsia="宋体" w:cs="Times New Roman"/>
                <w:b w:val="0"/>
                <w:bCs w:val="0"/>
                <w:color w:val="FF0000"/>
                <w:sz w:val="24"/>
                <w:lang w:val="en-US" w:eastAsia="zh-CN"/>
              </w:rPr>
              <w:t>；NO</w:t>
            </w:r>
            <w:r>
              <w:rPr>
                <w:rFonts w:hint="default" w:ascii="Times New Roman" w:hAnsi="Times New Roman" w:eastAsia="宋体" w:cs="Times New Roman"/>
                <w:b w:val="0"/>
                <w:bCs w:val="0"/>
                <w:color w:val="FF0000"/>
                <w:sz w:val="24"/>
                <w:vertAlign w:val="subscript"/>
                <w:lang w:val="en-US" w:eastAsia="zh-CN"/>
              </w:rPr>
              <w:t>X</w:t>
            </w:r>
            <w:r>
              <w:rPr>
                <w:rFonts w:hint="eastAsia" w:cs="Times New Roman"/>
                <w:b w:val="0"/>
                <w:bCs w:val="0"/>
                <w:color w:val="FF0000"/>
                <w:sz w:val="24"/>
                <w:vertAlign w:val="baseline"/>
                <w:lang w:val="en-US" w:eastAsia="zh-CN"/>
              </w:rPr>
              <w:t>排放</w:t>
            </w:r>
            <w:r>
              <w:rPr>
                <w:rFonts w:hint="default" w:ascii="Times New Roman" w:hAnsi="Times New Roman" w:eastAsia="宋体" w:cs="Times New Roman"/>
                <w:b w:val="0"/>
                <w:bCs w:val="0"/>
                <w:color w:val="FF0000"/>
                <w:sz w:val="24"/>
                <w:vertAlign w:val="baseline"/>
                <w:lang w:val="en-US" w:eastAsia="zh-CN"/>
              </w:rPr>
              <w:t>量为</w:t>
            </w:r>
            <w:r>
              <w:rPr>
                <w:rFonts w:hint="eastAsia" w:cs="Times New Roman"/>
                <w:b w:val="0"/>
                <w:bCs w:val="0"/>
                <w:color w:val="FF0000"/>
                <w:sz w:val="24"/>
                <w:vertAlign w:val="baseline"/>
                <w:lang w:val="en-US" w:eastAsia="zh-CN"/>
              </w:rPr>
              <w:t>4.59</w:t>
            </w:r>
            <w:r>
              <w:rPr>
                <w:rFonts w:hint="default" w:ascii="Times New Roman" w:hAnsi="Times New Roman" w:eastAsia="宋体" w:cs="Times New Roman"/>
                <w:b w:val="0"/>
                <w:bCs w:val="0"/>
                <w:color w:val="FF0000"/>
                <w:sz w:val="24"/>
                <w:vertAlign w:val="baseline"/>
                <w:lang w:val="en-US" w:eastAsia="zh-CN"/>
              </w:rPr>
              <w:t>t/a、</w:t>
            </w:r>
            <w:r>
              <w:rPr>
                <w:rFonts w:hint="eastAsia" w:cs="Times New Roman"/>
                <w:b w:val="0"/>
                <w:bCs w:val="0"/>
                <w:color w:val="FF0000"/>
                <w:sz w:val="24"/>
                <w:vertAlign w:val="baseline"/>
                <w:lang w:val="en-US" w:eastAsia="zh-CN"/>
              </w:rPr>
              <w:t>排放</w:t>
            </w:r>
            <w:r>
              <w:rPr>
                <w:rFonts w:hint="default" w:ascii="Times New Roman" w:hAnsi="Times New Roman" w:eastAsia="宋体" w:cs="Times New Roman"/>
                <w:b w:val="0"/>
                <w:bCs w:val="0"/>
                <w:color w:val="FF0000"/>
                <w:sz w:val="24"/>
                <w:vertAlign w:val="baseline"/>
                <w:lang w:val="en-US" w:eastAsia="zh-CN"/>
              </w:rPr>
              <w:t>速率为</w:t>
            </w:r>
            <w:r>
              <w:rPr>
                <w:rFonts w:hint="eastAsia" w:cs="Times New Roman"/>
                <w:b w:val="0"/>
                <w:bCs w:val="0"/>
                <w:color w:val="FF0000"/>
                <w:sz w:val="24"/>
                <w:vertAlign w:val="baseline"/>
                <w:lang w:val="en-US" w:eastAsia="zh-CN"/>
              </w:rPr>
              <w:t>0.987</w:t>
            </w:r>
            <w:r>
              <w:rPr>
                <w:rFonts w:hint="default" w:ascii="Times New Roman" w:hAnsi="Times New Roman" w:eastAsia="宋体" w:cs="Times New Roman"/>
                <w:b w:val="0"/>
                <w:bCs w:val="0"/>
                <w:color w:val="FF0000"/>
                <w:sz w:val="24"/>
                <w:lang w:val="en-US" w:eastAsia="zh-CN"/>
              </w:rPr>
              <w:t>kg/h</w:t>
            </w:r>
            <w:r>
              <w:rPr>
                <w:rFonts w:hint="eastAsia" w:cs="Times New Roman"/>
                <w:b w:val="0"/>
                <w:bCs w:val="0"/>
                <w:color w:val="FF0000"/>
                <w:sz w:val="24"/>
                <w:lang w:val="en-US" w:eastAsia="zh-CN"/>
              </w:rPr>
              <w:t>、排放浓度为163.438mg/m</w:t>
            </w:r>
            <w:r>
              <w:rPr>
                <w:rFonts w:hint="eastAsia" w:cs="Times New Roman"/>
                <w:b w:val="0"/>
                <w:bCs w:val="0"/>
                <w:color w:val="FF0000"/>
                <w:sz w:val="24"/>
                <w:vertAlign w:val="superscript"/>
                <w:lang w:val="en-US" w:eastAsia="zh-CN"/>
              </w:rPr>
              <w:t>3</w:t>
            </w:r>
            <w:r>
              <w:rPr>
                <w:rFonts w:hint="default" w:ascii="Times New Roman" w:hAnsi="Times New Roman" w:eastAsia="宋体" w:cs="Times New Roman"/>
                <w:b w:val="0"/>
                <w:bCs w:val="0"/>
                <w:color w:val="FF0000"/>
                <w:sz w:val="24"/>
                <w:lang w:val="en-US" w:eastAsia="zh-CN"/>
              </w:rPr>
              <w:t>。</w:t>
            </w:r>
          </w:p>
          <w:p w14:paraId="2BA34947">
            <w:pPr>
              <w:pStyle w:val="41"/>
              <w:spacing w:before="0" w:after="0" w:line="360" w:lineRule="auto"/>
              <w:ind w:left="0" w:firstLine="458" w:firstLineChars="200"/>
              <w:rPr>
                <w:rFonts w:eastAsia="宋体"/>
                <w:color w:val="auto"/>
                <w:sz w:val="24"/>
                <w:szCs w:val="24"/>
              </w:rPr>
            </w:pPr>
            <w:r>
              <w:rPr>
                <w:rFonts w:hint="eastAsia" w:eastAsia="宋体"/>
                <w:color w:val="auto"/>
                <w:sz w:val="24"/>
                <w:szCs w:val="24"/>
              </w:rPr>
              <w:t>3、废气污染防治措施可行性分析</w:t>
            </w:r>
          </w:p>
          <w:p w14:paraId="42391D50">
            <w:pPr>
              <w:adjustRightInd w:val="0"/>
              <w:snapToGrid w:val="0"/>
              <w:spacing w:line="360" w:lineRule="auto"/>
              <w:ind w:firstLine="480" w:firstLineChars="200"/>
              <w:rPr>
                <w:rFonts w:hint="default" w:ascii="Helvetica" w:hAnsi="Helvetica" w:eastAsia="宋体" w:cs="Helvetica"/>
                <w:i w:val="0"/>
                <w:iCs w:val="0"/>
                <w:caps w:val="0"/>
                <w:color w:val="000000" w:themeColor="text1"/>
                <w:spacing w:val="0"/>
                <w:sz w:val="21"/>
                <w:szCs w:val="21"/>
                <w:shd w:val="clear" w:fill="FFFFFF"/>
                <w:lang w:val="en-US" w:eastAsia="zh-CN"/>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w:t>
            </w:r>
            <w:r>
              <w:rPr>
                <w:rFonts w:hint="default" w:ascii="Times New Roman" w:hAnsi="Times New Roman" w:cs="Times New Roman"/>
                <w:bCs/>
                <w:color w:val="000000" w:themeColor="text1"/>
                <w:kern w:val="0"/>
                <w:sz w:val="24"/>
                <w14:textFill>
                  <w14:solidFill>
                    <w14:schemeClr w14:val="tx1"/>
                  </w14:solidFill>
                </w14:textFill>
              </w:rPr>
              <w:t>《排污许可证申请与核发技术规范_</w:t>
            </w:r>
            <w:r>
              <w:rPr>
                <w:rFonts w:hint="eastAsia" w:cs="Times New Roman"/>
                <w:bCs/>
                <w:color w:val="000000" w:themeColor="text1"/>
                <w:kern w:val="0"/>
                <w:sz w:val="24"/>
                <w:lang w:val="en-US" w:eastAsia="zh-CN"/>
                <w14:textFill>
                  <w14:solidFill>
                    <w14:schemeClr w14:val="tx1"/>
                  </w14:solidFill>
                </w14:textFill>
              </w:rPr>
              <w:t>锅炉</w:t>
            </w:r>
            <w:r>
              <w:rPr>
                <w:rFonts w:hint="default" w:ascii="Times New Roman" w:hAnsi="Times New Roman" w:cs="Times New Roman"/>
                <w:bCs/>
                <w:color w:val="000000" w:themeColor="text1"/>
                <w:kern w:val="0"/>
                <w:sz w:val="24"/>
                <w14:textFill>
                  <w14:solidFill>
                    <w14:schemeClr w14:val="tx1"/>
                  </w14:solidFill>
                </w14:textFill>
              </w:rPr>
              <w:t>》（HJ9</w:t>
            </w:r>
            <w:r>
              <w:rPr>
                <w:rFonts w:hint="eastAsia" w:cs="Times New Roman"/>
                <w:bCs/>
                <w:color w:val="000000" w:themeColor="text1"/>
                <w:kern w:val="0"/>
                <w:sz w:val="24"/>
                <w:lang w:val="en-US" w:eastAsia="zh-CN"/>
                <w14:textFill>
                  <w14:solidFill>
                    <w14:schemeClr w14:val="tx1"/>
                  </w14:solidFill>
                </w14:textFill>
              </w:rPr>
              <w:t>53</w:t>
            </w:r>
            <w:r>
              <w:rPr>
                <w:rFonts w:hint="default" w:ascii="Times New Roman" w:hAnsi="Times New Roman" w:cs="Times New Roman"/>
                <w:bCs/>
                <w:color w:val="000000" w:themeColor="text1"/>
                <w:kern w:val="0"/>
                <w:sz w:val="24"/>
                <w14:textFill>
                  <w14:solidFill>
                    <w14:schemeClr w14:val="tx1"/>
                  </w14:solidFill>
                </w14:textFill>
              </w:rPr>
              <w:t>-2018），</w:t>
            </w:r>
            <w:r>
              <w:rPr>
                <w:rFonts w:hint="eastAsia" w:cs="Times New Roman"/>
                <w:bCs/>
                <w:color w:val="000000" w:themeColor="text1"/>
                <w:kern w:val="0"/>
                <w:sz w:val="24"/>
                <w:lang w:val="en-US" w:eastAsia="zh-CN"/>
                <w14:textFill>
                  <w14:solidFill>
                    <w14:schemeClr w14:val="tx1"/>
                  </w14:solidFill>
                </w14:textFill>
              </w:rPr>
              <w:t>布袋</w:t>
            </w:r>
            <w:r>
              <w:rPr>
                <w:rFonts w:hint="default" w:ascii="Times New Roman" w:hAnsi="Times New Roman" w:cs="Times New Roman"/>
                <w:bCs/>
                <w:color w:val="000000" w:themeColor="text1"/>
                <w:kern w:val="0"/>
                <w:sz w:val="24"/>
                <w14:textFill>
                  <w14:solidFill>
                    <w14:schemeClr w14:val="tx1"/>
                  </w14:solidFill>
                </w14:textFill>
              </w:rPr>
              <w:t>除尘属于锅炉烟气污染颗粒物防治可行技术要求</w:t>
            </w:r>
            <w:r>
              <w:rPr>
                <w:rFonts w:hint="eastAsia" w:cs="Times New Roman"/>
                <w:bCs/>
                <w:color w:val="000000" w:themeColor="text1"/>
                <w:kern w:val="0"/>
                <w:sz w:val="24"/>
                <w:lang w:eastAsia="zh-CN"/>
                <w14:textFill>
                  <w14:solidFill>
                    <w14:schemeClr w14:val="tx1"/>
                  </w14:solidFill>
                </w14:textFill>
              </w:rPr>
              <w:t>。</w:t>
            </w:r>
            <w:r>
              <w:rPr>
                <w:rFonts w:hint="eastAsia" w:cs="Times New Roman"/>
                <w:i w:val="0"/>
                <w:iCs w:val="0"/>
                <w:caps w:val="0"/>
                <w:color w:val="000000" w:themeColor="text1"/>
                <w:spacing w:val="0"/>
                <w:sz w:val="24"/>
                <w:szCs w:val="24"/>
                <w:shd w:val="clear" w:fill="FFFFFF"/>
                <w:lang w:val="en-US" w:eastAsia="zh-CN"/>
                <w14:textFill>
                  <w14:solidFill>
                    <w14:schemeClr w14:val="tx1"/>
                  </w14:solidFill>
                </w14:textFill>
              </w:rPr>
              <w:t>锅炉烟气经处理后排放浓度</w:t>
            </w:r>
            <w:r>
              <w:rPr>
                <w:rFonts w:hint="eastAsia" w:ascii="Times New Roman" w:hAnsi="Times New Roman" w:eastAsia="宋体" w:cs="Times New Roman"/>
                <w:i w:val="0"/>
                <w:iCs w:val="0"/>
                <w:caps w:val="0"/>
                <w:color w:val="000000" w:themeColor="text1"/>
                <w:spacing w:val="0"/>
                <w:sz w:val="24"/>
                <w:szCs w:val="24"/>
                <w:shd w:val="clear" w:fill="FFFFFF"/>
                <w:lang w:val="en-US" w:eastAsia="zh-CN"/>
                <w14:textFill>
                  <w14:solidFill>
                    <w14:schemeClr w14:val="tx1"/>
                  </w14:solidFill>
                </w14:textFill>
              </w:rPr>
              <w:t>可以达到</w:t>
            </w:r>
            <w:r>
              <w:rPr>
                <w:rFonts w:hint="default" w:ascii="Times New Roman" w:hAnsi="Times New Roman" w:cs="Times New Roman"/>
                <w:color w:val="000000" w:themeColor="text1"/>
                <w:sz w:val="24"/>
                <w:lang w:eastAsia="zh-CN"/>
                <w14:textFill>
                  <w14:solidFill>
                    <w14:schemeClr w14:val="tx1"/>
                  </w14:solidFill>
                </w14:textFill>
              </w:rPr>
              <w:t>《锅炉大气污染物排放标准》(GB13271-2014)中表2中</w:t>
            </w:r>
            <w:r>
              <w:rPr>
                <w:rFonts w:hint="eastAsia" w:cs="Times New Roman"/>
                <w:color w:val="000000" w:themeColor="text1"/>
                <w:sz w:val="24"/>
                <w:lang w:val="en-US" w:eastAsia="zh-CN"/>
                <w14:textFill>
                  <w14:solidFill>
                    <w14:schemeClr w14:val="tx1"/>
                  </w14:solidFill>
                </w14:textFill>
              </w:rPr>
              <w:t>燃气</w:t>
            </w:r>
            <w:r>
              <w:rPr>
                <w:rFonts w:hint="eastAsia"/>
                <w:bCs/>
                <w:color w:val="000000" w:themeColor="text1"/>
                <w:sz w:val="24"/>
                <w:szCs w:val="24"/>
                <w:lang w:val="en-US" w:eastAsia="zh-CN"/>
                <w14:textFill>
                  <w14:solidFill>
                    <w14:schemeClr w14:val="tx1"/>
                  </w14:solidFill>
                </w14:textFill>
              </w:rPr>
              <w:t>锅炉排放限值。</w:t>
            </w:r>
          </w:p>
          <w:p w14:paraId="56E0F8FC">
            <w:pPr>
              <w:adjustRightInd w:val="0"/>
              <w:snapToGrid w:val="0"/>
              <w:spacing w:line="360" w:lineRule="auto"/>
              <w:ind w:firstLine="480" w:firstLineChars="200"/>
              <w:rPr>
                <w:rFonts w:hint="eastAsia"/>
                <w:bCs/>
                <w:color w:val="000000" w:themeColor="text1"/>
                <w:kern w:val="0"/>
                <w:sz w:val="24"/>
                <w:lang w:val="en-US" w:eastAsia="zh-CN"/>
                <w14:textFill>
                  <w14:solidFill>
                    <w14:schemeClr w14:val="tx1"/>
                  </w14:solidFill>
                </w14:textFill>
              </w:rPr>
            </w:pPr>
            <w:r>
              <w:rPr>
                <w:rFonts w:hint="eastAsia"/>
                <w:bCs/>
                <w:color w:val="000000" w:themeColor="text1"/>
                <w:kern w:val="0"/>
                <w:sz w:val="24"/>
                <w:lang w:val="en-US" w:eastAsia="zh-CN"/>
                <w14:textFill>
                  <w14:solidFill>
                    <w14:schemeClr w14:val="tx1"/>
                  </w14:solidFill>
                </w14:textFill>
              </w:rPr>
              <w:t>故本次锅炉技改项目新增锅炉锅炉烟气经冷却塔冷却后再经一套“布袋除尘”设备处理属于可行治理措施。</w:t>
            </w:r>
          </w:p>
          <w:p w14:paraId="2AA3A9DD">
            <w:pPr>
              <w:pStyle w:val="9"/>
              <w:autoSpaceDE/>
              <w:autoSpaceDN/>
              <w:adjustRightInd/>
              <w:spacing w:line="240" w:lineRule="auto"/>
              <w:ind w:left="0" w:firstLine="0"/>
              <w:jc w:val="center"/>
              <w:textAlignment w:val="auto"/>
              <w:rPr>
                <w:rFonts w:hint="eastAsia"/>
                <w:bCs/>
                <w:color w:val="FF0000"/>
                <w:kern w:val="0"/>
                <w:sz w:val="24"/>
                <w:lang w:val="en-US" w:eastAsia="zh-CN"/>
              </w:rPr>
            </w:pPr>
            <w:r>
              <w:rPr>
                <w:rFonts w:hint="eastAsia"/>
                <w:b/>
                <w:bCs/>
                <w:color w:val="FF0000"/>
                <w:spacing w:val="-10"/>
                <w:szCs w:val="24"/>
              </w:rPr>
              <w:t>表4-</w:t>
            </w:r>
            <w:r>
              <w:rPr>
                <w:rFonts w:hint="eastAsia"/>
                <w:b/>
                <w:bCs/>
                <w:color w:val="FF0000"/>
                <w:spacing w:val="-10"/>
                <w:szCs w:val="24"/>
                <w:lang w:val="en-US" w:eastAsia="zh-CN"/>
              </w:rPr>
              <w:t>2</w:t>
            </w:r>
            <w:r>
              <w:rPr>
                <w:rFonts w:hint="eastAsia"/>
                <w:b/>
                <w:bCs/>
                <w:color w:val="FF0000"/>
                <w:spacing w:val="-10"/>
                <w:szCs w:val="24"/>
              </w:rPr>
              <w:t>排放口基本情况表</w:t>
            </w:r>
          </w:p>
          <w:tbl>
            <w:tblPr>
              <w:tblStyle w:val="28"/>
              <w:tblW w:w="83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9"/>
              <w:gridCol w:w="742"/>
              <w:gridCol w:w="1264"/>
              <w:gridCol w:w="994"/>
              <w:gridCol w:w="1011"/>
              <w:gridCol w:w="774"/>
              <w:gridCol w:w="821"/>
              <w:gridCol w:w="710"/>
              <w:gridCol w:w="663"/>
              <w:gridCol w:w="680"/>
            </w:tblGrid>
            <w:tr w14:paraId="05468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679" w:type="dxa"/>
                  <w:vMerge w:val="restart"/>
                  <w:shd w:val="clear" w:color="auto" w:fill="auto"/>
                  <w:vAlign w:val="center"/>
                </w:tcPr>
                <w:p w14:paraId="46FFE3F5">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FF0000"/>
                      <w:sz w:val="21"/>
                      <w:szCs w:val="21"/>
                      <w:lang w:val="en-US" w:eastAsia="zh-CN"/>
                    </w:rPr>
                  </w:pPr>
                  <w:r>
                    <w:rPr>
                      <w:rFonts w:hint="eastAsia" w:ascii="Times New Roman" w:hAnsi="Times New Roman" w:eastAsia="宋体" w:cs="Times New Roman"/>
                      <w:b w:val="0"/>
                      <w:bCs w:val="0"/>
                      <w:color w:val="FF0000"/>
                      <w:sz w:val="21"/>
                      <w:szCs w:val="21"/>
                      <w:lang w:val="en-US" w:eastAsia="zh-CN"/>
                    </w:rPr>
                    <w:t>排放口编号</w:t>
                  </w:r>
                </w:p>
              </w:tc>
              <w:tc>
                <w:tcPr>
                  <w:tcW w:w="742" w:type="dxa"/>
                  <w:vMerge w:val="restart"/>
                  <w:vAlign w:val="center"/>
                </w:tcPr>
                <w:p w14:paraId="261A3B68">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FF0000"/>
                      <w:sz w:val="21"/>
                      <w:szCs w:val="21"/>
                      <w:lang w:val="en-US" w:eastAsia="zh-CN"/>
                    </w:rPr>
                  </w:pPr>
                  <w:r>
                    <w:rPr>
                      <w:rFonts w:hint="default" w:ascii="Times New Roman" w:hAnsi="Times New Roman" w:eastAsia="宋体" w:cs="Times New Roman"/>
                      <w:b w:val="0"/>
                      <w:bCs w:val="0"/>
                      <w:color w:val="FF0000"/>
                      <w:sz w:val="21"/>
                      <w:szCs w:val="21"/>
                      <w:lang w:val="en-US" w:eastAsia="zh-CN"/>
                    </w:rPr>
                    <w:t>排放口名称</w:t>
                  </w:r>
                </w:p>
              </w:tc>
              <w:tc>
                <w:tcPr>
                  <w:tcW w:w="1264" w:type="dxa"/>
                  <w:vMerge w:val="restart"/>
                  <w:vAlign w:val="center"/>
                </w:tcPr>
                <w:p w14:paraId="4D425E15">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FF0000"/>
                      <w:sz w:val="21"/>
                      <w:szCs w:val="21"/>
                      <w:lang w:val="en-US" w:eastAsia="zh-CN"/>
                    </w:rPr>
                  </w:pPr>
                  <w:r>
                    <w:rPr>
                      <w:rFonts w:hint="default" w:ascii="Times New Roman" w:hAnsi="Times New Roman" w:eastAsia="宋体" w:cs="Times New Roman"/>
                      <w:b w:val="0"/>
                      <w:bCs w:val="0"/>
                      <w:color w:val="FF0000"/>
                      <w:sz w:val="21"/>
                      <w:szCs w:val="21"/>
                      <w:lang w:val="en-US" w:eastAsia="zh-CN"/>
                    </w:rPr>
                    <w:t>污染物种类</w:t>
                  </w:r>
                </w:p>
              </w:tc>
              <w:tc>
                <w:tcPr>
                  <w:tcW w:w="2005" w:type="dxa"/>
                  <w:gridSpan w:val="2"/>
                  <w:vAlign w:val="center"/>
                </w:tcPr>
                <w:p w14:paraId="3BF2ED76">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FF0000"/>
                      <w:sz w:val="21"/>
                      <w:szCs w:val="21"/>
                      <w:lang w:val="en-US" w:eastAsia="zh-CN"/>
                    </w:rPr>
                  </w:pPr>
                  <w:r>
                    <w:rPr>
                      <w:rFonts w:hint="eastAsia"/>
                      <w:b w:val="0"/>
                      <w:bCs w:val="0"/>
                      <w:color w:val="FF0000"/>
                      <w:sz w:val="21"/>
                      <w:szCs w:val="21"/>
                    </w:rPr>
                    <w:t>排放口地理坐标</w:t>
                  </w:r>
                </w:p>
              </w:tc>
              <w:tc>
                <w:tcPr>
                  <w:tcW w:w="774" w:type="dxa"/>
                  <w:vMerge w:val="restart"/>
                  <w:vAlign w:val="center"/>
                </w:tcPr>
                <w:p w14:paraId="5B202A49">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FF0000"/>
                      <w:sz w:val="21"/>
                      <w:szCs w:val="21"/>
                      <w:lang w:val="en-US" w:eastAsia="zh-CN"/>
                    </w:rPr>
                  </w:pPr>
                  <w:r>
                    <w:rPr>
                      <w:rFonts w:hint="default" w:ascii="Times New Roman" w:hAnsi="Times New Roman" w:eastAsia="宋体" w:cs="Times New Roman"/>
                      <w:b w:val="0"/>
                      <w:bCs w:val="0"/>
                      <w:color w:val="FF0000"/>
                      <w:sz w:val="21"/>
                      <w:szCs w:val="21"/>
                      <w:lang w:val="en-US" w:eastAsia="zh-CN"/>
                    </w:rPr>
                    <w:t>排气</w:t>
                  </w:r>
                  <w:r>
                    <w:rPr>
                      <w:rFonts w:hint="eastAsia" w:ascii="Times New Roman" w:hAnsi="Times New Roman" w:eastAsia="宋体" w:cs="Times New Roman"/>
                      <w:b w:val="0"/>
                      <w:bCs w:val="0"/>
                      <w:color w:val="FF0000"/>
                      <w:sz w:val="21"/>
                      <w:szCs w:val="21"/>
                      <w:lang w:val="en-US" w:eastAsia="zh-CN"/>
                    </w:rPr>
                    <w:t>筒</w:t>
                  </w:r>
                  <w:r>
                    <w:rPr>
                      <w:rFonts w:hint="default" w:ascii="Times New Roman" w:hAnsi="Times New Roman" w:eastAsia="宋体" w:cs="Times New Roman"/>
                      <w:b w:val="0"/>
                      <w:bCs w:val="0"/>
                      <w:color w:val="FF0000"/>
                      <w:sz w:val="21"/>
                      <w:szCs w:val="21"/>
                      <w:lang w:val="en-US" w:eastAsia="zh-CN"/>
                    </w:rPr>
                    <w:t>高度/m</w:t>
                  </w:r>
                </w:p>
              </w:tc>
              <w:tc>
                <w:tcPr>
                  <w:tcW w:w="821" w:type="dxa"/>
                  <w:vMerge w:val="restart"/>
                  <w:vAlign w:val="center"/>
                </w:tcPr>
                <w:p w14:paraId="4CAB0DAF">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FF0000"/>
                      <w:sz w:val="21"/>
                      <w:szCs w:val="21"/>
                      <w:lang w:val="en-US" w:eastAsia="zh-CN"/>
                    </w:rPr>
                  </w:pPr>
                  <w:r>
                    <w:rPr>
                      <w:rFonts w:hint="default" w:ascii="Times New Roman" w:hAnsi="Times New Roman" w:eastAsia="宋体" w:cs="Times New Roman"/>
                      <w:b w:val="0"/>
                      <w:bCs w:val="0"/>
                      <w:color w:val="FF0000"/>
                      <w:sz w:val="21"/>
                      <w:szCs w:val="21"/>
                      <w:lang w:val="en-US" w:eastAsia="zh-CN"/>
                    </w:rPr>
                    <w:t>排气</w:t>
                  </w:r>
                  <w:r>
                    <w:rPr>
                      <w:rFonts w:hint="eastAsia" w:ascii="Times New Roman" w:hAnsi="Times New Roman" w:eastAsia="宋体" w:cs="Times New Roman"/>
                      <w:b w:val="0"/>
                      <w:bCs w:val="0"/>
                      <w:color w:val="FF0000"/>
                      <w:sz w:val="21"/>
                      <w:szCs w:val="21"/>
                      <w:lang w:val="en-US" w:eastAsia="zh-CN"/>
                    </w:rPr>
                    <w:t>筒</w:t>
                  </w:r>
                  <w:r>
                    <w:rPr>
                      <w:rFonts w:hint="default" w:ascii="Times New Roman" w:hAnsi="Times New Roman" w:eastAsia="宋体" w:cs="Times New Roman"/>
                      <w:b w:val="0"/>
                      <w:bCs w:val="0"/>
                      <w:color w:val="FF0000"/>
                      <w:sz w:val="21"/>
                      <w:szCs w:val="21"/>
                      <w:lang w:val="en-US" w:eastAsia="zh-CN"/>
                    </w:rPr>
                    <w:t>内径/m</w:t>
                  </w:r>
                </w:p>
              </w:tc>
              <w:tc>
                <w:tcPr>
                  <w:tcW w:w="710" w:type="dxa"/>
                  <w:vMerge w:val="restart"/>
                  <w:vAlign w:val="center"/>
                </w:tcPr>
                <w:p w14:paraId="4BE546FA">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FF0000"/>
                      <w:sz w:val="21"/>
                      <w:szCs w:val="21"/>
                      <w:lang w:val="en-US" w:eastAsia="zh-CN"/>
                    </w:rPr>
                  </w:pPr>
                  <w:r>
                    <w:rPr>
                      <w:rFonts w:hint="default" w:ascii="Times New Roman" w:hAnsi="Times New Roman" w:eastAsia="宋体" w:cs="Times New Roman"/>
                      <w:b w:val="0"/>
                      <w:bCs w:val="0"/>
                      <w:color w:val="FF0000"/>
                      <w:sz w:val="21"/>
                      <w:szCs w:val="21"/>
                      <w:lang w:val="en-US" w:eastAsia="zh-CN"/>
                    </w:rPr>
                    <w:t>风量m</w:t>
                  </w:r>
                  <w:r>
                    <w:rPr>
                      <w:rFonts w:hint="default" w:ascii="Times New Roman" w:hAnsi="Times New Roman" w:eastAsia="宋体" w:cs="Times New Roman"/>
                      <w:b w:val="0"/>
                      <w:bCs w:val="0"/>
                      <w:color w:val="FF0000"/>
                      <w:sz w:val="21"/>
                      <w:szCs w:val="21"/>
                      <w:vertAlign w:val="superscript"/>
                      <w:lang w:val="en-US" w:eastAsia="zh-CN"/>
                    </w:rPr>
                    <w:t>3</w:t>
                  </w:r>
                  <w:r>
                    <w:rPr>
                      <w:rFonts w:hint="default" w:ascii="Times New Roman" w:hAnsi="Times New Roman" w:eastAsia="宋体" w:cs="Times New Roman"/>
                      <w:b w:val="0"/>
                      <w:bCs w:val="0"/>
                      <w:color w:val="FF0000"/>
                      <w:sz w:val="21"/>
                      <w:szCs w:val="21"/>
                      <w:lang w:val="en-US" w:eastAsia="zh-CN"/>
                    </w:rPr>
                    <w:t>/h</w:t>
                  </w:r>
                </w:p>
              </w:tc>
              <w:tc>
                <w:tcPr>
                  <w:tcW w:w="663" w:type="dxa"/>
                  <w:vMerge w:val="restart"/>
                  <w:vAlign w:val="center"/>
                </w:tcPr>
                <w:p w14:paraId="4C642850">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FF0000"/>
                      <w:sz w:val="21"/>
                      <w:szCs w:val="21"/>
                      <w:lang w:val="en-US" w:eastAsia="zh-CN"/>
                    </w:rPr>
                  </w:pPr>
                  <w:r>
                    <w:rPr>
                      <w:rFonts w:hint="default" w:ascii="Times New Roman" w:hAnsi="Times New Roman" w:eastAsia="宋体" w:cs="Times New Roman"/>
                      <w:b w:val="0"/>
                      <w:bCs w:val="0"/>
                      <w:color w:val="FF0000"/>
                      <w:sz w:val="21"/>
                      <w:szCs w:val="21"/>
                      <w:lang w:val="en-US" w:eastAsia="zh-CN"/>
                    </w:rPr>
                    <w:t>排气温度</w:t>
                  </w:r>
                  <w:r>
                    <w:rPr>
                      <w:rFonts w:hint="eastAsia" w:ascii="Times New Roman" w:hAnsi="Times New Roman" w:eastAsia="宋体" w:cs="Times New Roman"/>
                      <w:b w:val="0"/>
                      <w:bCs w:val="0"/>
                      <w:color w:val="FF0000"/>
                      <w:sz w:val="21"/>
                      <w:szCs w:val="21"/>
                      <w:lang w:val="en-US" w:eastAsia="zh-CN"/>
                    </w:rPr>
                    <w:t>/℃</w:t>
                  </w:r>
                </w:p>
              </w:tc>
              <w:tc>
                <w:tcPr>
                  <w:tcW w:w="680" w:type="dxa"/>
                  <w:vMerge w:val="restart"/>
                  <w:vAlign w:val="center"/>
                </w:tcPr>
                <w:p w14:paraId="6BF52FC1">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FF0000"/>
                      <w:sz w:val="21"/>
                      <w:szCs w:val="21"/>
                      <w:lang w:val="en-US" w:eastAsia="zh-CN"/>
                    </w:rPr>
                  </w:pPr>
                  <w:r>
                    <w:rPr>
                      <w:rFonts w:hint="default" w:ascii="Times New Roman" w:hAnsi="Times New Roman" w:eastAsia="宋体" w:cs="Times New Roman"/>
                      <w:b w:val="0"/>
                      <w:bCs w:val="0"/>
                      <w:color w:val="FF0000"/>
                      <w:sz w:val="21"/>
                      <w:szCs w:val="21"/>
                      <w:lang w:val="en-US" w:eastAsia="zh-CN"/>
                    </w:rPr>
                    <w:t>排气</w:t>
                  </w:r>
                  <w:r>
                    <w:rPr>
                      <w:rFonts w:hint="eastAsia" w:ascii="Times New Roman" w:hAnsi="Times New Roman" w:eastAsia="宋体" w:cs="Times New Roman"/>
                      <w:b w:val="0"/>
                      <w:bCs w:val="0"/>
                      <w:color w:val="FF0000"/>
                      <w:sz w:val="21"/>
                      <w:szCs w:val="21"/>
                      <w:lang w:val="en-US" w:eastAsia="zh-CN"/>
                    </w:rPr>
                    <w:t>筒类型</w:t>
                  </w:r>
                </w:p>
              </w:tc>
            </w:tr>
            <w:tr w14:paraId="2720D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 w:hRule="atLeast"/>
                <w:jc w:val="center"/>
              </w:trPr>
              <w:tc>
                <w:tcPr>
                  <w:tcW w:w="679" w:type="dxa"/>
                  <w:vMerge w:val="continue"/>
                  <w:shd w:val="clear" w:color="auto" w:fill="auto"/>
                  <w:vAlign w:val="center"/>
                </w:tcPr>
                <w:p w14:paraId="5208A3C5">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color w:val="FF0000"/>
                      <w:sz w:val="21"/>
                      <w:szCs w:val="21"/>
                    </w:rPr>
                  </w:pPr>
                </w:p>
              </w:tc>
              <w:tc>
                <w:tcPr>
                  <w:tcW w:w="742" w:type="dxa"/>
                  <w:vMerge w:val="continue"/>
                  <w:vAlign w:val="center"/>
                </w:tcPr>
                <w:p w14:paraId="585ACC4C">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color w:val="FF0000"/>
                      <w:sz w:val="21"/>
                      <w:szCs w:val="21"/>
                    </w:rPr>
                  </w:pPr>
                </w:p>
              </w:tc>
              <w:tc>
                <w:tcPr>
                  <w:tcW w:w="1264" w:type="dxa"/>
                  <w:vMerge w:val="continue"/>
                  <w:vAlign w:val="center"/>
                </w:tcPr>
                <w:p w14:paraId="4141E6EA">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color w:val="FF0000"/>
                      <w:sz w:val="21"/>
                      <w:szCs w:val="21"/>
                    </w:rPr>
                  </w:pPr>
                </w:p>
              </w:tc>
              <w:tc>
                <w:tcPr>
                  <w:tcW w:w="994" w:type="dxa"/>
                  <w:vAlign w:val="center"/>
                </w:tcPr>
                <w:p w14:paraId="0546A888">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FF0000"/>
                      <w:sz w:val="21"/>
                      <w:szCs w:val="21"/>
                      <w:lang w:val="en-US" w:eastAsia="zh-CN"/>
                    </w:rPr>
                  </w:pPr>
                  <w:r>
                    <w:rPr>
                      <w:rFonts w:hint="eastAsia" w:ascii="Times New Roman" w:hAnsi="Times New Roman" w:eastAsia="宋体" w:cs="Times New Roman"/>
                      <w:b w:val="0"/>
                      <w:bCs w:val="0"/>
                      <w:color w:val="FF0000"/>
                      <w:sz w:val="21"/>
                      <w:szCs w:val="21"/>
                      <w:lang w:val="en-US" w:eastAsia="zh-CN"/>
                    </w:rPr>
                    <w:t>经度</w:t>
                  </w:r>
                </w:p>
              </w:tc>
              <w:tc>
                <w:tcPr>
                  <w:tcW w:w="1011" w:type="dxa"/>
                  <w:vAlign w:val="center"/>
                </w:tcPr>
                <w:p w14:paraId="2A9A26AE">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FF0000"/>
                      <w:sz w:val="21"/>
                      <w:szCs w:val="21"/>
                      <w:lang w:val="en-US" w:eastAsia="zh-CN"/>
                    </w:rPr>
                  </w:pPr>
                  <w:r>
                    <w:rPr>
                      <w:rFonts w:hint="eastAsia" w:ascii="Times New Roman" w:hAnsi="Times New Roman" w:eastAsia="宋体" w:cs="Times New Roman"/>
                      <w:b w:val="0"/>
                      <w:bCs w:val="0"/>
                      <w:color w:val="FF0000"/>
                      <w:sz w:val="21"/>
                      <w:szCs w:val="21"/>
                      <w:lang w:val="en-US" w:eastAsia="zh-CN"/>
                    </w:rPr>
                    <w:t>纬度</w:t>
                  </w:r>
                </w:p>
              </w:tc>
              <w:tc>
                <w:tcPr>
                  <w:tcW w:w="774" w:type="dxa"/>
                  <w:vMerge w:val="continue"/>
                  <w:vAlign w:val="center"/>
                </w:tcPr>
                <w:p w14:paraId="17AB5F7C">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FF0000"/>
                      <w:sz w:val="21"/>
                      <w:szCs w:val="21"/>
                      <w:lang w:val="en-US" w:eastAsia="zh-CN"/>
                    </w:rPr>
                  </w:pPr>
                </w:p>
              </w:tc>
              <w:tc>
                <w:tcPr>
                  <w:tcW w:w="821" w:type="dxa"/>
                  <w:vMerge w:val="continue"/>
                  <w:vAlign w:val="center"/>
                </w:tcPr>
                <w:p w14:paraId="09402084">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FF0000"/>
                      <w:sz w:val="21"/>
                      <w:szCs w:val="21"/>
                      <w:lang w:val="en-US" w:eastAsia="zh-CN"/>
                    </w:rPr>
                  </w:pPr>
                </w:p>
              </w:tc>
              <w:tc>
                <w:tcPr>
                  <w:tcW w:w="710" w:type="dxa"/>
                  <w:vMerge w:val="continue"/>
                  <w:vAlign w:val="center"/>
                </w:tcPr>
                <w:p w14:paraId="7DB996B4">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FF0000"/>
                      <w:sz w:val="21"/>
                      <w:szCs w:val="21"/>
                      <w:lang w:val="en-US" w:eastAsia="zh-CN"/>
                    </w:rPr>
                  </w:pPr>
                </w:p>
              </w:tc>
              <w:tc>
                <w:tcPr>
                  <w:tcW w:w="663" w:type="dxa"/>
                  <w:vMerge w:val="continue"/>
                  <w:vAlign w:val="center"/>
                </w:tcPr>
                <w:p w14:paraId="719E2C4B">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FF0000"/>
                      <w:sz w:val="21"/>
                      <w:szCs w:val="21"/>
                      <w:lang w:val="en-US" w:eastAsia="zh-CN"/>
                    </w:rPr>
                  </w:pPr>
                </w:p>
              </w:tc>
              <w:tc>
                <w:tcPr>
                  <w:tcW w:w="680" w:type="dxa"/>
                  <w:vMerge w:val="continue"/>
                  <w:vAlign w:val="center"/>
                </w:tcPr>
                <w:p w14:paraId="3919507D">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FF0000"/>
                      <w:sz w:val="21"/>
                      <w:szCs w:val="21"/>
                      <w:lang w:val="en-US" w:eastAsia="zh-CN"/>
                    </w:rPr>
                  </w:pPr>
                </w:p>
              </w:tc>
            </w:tr>
            <w:tr w14:paraId="38D5B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9" w:type="dxa"/>
                  <w:vAlign w:val="center"/>
                </w:tcPr>
                <w:p w14:paraId="13C84703">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FF0000"/>
                      <w:sz w:val="21"/>
                      <w:szCs w:val="21"/>
                      <w:lang w:val="en-US" w:eastAsia="zh-CN"/>
                    </w:rPr>
                  </w:pPr>
                  <w:r>
                    <w:rPr>
                      <w:rFonts w:hint="eastAsia" w:ascii="Times New Roman" w:hAnsi="Times New Roman" w:eastAsia="宋体" w:cs="Times New Roman"/>
                      <w:b w:val="0"/>
                      <w:bCs w:val="0"/>
                      <w:color w:val="FF0000"/>
                      <w:sz w:val="21"/>
                      <w:szCs w:val="21"/>
                      <w:lang w:val="en-US" w:eastAsia="zh-CN"/>
                    </w:rPr>
                    <w:t>DA001</w:t>
                  </w:r>
                </w:p>
              </w:tc>
              <w:tc>
                <w:tcPr>
                  <w:tcW w:w="742" w:type="dxa"/>
                  <w:vAlign w:val="center"/>
                </w:tcPr>
                <w:p w14:paraId="6F809CAB">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FF0000"/>
                      <w:sz w:val="21"/>
                      <w:szCs w:val="21"/>
                      <w:lang w:val="en-US" w:eastAsia="zh-CN"/>
                    </w:rPr>
                  </w:pPr>
                  <w:r>
                    <w:rPr>
                      <w:rFonts w:hint="eastAsia" w:ascii="Times New Roman" w:hAnsi="Times New Roman" w:eastAsia="宋体" w:cs="Times New Roman"/>
                      <w:b w:val="0"/>
                      <w:bCs w:val="0"/>
                      <w:color w:val="FF0000"/>
                      <w:sz w:val="21"/>
                      <w:szCs w:val="21"/>
                      <w:lang w:val="en-US" w:eastAsia="zh-CN"/>
                    </w:rPr>
                    <w:t>废气排放口</w:t>
                  </w:r>
                </w:p>
              </w:tc>
              <w:tc>
                <w:tcPr>
                  <w:tcW w:w="1264" w:type="dxa"/>
                  <w:vAlign w:val="center"/>
                </w:tcPr>
                <w:p w14:paraId="32EC0AEF">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FF0000"/>
                      <w:sz w:val="21"/>
                      <w:szCs w:val="21"/>
                      <w:vertAlign w:val="baseline"/>
                      <w:lang w:val="en-US" w:eastAsia="zh-CN"/>
                    </w:rPr>
                  </w:pPr>
                  <w:r>
                    <w:rPr>
                      <w:rFonts w:hint="eastAsia"/>
                      <w:color w:val="FF0000"/>
                      <w:szCs w:val="21"/>
                      <w:lang w:val="en-US" w:eastAsia="zh-CN"/>
                    </w:rPr>
                    <w:t>颗粒物、SO</w:t>
                  </w:r>
                  <w:r>
                    <w:rPr>
                      <w:rFonts w:hint="eastAsia"/>
                      <w:color w:val="FF0000"/>
                      <w:szCs w:val="21"/>
                      <w:vertAlign w:val="subscript"/>
                      <w:lang w:val="en-US" w:eastAsia="zh-CN"/>
                    </w:rPr>
                    <w:t>2</w:t>
                  </w:r>
                  <w:r>
                    <w:rPr>
                      <w:rFonts w:hint="eastAsia"/>
                      <w:color w:val="FF0000"/>
                      <w:szCs w:val="21"/>
                      <w:vertAlign w:val="baseline"/>
                      <w:lang w:val="en-US" w:eastAsia="zh-CN"/>
                    </w:rPr>
                    <w:t>、</w:t>
                  </w:r>
                  <w:r>
                    <w:rPr>
                      <w:rFonts w:hint="eastAsia"/>
                      <w:color w:val="FF0000"/>
                      <w:szCs w:val="21"/>
                      <w:lang w:val="en-US" w:eastAsia="zh-CN"/>
                    </w:rPr>
                    <w:t>NO</w:t>
                  </w:r>
                  <w:r>
                    <w:rPr>
                      <w:rFonts w:hint="eastAsia"/>
                      <w:color w:val="FF0000"/>
                      <w:szCs w:val="21"/>
                      <w:vertAlign w:val="subscript"/>
                      <w:lang w:val="en-US" w:eastAsia="zh-CN"/>
                    </w:rPr>
                    <w:t>X</w:t>
                  </w:r>
                </w:p>
              </w:tc>
              <w:tc>
                <w:tcPr>
                  <w:tcW w:w="994" w:type="dxa"/>
                  <w:vAlign w:val="center"/>
                </w:tcPr>
                <w:p w14:paraId="4B935167">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FF0000"/>
                      <w:sz w:val="21"/>
                      <w:szCs w:val="21"/>
                      <w:lang w:val="en-US" w:eastAsia="zh-CN"/>
                    </w:rPr>
                  </w:pPr>
                  <w:r>
                    <w:rPr>
                      <w:rFonts w:hint="default" w:ascii="Times New Roman" w:hAnsi="Times New Roman" w:eastAsia="宋体" w:cs="Times New Roman"/>
                      <w:b w:val="0"/>
                      <w:bCs w:val="0"/>
                      <w:color w:val="FF0000"/>
                      <w:sz w:val="21"/>
                      <w:szCs w:val="21"/>
                      <w:lang w:val="en-US" w:eastAsia="zh-CN"/>
                    </w:rPr>
                    <w:t>115°30′15.779″</w:t>
                  </w:r>
                </w:p>
              </w:tc>
              <w:tc>
                <w:tcPr>
                  <w:tcW w:w="1011" w:type="dxa"/>
                  <w:vAlign w:val="center"/>
                </w:tcPr>
                <w:p w14:paraId="4453FA27">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FF0000"/>
                      <w:sz w:val="21"/>
                      <w:szCs w:val="21"/>
                      <w:lang w:val="en-US" w:eastAsia="zh-CN"/>
                    </w:rPr>
                  </w:pPr>
                  <w:r>
                    <w:rPr>
                      <w:rFonts w:hint="default" w:ascii="Times New Roman" w:hAnsi="Times New Roman" w:eastAsia="宋体" w:cs="Times New Roman"/>
                      <w:b w:val="0"/>
                      <w:bCs w:val="0"/>
                      <w:color w:val="FF0000"/>
                      <w:sz w:val="21"/>
                      <w:szCs w:val="21"/>
                      <w:lang w:val="en-US" w:eastAsia="zh-CN"/>
                    </w:rPr>
                    <w:t>28°8′46.991″</w:t>
                  </w:r>
                </w:p>
              </w:tc>
              <w:tc>
                <w:tcPr>
                  <w:tcW w:w="774" w:type="dxa"/>
                  <w:vAlign w:val="center"/>
                </w:tcPr>
                <w:p w14:paraId="5A1AB0EF">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FF0000"/>
                      <w:sz w:val="21"/>
                      <w:szCs w:val="21"/>
                      <w:lang w:val="en-US" w:eastAsia="zh-CN"/>
                    </w:rPr>
                  </w:pPr>
                  <w:r>
                    <w:rPr>
                      <w:rFonts w:hint="eastAsia" w:cs="Times New Roman"/>
                      <w:b w:val="0"/>
                      <w:bCs w:val="0"/>
                      <w:color w:val="FF0000"/>
                      <w:sz w:val="21"/>
                      <w:szCs w:val="21"/>
                      <w:lang w:val="en-US" w:eastAsia="zh-CN"/>
                    </w:rPr>
                    <w:t>35</w:t>
                  </w:r>
                </w:p>
              </w:tc>
              <w:tc>
                <w:tcPr>
                  <w:tcW w:w="821" w:type="dxa"/>
                  <w:vAlign w:val="center"/>
                </w:tcPr>
                <w:p w14:paraId="7047030B">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FF0000"/>
                      <w:sz w:val="21"/>
                      <w:szCs w:val="21"/>
                      <w:lang w:val="en-US" w:eastAsia="zh-CN"/>
                    </w:rPr>
                  </w:pPr>
                  <w:r>
                    <w:rPr>
                      <w:rFonts w:hint="eastAsia" w:ascii="Times New Roman" w:hAnsi="Times New Roman" w:eastAsia="宋体" w:cs="Times New Roman"/>
                      <w:b w:val="0"/>
                      <w:bCs w:val="0"/>
                      <w:color w:val="FF0000"/>
                      <w:sz w:val="21"/>
                      <w:szCs w:val="21"/>
                      <w:lang w:val="en-US" w:eastAsia="zh-CN"/>
                    </w:rPr>
                    <w:t>0.</w:t>
                  </w:r>
                  <w:r>
                    <w:rPr>
                      <w:rFonts w:hint="eastAsia" w:cs="Times New Roman"/>
                      <w:b w:val="0"/>
                      <w:bCs w:val="0"/>
                      <w:color w:val="FF0000"/>
                      <w:sz w:val="21"/>
                      <w:szCs w:val="21"/>
                      <w:lang w:val="en-US" w:eastAsia="zh-CN"/>
                    </w:rPr>
                    <w:t>6</w:t>
                  </w:r>
                </w:p>
              </w:tc>
              <w:tc>
                <w:tcPr>
                  <w:tcW w:w="710" w:type="dxa"/>
                  <w:vAlign w:val="center"/>
                </w:tcPr>
                <w:p w14:paraId="0A988C1F">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FF0000"/>
                      <w:sz w:val="21"/>
                      <w:szCs w:val="21"/>
                      <w:lang w:val="en-US" w:eastAsia="zh-CN"/>
                    </w:rPr>
                  </w:pPr>
                  <w:r>
                    <w:rPr>
                      <w:rFonts w:hint="eastAsia" w:cs="Times New Roman"/>
                      <w:b w:val="0"/>
                      <w:bCs w:val="0"/>
                      <w:color w:val="FF0000"/>
                      <w:sz w:val="21"/>
                      <w:szCs w:val="21"/>
                      <w:lang w:val="en-US" w:eastAsia="zh-CN"/>
                    </w:rPr>
                    <w:t>6039</w:t>
                  </w:r>
                </w:p>
              </w:tc>
              <w:tc>
                <w:tcPr>
                  <w:tcW w:w="663" w:type="dxa"/>
                  <w:vAlign w:val="center"/>
                </w:tcPr>
                <w:p w14:paraId="22D250FA">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FF0000"/>
                      <w:sz w:val="21"/>
                      <w:szCs w:val="21"/>
                      <w:lang w:val="en-US" w:eastAsia="zh-CN"/>
                    </w:rPr>
                  </w:pPr>
                  <w:r>
                    <w:rPr>
                      <w:rFonts w:hint="eastAsia" w:ascii="Times New Roman" w:hAnsi="Times New Roman" w:eastAsia="宋体" w:cs="Times New Roman"/>
                      <w:b w:val="0"/>
                      <w:bCs w:val="0"/>
                      <w:color w:val="FF0000"/>
                      <w:sz w:val="21"/>
                      <w:szCs w:val="21"/>
                      <w:lang w:val="en-US" w:eastAsia="zh-CN"/>
                    </w:rPr>
                    <w:t>65</w:t>
                  </w:r>
                </w:p>
              </w:tc>
              <w:tc>
                <w:tcPr>
                  <w:tcW w:w="680" w:type="dxa"/>
                  <w:vAlign w:val="center"/>
                </w:tcPr>
                <w:p w14:paraId="7DBE8091">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default" w:ascii="Times New Roman" w:hAnsi="Times New Roman" w:eastAsia="宋体" w:cs="Times New Roman"/>
                      <w:b w:val="0"/>
                      <w:bCs w:val="0"/>
                      <w:color w:val="FF0000"/>
                      <w:sz w:val="21"/>
                      <w:szCs w:val="21"/>
                      <w:lang w:val="en-US" w:eastAsia="zh-CN"/>
                    </w:rPr>
                  </w:pPr>
                  <w:r>
                    <w:rPr>
                      <w:rFonts w:hint="eastAsia"/>
                      <w:b w:val="0"/>
                      <w:bCs w:val="0"/>
                      <w:color w:val="FF0000"/>
                      <w:sz w:val="21"/>
                      <w:szCs w:val="21"/>
                      <w:lang w:val="en-US" w:eastAsia="zh-CN"/>
                    </w:rPr>
                    <w:t>一般排放口</w:t>
                  </w:r>
                </w:p>
              </w:tc>
            </w:tr>
          </w:tbl>
          <w:p w14:paraId="2F92F4CC">
            <w:pPr>
              <w:pStyle w:val="41"/>
              <w:spacing w:before="0" w:after="0" w:line="360" w:lineRule="auto"/>
              <w:ind w:left="0" w:leftChars="0" w:firstLine="458" w:firstLineChars="200"/>
              <w:rPr>
                <w:rFonts w:eastAsia="宋体"/>
                <w:color w:val="auto"/>
                <w:sz w:val="24"/>
                <w:szCs w:val="24"/>
              </w:rPr>
            </w:pPr>
            <w:r>
              <w:rPr>
                <w:rFonts w:hint="eastAsia" w:eastAsia="宋体"/>
                <w:color w:val="auto"/>
                <w:sz w:val="24"/>
                <w:szCs w:val="24"/>
              </w:rPr>
              <w:t>4、废气环境影响分析</w:t>
            </w:r>
          </w:p>
          <w:p w14:paraId="3D929AA1">
            <w:pPr>
              <w:spacing w:line="360" w:lineRule="auto"/>
              <w:ind w:firstLine="480"/>
              <w:rPr>
                <w:color w:val="000000" w:themeColor="text1"/>
                <w:sz w:val="24"/>
                <w14:textFill>
                  <w14:solidFill>
                    <w14:schemeClr w14:val="tx1"/>
                  </w14:solidFill>
                </w14:textFill>
              </w:rPr>
            </w:pPr>
            <w:r>
              <w:rPr>
                <w:color w:val="000000" w:themeColor="text1"/>
                <w:sz w:val="24"/>
                <w14:textFill>
                  <w14:solidFill>
                    <w14:schemeClr w14:val="tx1"/>
                  </w14:solidFill>
                </w14:textFill>
              </w:rPr>
              <w:t>本</w:t>
            </w:r>
            <w:r>
              <w:rPr>
                <w:rFonts w:hint="eastAsia"/>
                <w:color w:val="000000" w:themeColor="text1"/>
                <w:sz w:val="24"/>
                <w:lang w:val="en-US" w:eastAsia="zh-CN"/>
                <w14:textFill>
                  <w14:solidFill>
                    <w14:schemeClr w14:val="tx1"/>
                  </w14:solidFill>
                </w14:textFill>
              </w:rPr>
              <w:t>技改</w:t>
            </w:r>
            <w:r>
              <w:rPr>
                <w:color w:val="000000" w:themeColor="text1"/>
                <w:sz w:val="24"/>
                <w14:textFill>
                  <w14:solidFill>
                    <w14:schemeClr w14:val="tx1"/>
                  </w14:solidFill>
                </w14:textFill>
              </w:rPr>
              <w:t>项目产生的大气污染物主要为</w:t>
            </w:r>
            <w:r>
              <w:rPr>
                <w:rFonts w:hint="eastAsia"/>
                <w:color w:val="000000" w:themeColor="text1"/>
                <w:sz w:val="24"/>
                <w:vertAlign w:val="baseline"/>
                <w:lang w:val="en-US" w:eastAsia="zh-CN"/>
                <w14:textFill>
                  <w14:solidFill>
                    <w14:schemeClr w14:val="tx1"/>
                  </w14:solidFill>
                </w14:textFill>
              </w:rPr>
              <w:t>生物质燃烧时产生的锅炉烟气（颗粒物、SO</w:t>
            </w:r>
            <w:r>
              <w:rPr>
                <w:rFonts w:hint="eastAsia"/>
                <w:color w:val="000000" w:themeColor="text1"/>
                <w:sz w:val="24"/>
                <w:vertAlign w:val="subscript"/>
                <w:lang w:val="en-US" w:eastAsia="zh-CN"/>
                <w14:textFill>
                  <w14:solidFill>
                    <w14:schemeClr w14:val="tx1"/>
                  </w14:solidFill>
                </w14:textFill>
              </w:rPr>
              <w:t>2</w:t>
            </w:r>
            <w:r>
              <w:rPr>
                <w:rFonts w:hint="eastAsia"/>
                <w:color w:val="000000" w:themeColor="text1"/>
                <w:sz w:val="24"/>
                <w:vertAlign w:val="baseline"/>
                <w:lang w:val="en-US" w:eastAsia="zh-CN"/>
                <w14:textFill>
                  <w14:solidFill>
                    <w14:schemeClr w14:val="tx1"/>
                  </w14:solidFill>
                </w14:textFill>
              </w:rPr>
              <w:t>、NO</w:t>
            </w:r>
            <w:r>
              <w:rPr>
                <w:rFonts w:hint="eastAsia"/>
                <w:color w:val="000000" w:themeColor="text1"/>
                <w:sz w:val="24"/>
                <w:vertAlign w:val="subscript"/>
                <w:lang w:val="en-US" w:eastAsia="zh-CN"/>
                <w14:textFill>
                  <w14:solidFill>
                    <w14:schemeClr w14:val="tx1"/>
                  </w14:solidFill>
                </w14:textFill>
              </w:rPr>
              <w:t>X</w:t>
            </w:r>
            <w:r>
              <w:rPr>
                <w:rFonts w:hint="eastAsia"/>
                <w:color w:val="000000" w:themeColor="text1"/>
                <w:sz w:val="24"/>
                <w:vertAlign w:val="baseline"/>
                <w:lang w:val="en-US" w:eastAsia="zh-CN"/>
                <w14:textFill>
                  <w14:solidFill>
                    <w14:schemeClr w14:val="tx1"/>
                  </w14:solidFill>
                </w14:textFill>
              </w:rPr>
              <w:t>）。</w:t>
            </w:r>
            <w:r>
              <w:rPr>
                <w:color w:val="000000" w:themeColor="text1"/>
                <w:sz w:val="24"/>
                <w14:textFill>
                  <w14:solidFill>
                    <w14:schemeClr w14:val="tx1"/>
                  </w14:solidFill>
                </w14:textFill>
              </w:rPr>
              <w:t>在正常情况下，各项废气经处理后均能达标排放，对周边环境影响较小。</w:t>
            </w:r>
          </w:p>
          <w:p w14:paraId="3A47128E">
            <w:pPr>
              <w:spacing w:line="360" w:lineRule="auto"/>
              <w:ind w:left="420" w:leftChars="200"/>
              <w:rPr>
                <w:rFonts w:ascii="宋体" w:hAnsi="宋体" w:cs="宋体"/>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5、</w:t>
            </w:r>
            <w:r>
              <w:rPr>
                <w:b/>
                <w:color w:val="000000" w:themeColor="text1"/>
                <w:sz w:val="24"/>
                <w14:textFill>
                  <w14:solidFill>
                    <w14:schemeClr w14:val="tx1"/>
                  </w14:solidFill>
                </w14:textFill>
              </w:rPr>
              <w:t>项目非正常排放情况分析</w:t>
            </w:r>
          </w:p>
          <w:p w14:paraId="0D249641">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非正常情况下，废气处理系统处理效率降低。按照处理效率为0%，无环保治理措施计算，则非正常情况下的排放情况见表：</w:t>
            </w:r>
          </w:p>
          <w:p w14:paraId="44F837A7">
            <w:pPr>
              <w:pStyle w:val="9"/>
              <w:autoSpaceDE/>
              <w:autoSpaceDN/>
              <w:adjustRightInd/>
              <w:spacing w:line="240" w:lineRule="auto"/>
              <w:ind w:left="0" w:firstLine="0"/>
              <w:jc w:val="center"/>
              <w:textAlignment w:val="auto"/>
              <w:rPr>
                <w:b/>
                <w:bCs/>
                <w:spacing w:val="-10"/>
                <w:szCs w:val="24"/>
              </w:rPr>
            </w:pPr>
            <w:r>
              <w:rPr>
                <w:b/>
                <w:bCs/>
                <w:spacing w:val="-10"/>
                <w:szCs w:val="24"/>
              </w:rPr>
              <w:t>表4-</w:t>
            </w:r>
            <w:r>
              <w:rPr>
                <w:rFonts w:hint="eastAsia"/>
                <w:b/>
                <w:bCs/>
                <w:spacing w:val="-10"/>
                <w:szCs w:val="24"/>
                <w:lang w:val="en-US" w:eastAsia="zh-CN"/>
              </w:rPr>
              <w:t xml:space="preserve">3 </w:t>
            </w:r>
            <w:r>
              <w:rPr>
                <w:rFonts w:hint="eastAsia"/>
                <w:b/>
                <w:bCs/>
                <w:spacing w:val="-10"/>
                <w:szCs w:val="24"/>
              </w:rPr>
              <w:t xml:space="preserve"> 非正常情况下污染物排放情况一览表</w:t>
            </w:r>
          </w:p>
          <w:tbl>
            <w:tblPr>
              <w:tblStyle w:val="2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0"/>
              <w:gridCol w:w="1043"/>
              <w:gridCol w:w="1012"/>
              <w:gridCol w:w="900"/>
              <w:gridCol w:w="933"/>
              <w:gridCol w:w="1070"/>
              <w:gridCol w:w="2050"/>
            </w:tblGrid>
            <w:tr w14:paraId="103CE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2" w:type="pct"/>
                  <w:vMerge w:val="restart"/>
                  <w:vAlign w:val="center"/>
                </w:tcPr>
                <w:p w14:paraId="78734CBD">
                  <w:pPr>
                    <w:pStyle w:val="5"/>
                    <w:spacing w:before="0" w:after="0" w:line="0" w:lineRule="atLeast"/>
                    <w:jc w:val="center"/>
                    <w:rPr>
                      <w:sz w:val="21"/>
                      <w:szCs w:val="21"/>
                    </w:rPr>
                  </w:pPr>
                  <w:r>
                    <w:rPr>
                      <w:sz w:val="21"/>
                      <w:szCs w:val="21"/>
                    </w:rPr>
                    <w:t>产排污环节</w:t>
                  </w:r>
                </w:p>
              </w:tc>
              <w:tc>
                <w:tcPr>
                  <w:tcW w:w="626" w:type="pct"/>
                  <w:vMerge w:val="restart"/>
                  <w:vAlign w:val="center"/>
                </w:tcPr>
                <w:p w14:paraId="05B194CB">
                  <w:pPr>
                    <w:pStyle w:val="5"/>
                    <w:spacing w:before="0" w:after="0" w:line="0" w:lineRule="atLeast"/>
                    <w:jc w:val="center"/>
                    <w:rPr>
                      <w:sz w:val="21"/>
                      <w:szCs w:val="21"/>
                    </w:rPr>
                  </w:pPr>
                  <w:r>
                    <w:rPr>
                      <w:sz w:val="21"/>
                      <w:szCs w:val="21"/>
                    </w:rPr>
                    <w:t>污染物种类</w:t>
                  </w:r>
                </w:p>
              </w:tc>
              <w:tc>
                <w:tcPr>
                  <w:tcW w:w="1147" w:type="pct"/>
                  <w:gridSpan w:val="2"/>
                  <w:vAlign w:val="center"/>
                </w:tcPr>
                <w:p w14:paraId="1085A1EC">
                  <w:pPr>
                    <w:pStyle w:val="5"/>
                    <w:spacing w:before="0" w:after="0" w:line="0" w:lineRule="atLeast"/>
                    <w:jc w:val="center"/>
                    <w:rPr>
                      <w:sz w:val="21"/>
                      <w:szCs w:val="21"/>
                    </w:rPr>
                  </w:pPr>
                  <w:r>
                    <w:rPr>
                      <w:sz w:val="21"/>
                      <w:szCs w:val="21"/>
                    </w:rPr>
                    <w:t>污染物排放</w:t>
                  </w:r>
                </w:p>
              </w:tc>
              <w:tc>
                <w:tcPr>
                  <w:tcW w:w="1202" w:type="pct"/>
                  <w:gridSpan w:val="2"/>
                  <w:vAlign w:val="center"/>
                </w:tcPr>
                <w:p w14:paraId="12D94616">
                  <w:pPr>
                    <w:pStyle w:val="5"/>
                    <w:spacing w:before="0" w:after="0" w:line="0" w:lineRule="atLeast"/>
                    <w:jc w:val="center"/>
                    <w:rPr>
                      <w:sz w:val="21"/>
                      <w:szCs w:val="21"/>
                    </w:rPr>
                  </w:pPr>
                  <w:r>
                    <w:rPr>
                      <w:sz w:val="21"/>
                      <w:szCs w:val="21"/>
                    </w:rPr>
                    <w:t>非正常排放情况</w:t>
                  </w:r>
                </w:p>
              </w:tc>
              <w:tc>
                <w:tcPr>
                  <w:tcW w:w="1230" w:type="pct"/>
                  <w:vMerge w:val="restart"/>
                  <w:vAlign w:val="center"/>
                </w:tcPr>
                <w:p w14:paraId="52D2737B">
                  <w:pPr>
                    <w:pStyle w:val="5"/>
                    <w:spacing w:before="0" w:after="0" w:line="0" w:lineRule="atLeast"/>
                    <w:jc w:val="center"/>
                    <w:rPr>
                      <w:sz w:val="21"/>
                      <w:szCs w:val="21"/>
                    </w:rPr>
                  </w:pPr>
                  <w:r>
                    <w:rPr>
                      <w:sz w:val="21"/>
                      <w:szCs w:val="21"/>
                    </w:rPr>
                    <w:t>控制措施</w:t>
                  </w:r>
                </w:p>
              </w:tc>
            </w:tr>
            <w:tr w14:paraId="6D92E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trPr>
              <w:tc>
                <w:tcPr>
                  <w:tcW w:w="792" w:type="pct"/>
                  <w:vMerge w:val="continue"/>
                  <w:vAlign w:val="center"/>
                </w:tcPr>
                <w:p w14:paraId="7EEBD133">
                  <w:pPr>
                    <w:spacing w:line="0" w:lineRule="atLeast"/>
                    <w:ind w:firstLine="422"/>
                    <w:jc w:val="center"/>
                    <w:rPr>
                      <w:b/>
                      <w:bCs/>
                      <w:szCs w:val="21"/>
                      <w:highlight w:val="red"/>
                    </w:rPr>
                  </w:pPr>
                </w:p>
              </w:tc>
              <w:tc>
                <w:tcPr>
                  <w:tcW w:w="626" w:type="pct"/>
                  <w:vMerge w:val="continue"/>
                  <w:vAlign w:val="center"/>
                </w:tcPr>
                <w:p w14:paraId="0AA16210">
                  <w:pPr>
                    <w:spacing w:line="0" w:lineRule="atLeast"/>
                    <w:ind w:firstLine="422"/>
                    <w:jc w:val="center"/>
                    <w:rPr>
                      <w:b/>
                      <w:bCs/>
                      <w:szCs w:val="21"/>
                      <w:highlight w:val="red"/>
                    </w:rPr>
                  </w:pPr>
                </w:p>
              </w:tc>
              <w:tc>
                <w:tcPr>
                  <w:tcW w:w="607" w:type="pct"/>
                  <w:vAlign w:val="center"/>
                </w:tcPr>
                <w:p w14:paraId="4941A7C8">
                  <w:pPr>
                    <w:pStyle w:val="5"/>
                    <w:spacing w:before="0" w:after="0" w:line="0" w:lineRule="atLeast"/>
                    <w:jc w:val="center"/>
                    <w:rPr>
                      <w:sz w:val="21"/>
                      <w:szCs w:val="21"/>
                    </w:rPr>
                  </w:pPr>
                  <w:r>
                    <w:rPr>
                      <w:sz w:val="21"/>
                      <w:szCs w:val="21"/>
                    </w:rPr>
                    <w:t>排放速率kg/h</w:t>
                  </w:r>
                </w:p>
              </w:tc>
              <w:tc>
                <w:tcPr>
                  <w:tcW w:w="540" w:type="pct"/>
                  <w:vAlign w:val="center"/>
                </w:tcPr>
                <w:p w14:paraId="418823D2">
                  <w:pPr>
                    <w:pStyle w:val="5"/>
                    <w:spacing w:before="0" w:after="0" w:line="0" w:lineRule="atLeast"/>
                    <w:jc w:val="center"/>
                    <w:rPr>
                      <w:sz w:val="21"/>
                      <w:szCs w:val="21"/>
                    </w:rPr>
                  </w:pPr>
                  <w:r>
                    <w:rPr>
                      <w:sz w:val="21"/>
                      <w:szCs w:val="21"/>
                    </w:rPr>
                    <w:t>排放量kg/a</w:t>
                  </w:r>
                </w:p>
              </w:tc>
              <w:tc>
                <w:tcPr>
                  <w:tcW w:w="560" w:type="pct"/>
                  <w:vAlign w:val="center"/>
                </w:tcPr>
                <w:p w14:paraId="759CDE46">
                  <w:pPr>
                    <w:pStyle w:val="5"/>
                    <w:spacing w:before="0" w:after="0" w:line="0" w:lineRule="atLeast"/>
                    <w:jc w:val="center"/>
                    <w:rPr>
                      <w:sz w:val="21"/>
                      <w:szCs w:val="21"/>
                    </w:rPr>
                  </w:pPr>
                  <w:r>
                    <w:rPr>
                      <w:sz w:val="21"/>
                      <w:szCs w:val="21"/>
                    </w:rPr>
                    <w:t>年发生频次/次</w:t>
                  </w:r>
                </w:p>
              </w:tc>
              <w:tc>
                <w:tcPr>
                  <w:tcW w:w="642" w:type="pct"/>
                  <w:vAlign w:val="center"/>
                </w:tcPr>
                <w:p w14:paraId="75278330">
                  <w:pPr>
                    <w:spacing w:line="0" w:lineRule="atLeast"/>
                    <w:jc w:val="center"/>
                    <w:rPr>
                      <w:b/>
                      <w:bCs/>
                      <w:szCs w:val="21"/>
                    </w:rPr>
                  </w:pPr>
                  <w:r>
                    <w:rPr>
                      <w:b/>
                      <w:bCs/>
                      <w:szCs w:val="21"/>
                    </w:rPr>
                    <w:t>单次持续时间/h</w:t>
                  </w:r>
                </w:p>
              </w:tc>
              <w:tc>
                <w:tcPr>
                  <w:tcW w:w="1230" w:type="pct"/>
                  <w:vMerge w:val="continue"/>
                  <w:vAlign w:val="center"/>
                </w:tcPr>
                <w:p w14:paraId="6288D309">
                  <w:pPr>
                    <w:spacing w:line="0" w:lineRule="atLeast"/>
                    <w:ind w:firstLine="482"/>
                    <w:jc w:val="center"/>
                    <w:rPr>
                      <w:b/>
                      <w:bCs/>
                      <w:szCs w:val="21"/>
                      <w:highlight w:val="red"/>
                    </w:rPr>
                  </w:pPr>
                </w:p>
              </w:tc>
            </w:tr>
            <w:tr w14:paraId="799A5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792" w:type="pct"/>
                  <w:vMerge w:val="restart"/>
                  <w:vAlign w:val="center"/>
                </w:tcPr>
                <w:p w14:paraId="760360F1">
                  <w:pPr>
                    <w:jc w:val="center"/>
                    <w:rPr>
                      <w:rFonts w:hint="default"/>
                      <w:color w:val="auto"/>
                      <w:szCs w:val="21"/>
                      <w:highlight w:val="none"/>
                      <w:lang w:val="en-US" w:eastAsia="zh-CN"/>
                    </w:rPr>
                  </w:pPr>
                  <w:r>
                    <w:rPr>
                      <w:rFonts w:hint="eastAsia"/>
                      <w:color w:val="auto"/>
                      <w:szCs w:val="21"/>
                      <w:highlight w:val="none"/>
                      <w:lang w:val="en-US" w:eastAsia="zh-CN"/>
                    </w:rPr>
                    <w:t>锅炉燃烧</w:t>
                  </w:r>
                </w:p>
              </w:tc>
              <w:tc>
                <w:tcPr>
                  <w:tcW w:w="626" w:type="pct"/>
                  <w:vAlign w:val="center"/>
                </w:tcPr>
                <w:p w14:paraId="3A62BDE3">
                  <w:pPr>
                    <w:spacing w:line="0" w:lineRule="atLeast"/>
                    <w:jc w:val="center"/>
                    <w:rPr>
                      <w:rFonts w:hint="default"/>
                      <w:szCs w:val="21"/>
                      <w:lang w:val="en-US" w:eastAsia="zh-CN"/>
                    </w:rPr>
                  </w:pPr>
                  <w:r>
                    <w:rPr>
                      <w:rFonts w:hint="eastAsia"/>
                      <w:szCs w:val="21"/>
                      <w:lang w:val="en-US" w:eastAsia="zh-CN"/>
                    </w:rPr>
                    <w:t>颗粒物</w:t>
                  </w:r>
                </w:p>
              </w:tc>
              <w:tc>
                <w:tcPr>
                  <w:tcW w:w="1012" w:type="dxa"/>
                  <w:vAlign w:val="center"/>
                </w:tcPr>
                <w:p w14:paraId="49C438C0">
                  <w:pPr>
                    <w:pStyle w:val="5"/>
                    <w:spacing w:before="0" w:after="0" w:line="0" w:lineRule="atLeast"/>
                    <w:jc w:val="center"/>
                    <w:rPr>
                      <w:rFonts w:hint="default" w:cs="Times New Roman"/>
                      <w:b w:val="0"/>
                      <w:bCs w:val="0"/>
                      <w:color w:val="FF0000"/>
                      <w:sz w:val="21"/>
                      <w:szCs w:val="21"/>
                      <w:lang w:val="en-US" w:eastAsia="zh-CN"/>
                    </w:rPr>
                  </w:pPr>
                  <w:r>
                    <w:rPr>
                      <w:rFonts w:hint="eastAsia"/>
                      <w:b w:val="0"/>
                      <w:bCs w:val="0"/>
                      <w:color w:val="FF0000"/>
                      <w:sz w:val="21"/>
                      <w:szCs w:val="21"/>
                      <w:lang w:val="en-US" w:eastAsia="zh-CN"/>
                    </w:rPr>
                    <w:t>36.387</w:t>
                  </w:r>
                </w:p>
              </w:tc>
              <w:tc>
                <w:tcPr>
                  <w:tcW w:w="900" w:type="dxa"/>
                  <w:vAlign w:val="center"/>
                </w:tcPr>
                <w:p w14:paraId="5999F49C">
                  <w:pPr>
                    <w:pStyle w:val="5"/>
                    <w:spacing w:before="0" w:after="0" w:line="0" w:lineRule="atLeast"/>
                    <w:jc w:val="center"/>
                    <w:rPr>
                      <w:rFonts w:hint="default"/>
                      <w:b w:val="0"/>
                      <w:color w:val="FF0000"/>
                      <w:sz w:val="21"/>
                      <w:szCs w:val="21"/>
                      <w:lang w:val="en-US" w:eastAsia="zh-CN"/>
                    </w:rPr>
                  </w:pPr>
                  <w:r>
                    <w:rPr>
                      <w:rFonts w:hint="eastAsia"/>
                      <w:b w:val="0"/>
                      <w:color w:val="FF0000"/>
                      <w:sz w:val="21"/>
                      <w:szCs w:val="21"/>
                      <w:lang w:val="en-US" w:eastAsia="zh-CN"/>
                    </w:rPr>
                    <w:t>72.774</w:t>
                  </w:r>
                </w:p>
              </w:tc>
              <w:tc>
                <w:tcPr>
                  <w:tcW w:w="560" w:type="pct"/>
                  <w:vAlign w:val="center"/>
                </w:tcPr>
                <w:p w14:paraId="60BA7976">
                  <w:pPr>
                    <w:pStyle w:val="5"/>
                    <w:spacing w:before="0" w:after="0" w:line="0" w:lineRule="atLeast"/>
                    <w:jc w:val="center"/>
                    <w:rPr>
                      <w:rFonts w:hint="eastAsia" w:eastAsia="宋体"/>
                      <w:b w:val="0"/>
                      <w:sz w:val="21"/>
                      <w:szCs w:val="21"/>
                      <w:lang w:val="en-US" w:eastAsia="zh-CN"/>
                    </w:rPr>
                  </w:pPr>
                  <w:r>
                    <w:rPr>
                      <w:rFonts w:hint="eastAsia"/>
                      <w:b w:val="0"/>
                      <w:sz w:val="21"/>
                      <w:szCs w:val="21"/>
                      <w:lang w:val="en-US" w:eastAsia="zh-CN"/>
                    </w:rPr>
                    <w:t>2</w:t>
                  </w:r>
                </w:p>
              </w:tc>
              <w:tc>
                <w:tcPr>
                  <w:tcW w:w="642" w:type="pct"/>
                  <w:vAlign w:val="center"/>
                </w:tcPr>
                <w:p w14:paraId="620C263C">
                  <w:pPr>
                    <w:spacing w:line="0" w:lineRule="atLeast"/>
                    <w:jc w:val="center"/>
                    <w:rPr>
                      <w:rFonts w:hint="eastAsia" w:eastAsia="宋体"/>
                      <w:szCs w:val="21"/>
                      <w:lang w:val="en-US" w:eastAsia="zh-CN"/>
                    </w:rPr>
                  </w:pPr>
                  <w:r>
                    <w:rPr>
                      <w:rFonts w:hint="eastAsia"/>
                      <w:szCs w:val="21"/>
                      <w:lang w:val="en-US" w:eastAsia="zh-CN"/>
                    </w:rPr>
                    <w:t>1</w:t>
                  </w:r>
                </w:p>
              </w:tc>
              <w:tc>
                <w:tcPr>
                  <w:tcW w:w="1230" w:type="pct"/>
                  <w:vMerge w:val="restart"/>
                  <w:vAlign w:val="center"/>
                </w:tcPr>
                <w:p w14:paraId="11A57622">
                  <w:pPr>
                    <w:spacing w:line="0" w:lineRule="atLeast"/>
                    <w:jc w:val="both"/>
                    <w:rPr>
                      <w:rFonts w:hint="eastAsia" w:eastAsia="宋体"/>
                      <w:b/>
                      <w:bCs/>
                      <w:szCs w:val="21"/>
                      <w:lang w:val="en-US" w:eastAsia="zh-CN"/>
                    </w:rPr>
                  </w:pPr>
                  <w:r>
                    <w:rPr>
                      <w:color w:val="auto"/>
                      <w:szCs w:val="21"/>
                      <w:highlight w:val="none"/>
                    </w:rPr>
                    <w:t>企业应加强管理，一旦废气</w:t>
                  </w:r>
                  <w:r>
                    <w:rPr>
                      <w:rFonts w:hint="eastAsia"/>
                      <w:color w:val="auto"/>
                      <w:szCs w:val="21"/>
                      <w:highlight w:val="none"/>
                      <w:lang w:val="en-US" w:eastAsia="zh-CN"/>
                    </w:rPr>
                    <w:t>处</w:t>
                  </w:r>
                  <w:r>
                    <w:rPr>
                      <w:color w:val="auto"/>
                      <w:szCs w:val="21"/>
                      <w:highlight w:val="none"/>
                    </w:rPr>
                    <w:t>理设施故障</w:t>
                  </w:r>
                  <w:r>
                    <w:rPr>
                      <w:rFonts w:hint="eastAsia"/>
                      <w:color w:val="auto"/>
                      <w:szCs w:val="21"/>
                      <w:highlight w:val="none"/>
                      <w:lang w:val="en-US" w:eastAsia="zh-CN"/>
                    </w:rPr>
                    <w:t>立即</w:t>
                  </w:r>
                  <w:r>
                    <w:rPr>
                      <w:color w:val="auto"/>
                      <w:szCs w:val="21"/>
                      <w:highlight w:val="none"/>
                    </w:rPr>
                    <w:t>检修，防</w:t>
                  </w:r>
                  <w:r>
                    <w:rPr>
                      <w:rFonts w:hint="eastAsia"/>
                      <w:color w:val="auto"/>
                      <w:szCs w:val="21"/>
                      <w:highlight w:val="none"/>
                      <w:lang w:val="en-US" w:eastAsia="zh-CN"/>
                    </w:rPr>
                    <w:t>止</w:t>
                  </w:r>
                  <w:r>
                    <w:rPr>
                      <w:color w:val="auto"/>
                      <w:szCs w:val="21"/>
                      <w:highlight w:val="none"/>
                    </w:rPr>
                    <w:t>停产事故废气排放</w:t>
                  </w:r>
                  <w:r>
                    <w:rPr>
                      <w:rFonts w:hint="eastAsia"/>
                      <w:color w:val="auto"/>
                      <w:szCs w:val="21"/>
                      <w:highlight w:val="none"/>
                      <w:lang w:eastAsia="zh-CN"/>
                    </w:rPr>
                    <w:t>。</w:t>
                  </w:r>
                </w:p>
              </w:tc>
            </w:tr>
            <w:tr w14:paraId="57183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792" w:type="pct"/>
                  <w:vMerge w:val="continue"/>
                  <w:vAlign w:val="center"/>
                </w:tcPr>
                <w:p w14:paraId="136BBCA6">
                  <w:pPr>
                    <w:jc w:val="center"/>
                    <w:rPr>
                      <w:rFonts w:hint="eastAsia"/>
                      <w:color w:val="auto"/>
                      <w:szCs w:val="21"/>
                      <w:highlight w:val="none"/>
                      <w:lang w:val="en-US" w:eastAsia="zh-CN"/>
                    </w:rPr>
                  </w:pPr>
                </w:p>
              </w:tc>
              <w:tc>
                <w:tcPr>
                  <w:tcW w:w="626" w:type="pct"/>
                  <w:vAlign w:val="center"/>
                </w:tcPr>
                <w:p w14:paraId="323C2CE0">
                  <w:pPr>
                    <w:spacing w:line="0" w:lineRule="atLeast"/>
                    <w:jc w:val="center"/>
                    <w:rPr>
                      <w:rFonts w:hint="eastAsia"/>
                      <w:szCs w:val="21"/>
                      <w:lang w:val="en-US" w:eastAsia="zh-CN"/>
                    </w:rPr>
                  </w:pPr>
                  <w:r>
                    <w:rPr>
                      <w:rFonts w:hint="eastAsia"/>
                      <w:szCs w:val="21"/>
                      <w:lang w:val="en-US" w:eastAsia="zh-CN"/>
                    </w:rPr>
                    <w:t>SO</w:t>
                  </w:r>
                  <w:r>
                    <w:rPr>
                      <w:rFonts w:hint="eastAsia"/>
                      <w:szCs w:val="21"/>
                      <w:vertAlign w:val="subscript"/>
                      <w:lang w:val="en-US" w:eastAsia="zh-CN"/>
                    </w:rPr>
                    <w:t>2</w:t>
                  </w:r>
                </w:p>
              </w:tc>
              <w:tc>
                <w:tcPr>
                  <w:tcW w:w="1012" w:type="dxa"/>
                  <w:vAlign w:val="center"/>
                </w:tcPr>
                <w:p w14:paraId="5A5F105E">
                  <w:pPr>
                    <w:pStyle w:val="5"/>
                    <w:spacing w:before="0" w:after="0" w:line="0" w:lineRule="atLeast"/>
                    <w:jc w:val="center"/>
                    <w:rPr>
                      <w:rFonts w:hint="eastAsia" w:cs="Times New Roman"/>
                      <w:b w:val="0"/>
                      <w:bCs w:val="0"/>
                      <w:color w:val="auto"/>
                      <w:sz w:val="21"/>
                      <w:szCs w:val="21"/>
                      <w:lang w:val="en-US" w:eastAsia="zh-CN"/>
                    </w:rPr>
                  </w:pPr>
                  <w:r>
                    <w:rPr>
                      <w:rFonts w:hint="eastAsia" w:cs="Times New Roman"/>
                      <w:b w:val="0"/>
                      <w:bCs w:val="0"/>
                      <w:color w:val="auto"/>
                      <w:sz w:val="21"/>
                      <w:szCs w:val="21"/>
                      <w:lang w:val="en-US" w:eastAsia="zh-CN"/>
                    </w:rPr>
                    <w:t>0.165</w:t>
                  </w:r>
                </w:p>
              </w:tc>
              <w:tc>
                <w:tcPr>
                  <w:tcW w:w="540" w:type="pct"/>
                  <w:vAlign w:val="center"/>
                </w:tcPr>
                <w:p w14:paraId="37B67438">
                  <w:pPr>
                    <w:spacing w:line="0" w:lineRule="atLeast"/>
                    <w:jc w:val="center"/>
                    <w:rPr>
                      <w:rFonts w:hint="default"/>
                      <w:b w:val="0"/>
                      <w:sz w:val="21"/>
                      <w:szCs w:val="21"/>
                      <w:lang w:val="en-US" w:eastAsia="zh-CN"/>
                    </w:rPr>
                  </w:pPr>
                  <w:r>
                    <w:rPr>
                      <w:rFonts w:hint="eastAsia"/>
                      <w:b w:val="0"/>
                      <w:sz w:val="21"/>
                      <w:szCs w:val="21"/>
                      <w:lang w:val="en-US" w:eastAsia="zh-CN"/>
                    </w:rPr>
                    <w:t>0.33</w:t>
                  </w:r>
                </w:p>
              </w:tc>
              <w:tc>
                <w:tcPr>
                  <w:tcW w:w="560" w:type="pct"/>
                  <w:vAlign w:val="center"/>
                </w:tcPr>
                <w:p w14:paraId="2568B672">
                  <w:pPr>
                    <w:spacing w:line="0" w:lineRule="atLeast"/>
                    <w:jc w:val="center"/>
                    <w:rPr>
                      <w:rFonts w:hint="eastAsia"/>
                      <w:b w:val="0"/>
                      <w:sz w:val="21"/>
                      <w:szCs w:val="21"/>
                      <w:lang w:val="en-US" w:eastAsia="zh-CN"/>
                    </w:rPr>
                  </w:pPr>
                  <w:r>
                    <w:rPr>
                      <w:szCs w:val="21"/>
                    </w:rPr>
                    <w:t>2</w:t>
                  </w:r>
                </w:p>
              </w:tc>
              <w:tc>
                <w:tcPr>
                  <w:tcW w:w="642" w:type="pct"/>
                  <w:vAlign w:val="center"/>
                </w:tcPr>
                <w:p w14:paraId="67558AA9">
                  <w:pPr>
                    <w:spacing w:line="0" w:lineRule="atLeast"/>
                    <w:jc w:val="center"/>
                    <w:rPr>
                      <w:rFonts w:hint="eastAsia"/>
                      <w:szCs w:val="21"/>
                      <w:lang w:val="en-US" w:eastAsia="zh-CN"/>
                    </w:rPr>
                  </w:pPr>
                  <w:r>
                    <w:rPr>
                      <w:szCs w:val="21"/>
                    </w:rPr>
                    <w:t>1</w:t>
                  </w:r>
                </w:p>
              </w:tc>
              <w:tc>
                <w:tcPr>
                  <w:tcW w:w="1230" w:type="pct"/>
                  <w:vMerge w:val="continue"/>
                  <w:vAlign w:val="center"/>
                </w:tcPr>
                <w:p w14:paraId="1A48B3C5">
                  <w:pPr>
                    <w:spacing w:line="0" w:lineRule="atLeast"/>
                    <w:jc w:val="center"/>
                    <w:rPr>
                      <w:color w:val="auto"/>
                      <w:szCs w:val="21"/>
                      <w:highlight w:val="none"/>
                    </w:rPr>
                  </w:pPr>
                </w:p>
              </w:tc>
            </w:tr>
            <w:tr w14:paraId="67F8B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792" w:type="pct"/>
                  <w:vMerge w:val="continue"/>
                  <w:vAlign w:val="center"/>
                </w:tcPr>
                <w:p w14:paraId="27CFB57E">
                  <w:pPr>
                    <w:jc w:val="center"/>
                    <w:rPr>
                      <w:rFonts w:hint="eastAsia"/>
                      <w:color w:val="auto"/>
                      <w:szCs w:val="21"/>
                      <w:highlight w:val="none"/>
                      <w:lang w:val="en-US" w:eastAsia="zh-CN"/>
                    </w:rPr>
                  </w:pPr>
                </w:p>
              </w:tc>
              <w:tc>
                <w:tcPr>
                  <w:tcW w:w="626" w:type="pct"/>
                  <w:vAlign w:val="center"/>
                </w:tcPr>
                <w:p w14:paraId="5E715067">
                  <w:pPr>
                    <w:spacing w:line="0" w:lineRule="atLeast"/>
                    <w:jc w:val="center"/>
                    <w:rPr>
                      <w:rFonts w:hint="eastAsia"/>
                      <w:szCs w:val="21"/>
                      <w:lang w:val="en-US" w:eastAsia="zh-CN"/>
                    </w:rPr>
                  </w:pPr>
                  <w:r>
                    <w:rPr>
                      <w:rFonts w:hint="eastAsia"/>
                      <w:szCs w:val="21"/>
                      <w:lang w:val="en-US" w:eastAsia="zh-CN"/>
                    </w:rPr>
                    <w:t>NO</w:t>
                  </w:r>
                  <w:r>
                    <w:rPr>
                      <w:rFonts w:hint="eastAsia"/>
                      <w:szCs w:val="21"/>
                      <w:vertAlign w:val="subscript"/>
                      <w:lang w:val="en-US" w:eastAsia="zh-CN"/>
                    </w:rPr>
                    <w:t>X</w:t>
                  </w:r>
                </w:p>
              </w:tc>
              <w:tc>
                <w:tcPr>
                  <w:tcW w:w="1012" w:type="dxa"/>
                  <w:vAlign w:val="center"/>
                </w:tcPr>
                <w:p w14:paraId="3DC9749C">
                  <w:pPr>
                    <w:pStyle w:val="5"/>
                    <w:spacing w:before="0" w:after="0" w:line="0" w:lineRule="atLeast"/>
                    <w:jc w:val="center"/>
                    <w:rPr>
                      <w:rFonts w:hint="eastAsia" w:cs="Times New Roman"/>
                      <w:b w:val="0"/>
                      <w:bCs w:val="0"/>
                      <w:color w:val="auto"/>
                      <w:sz w:val="21"/>
                      <w:szCs w:val="21"/>
                      <w:lang w:val="en-US" w:eastAsia="zh-CN"/>
                    </w:rPr>
                  </w:pPr>
                  <w:r>
                    <w:rPr>
                      <w:rFonts w:hint="eastAsia" w:cs="Times New Roman"/>
                      <w:b w:val="0"/>
                      <w:bCs w:val="0"/>
                      <w:color w:val="000000" w:themeColor="text1"/>
                      <w:sz w:val="21"/>
                      <w:szCs w:val="21"/>
                      <w:lang w:val="en-US" w:eastAsia="zh-CN"/>
                      <w14:textFill>
                        <w14:solidFill>
                          <w14:schemeClr w14:val="tx1"/>
                        </w14:solidFill>
                      </w14:textFill>
                    </w:rPr>
                    <w:t>0.987</w:t>
                  </w:r>
                </w:p>
              </w:tc>
              <w:tc>
                <w:tcPr>
                  <w:tcW w:w="540" w:type="pct"/>
                  <w:vAlign w:val="center"/>
                </w:tcPr>
                <w:p w14:paraId="6B18A4E2">
                  <w:pPr>
                    <w:spacing w:line="0" w:lineRule="atLeast"/>
                    <w:jc w:val="center"/>
                    <w:rPr>
                      <w:rFonts w:hint="default"/>
                      <w:b w:val="0"/>
                      <w:sz w:val="21"/>
                      <w:szCs w:val="21"/>
                      <w:lang w:val="en-US" w:eastAsia="zh-CN"/>
                    </w:rPr>
                  </w:pPr>
                  <w:r>
                    <w:rPr>
                      <w:rFonts w:hint="eastAsia"/>
                      <w:b w:val="0"/>
                      <w:sz w:val="21"/>
                      <w:szCs w:val="21"/>
                      <w:lang w:val="en-US" w:eastAsia="zh-CN"/>
                    </w:rPr>
                    <w:t>1.974</w:t>
                  </w:r>
                </w:p>
              </w:tc>
              <w:tc>
                <w:tcPr>
                  <w:tcW w:w="560" w:type="pct"/>
                  <w:vAlign w:val="center"/>
                </w:tcPr>
                <w:p w14:paraId="7DE0D8CC">
                  <w:pPr>
                    <w:spacing w:line="0" w:lineRule="atLeast"/>
                    <w:jc w:val="center"/>
                    <w:rPr>
                      <w:rFonts w:hint="eastAsia"/>
                      <w:b w:val="0"/>
                      <w:sz w:val="21"/>
                      <w:szCs w:val="21"/>
                      <w:lang w:val="en-US" w:eastAsia="zh-CN"/>
                    </w:rPr>
                  </w:pPr>
                  <w:r>
                    <w:rPr>
                      <w:rFonts w:hint="eastAsia"/>
                      <w:szCs w:val="21"/>
                      <w:lang w:val="en-US" w:eastAsia="zh-CN"/>
                    </w:rPr>
                    <w:t>2</w:t>
                  </w:r>
                </w:p>
              </w:tc>
              <w:tc>
                <w:tcPr>
                  <w:tcW w:w="642" w:type="pct"/>
                  <w:vAlign w:val="center"/>
                </w:tcPr>
                <w:p w14:paraId="395DEB06">
                  <w:pPr>
                    <w:spacing w:line="0" w:lineRule="atLeast"/>
                    <w:jc w:val="center"/>
                    <w:rPr>
                      <w:rFonts w:hint="eastAsia"/>
                      <w:szCs w:val="21"/>
                      <w:lang w:val="en-US" w:eastAsia="zh-CN"/>
                    </w:rPr>
                  </w:pPr>
                  <w:r>
                    <w:rPr>
                      <w:rFonts w:hint="eastAsia"/>
                      <w:szCs w:val="21"/>
                      <w:lang w:val="en-US" w:eastAsia="zh-CN"/>
                    </w:rPr>
                    <w:t>1</w:t>
                  </w:r>
                </w:p>
              </w:tc>
              <w:tc>
                <w:tcPr>
                  <w:tcW w:w="1230" w:type="pct"/>
                  <w:vMerge w:val="continue"/>
                  <w:vAlign w:val="center"/>
                </w:tcPr>
                <w:p w14:paraId="07FE77C2">
                  <w:pPr>
                    <w:spacing w:line="0" w:lineRule="atLeast"/>
                    <w:jc w:val="center"/>
                    <w:rPr>
                      <w:color w:val="auto"/>
                      <w:szCs w:val="21"/>
                      <w:highlight w:val="none"/>
                    </w:rPr>
                  </w:pPr>
                </w:p>
              </w:tc>
            </w:tr>
          </w:tbl>
          <w:p w14:paraId="7A6621C6">
            <w:pPr>
              <w:pStyle w:val="7"/>
              <w:numPr>
                <w:ilvl w:val="0"/>
                <w:numId w:val="0"/>
              </w:numPr>
              <w:ind w:firstLine="482" w:firstLineChars="200"/>
              <w:rPr>
                <w:b/>
                <w:bCs/>
              </w:rPr>
            </w:pPr>
            <w:r>
              <w:rPr>
                <w:rFonts w:hint="eastAsia"/>
                <w:b/>
                <w:bCs/>
                <w:lang w:val="en-US" w:eastAsia="zh-CN"/>
              </w:rPr>
              <w:t>6、</w:t>
            </w:r>
            <w:r>
              <w:rPr>
                <w:b/>
                <w:bCs/>
              </w:rPr>
              <w:t>废气监测要求</w:t>
            </w:r>
          </w:p>
          <w:p w14:paraId="770C3AB6">
            <w:pPr>
              <w:autoSpaceDE w:val="0"/>
              <w:autoSpaceDN w:val="0"/>
              <w:adjustRightInd w:val="0"/>
              <w:spacing w:line="360" w:lineRule="auto"/>
              <w:ind w:firstLine="480" w:firstLineChars="200"/>
              <w:jc w:val="left"/>
              <w:rPr>
                <w:b/>
                <w:bCs/>
                <w:color w:val="000000" w:themeColor="text1"/>
                <w:sz w:val="24"/>
                <w:szCs w:val="24"/>
                <w14:textFill>
                  <w14:solidFill>
                    <w14:schemeClr w14:val="tx1"/>
                  </w14:solidFill>
                </w14:textFill>
              </w:rPr>
            </w:pPr>
            <w:r>
              <w:rPr>
                <w:rFonts w:hint="eastAsia"/>
                <w:color w:val="000000" w:themeColor="text1"/>
                <w:sz w:val="24"/>
                <w:szCs w:val="24"/>
                <w:lang w:bidi="en-US"/>
                <w14:textFill>
                  <w14:solidFill>
                    <w14:schemeClr w14:val="tx1"/>
                  </w14:solidFill>
                </w14:textFill>
              </w:rPr>
              <w:t>根据《排污单位自行监测技术指南</w:t>
            </w:r>
            <w:r>
              <w:rPr>
                <w:rFonts w:hint="eastAsia"/>
                <w:color w:val="000000" w:themeColor="text1"/>
                <w:sz w:val="24"/>
                <w:szCs w:val="24"/>
                <w:lang w:val="en-US" w:eastAsia="zh-CN" w:bidi="en-US"/>
                <w14:textFill>
                  <w14:solidFill>
                    <w14:schemeClr w14:val="tx1"/>
                  </w14:solidFill>
                </w14:textFill>
              </w:rPr>
              <w:t>_</w:t>
            </w:r>
            <w:r>
              <w:rPr>
                <w:rFonts w:hint="eastAsia"/>
                <w:color w:val="000000" w:themeColor="text1"/>
                <w:sz w:val="24"/>
                <w:szCs w:val="24"/>
                <w:lang w:bidi="en-US"/>
                <w14:textFill>
                  <w14:solidFill>
                    <w14:schemeClr w14:val="tx1"/>
                  </w14:solidFill>
                </w14:textFill>
              </w:rPr>
              <w:t>总则》（</w:t>
            </w:r>
            <w:r>
              <w:rPr>
                <w:color w:val="000000" w:themeColor="text1"/>
                <w:sz w:val="24"/>
                <w:szCs w:val="24"/>
                <w:lang w:bidi="en-US"/>
                <w14:textFill>
                  <w14:solidFill>
                    <w14:schemeClr w14:val="tx1"/>
                  </w14:solidFill>
                </w14:textFill>
              </w:rPr>
              <w:t>HJ819-2017</w:t>
            </w:r>
            <w:r>
              <w:rPr>
                <w:rFonts w:hint="eastAsia"/>
                <w:color w:val="000000" w:themeColor="text1"/>
                <w:sz w:val="24"/>
                <w:szCs w:val="24"/>
                <w:lang w:bidi="en-US"/>
                <w14:textFill>
                  <w14:solidFill>
                    <w14:schemeClr w14:val="tx1"/>
                  </w14:solidFill>
                </w14:textFill>
              </w:rPr>
              <w:t>）</w:t>
            </w:r>
            <w:r>
              <w:rPr>
                <w:rFonts w:hint="eastAsia"/>
                <w:color w:val="000000" w:themeColor="text1"/>
                <w:sz w:val="24"/>
                <w:szCs w:val="24"/>
                <w:lang w:eastAsia="zh-CN" w:bidi="en-US"/>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《排污单位自行监测技术指南 火力发电及锅炉》</w:t>
            </w:r>
            <w:r>
              <w:rPr>
                <w:rFonts w:hint="eastAsia"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HJ820-2017</w:t>
            </w:r>
            <w:r>
              <w:rPr>
                <w:rFonts w:hint="eastAsia" w:ascii="Times New Roman" w:hAnsi="Times New Roman" w:cs="Times New Roman"/>
                <w:color w:val="000000" w:themeColor="text1"/>
                <w:sz w:val="24"/>
                <w:szCs w:val="24"/>
                <w:lang w:eastAsia="zh-CN"/>
                <w14:textFill>
                  <w14:solidFill>
                    <w14:schemeClr w14:val="tx1"/>
                  </w14:solidFill>
                </w14:textFill>
              </w:rPr>
              <w:t>）</w:t>
            </w:r>
            <w:r>
              <w:rPr>
                <w:rFonts w:hint="eastAsia"/>
                <w:color w:val="000000" w:themeColor="text1"/>
                <w:sz w:val="24"/>
                <w:szCs w:val="24"/>
                <w:lang w:bidi="en-US"/>
                <w14:textFill>
                  <w14:solidFill>
                    <w14:schemeClr w14:val="tx1"/>
                  </w14:solidFill>
                </w14:textFill>
              </w:rPr>
              <w:t>相关要求，本项目废气监测计划详见下</w:t>
            </w:r>
            <w:r>
              <w:rPr>
                <w:color w:val="000000" w:themeColor="text1"/>
                <w:sz w:val="24"/>
                <w:szCs w:val="24"/>
                <w14:textFill>
                  <w14:solidFill>
                    <w14:schemeClr w14:val="tx1"/>
                  </w14:solidFill>
                </w14:textFill>
              </w:rPr>
              <w:t>表4-</w:t>
            </w:r>
            <w:r>
              <w:rPr>
                <w:rFonts w:hint="eastAsia"/>
                <w:color w:val="000000" w:themeColor="text1"/>
                <w:sz w:val="24"/>
                <w:szCs w:val="24"/>
                <w:lang w:val="en-US" w:eastAsia="zh-CN"/>
                <w14:textFill>
                  <w14:solidFill>
                    <w14:schemeClr w14:val="tx1"/>
                  </w14:solidFill>
                </w14:textFill>
              </w:rPr>
              <w:t>4</w:t>
            </w:r>
            <w:r>
              <w:rPr>
                <w:color w:val="000000" w:themeColor="text1"/>
                <w:sz w:val="24"/>
                <w:szCs w:val="24"/>
                <w14:textFill>
                  <w14:solidFill>
                    <w14:schemeClr w14:val="tx1"/>
                  </w14:solidFill>
                </w14:textFill>
              </w:rPr>
              <w:t>。</w:t>
            </w:r>
          </w:p>
          <w:p w14:paraId="08513D91">
            <w:pPr>
              <w:pStyle w:val="9"/>
              <w:ind w:left="0" w:firstLine="0"/>
              <w:jc w:val="center"/>
              <w:rPr>
                <w:b/>
                <w:bCs/>
                <w:color w:val="000000" w:themeColor="text1"/>
                <w14:textFill>
                  <w14:solidFill>
                    <w14:schemeClr w14:val="tx1"/>
                  </w14:solidFill>
                </w14:textFill>
              </w:rPr>
            </w:pPr>
            <w:r>
              <w:rPr>
                <w:b/>
                <w:bCs/>
                <w:color w:val="000000" w:themeColor="text1"/>
                <w14:textFill>
                  <w14:solidFill>
                    <w14:schemeClr w14:val="tx1"/>
                  </w14:solidFill>
                </w14:textFill>
              </w:rPr>
              <w:t>表4-</w:t>
            </w:r>
            <w:r>
              <w:rPr>
                <w:rFonts w:hint="eastAsia"/>
                <w:b/>
                <w:bCs/>
                <w:color w:val="000000" w:themeColor="text1"/>
                <w:lang w:val="en-US" w:eastAsia="zh-CN"/>
                <w14:textFill>
                  <w14:solidFill>
                    <w14:schemeClr w14:val="tx1"/>
                  </w14:solidFill>
                </w14:textFill>
              </w:rPr>
              <w:t>4</w:t>
            </w:r>
            <w:r>
              <w:rPr>
                <w:b/>
                <w:bCs/>
                <w:color w:val="000000" w:themeColor="text1"/>
                <w14:textFill>
                  <w14:solidFill>
                    <w14:schemeClr w14:val="tx1"/>
                  </w14:solidFill>
                </w14:textFill>
              </w:rPr>
              <w:t xml:space="preserve">  废气监测计划一览表</w:t>
            </w: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5"/>
              <w:gridCol w:w="1908"/>
              <w:gridCol w:w="708"/>
              <w:gridCol w:w="4787"/>
            </w:tblGrid>
            <w:tr w14:paraId="322C7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5" w:type="dxa"/>
                  <w:vAlign w:val="center"/>
                </w:tcPr>
                <w:p w14:paraId="14E317CF">
                  <w:pPr>
                    <w:widowControl/>
                    <w:jc w:val="center"/>
                    <w:textAlignment w:val="center"/>
                    <w:rPr>
                      <w:bCs/>
                      <w:color w:val="000000" w:themeColor="text1"/>
                      <w14:textFill>
                        <w14:solidFill>
                          <w14:schemeClr w14:val="tx1"/>
                        </w14:solidFill>
                      </w14:textFill>
                    </w:rPr>
                  </w:pPr>
                  <w:r>
                    <w:rPr>
                      <w:b/>
                      <w:bCs/>
                      <w:color w:val="000000" w:themeColor="text1"/>
                      <w14:textFill>
                        <w14:solidFill>
                          <w14:schemeClr w14:val="tx1"/>
                        </w14:solidFill>
                      </w14:textFill>
                    </w:rPr>
                    <w:t>监测点位</w:t>
                  </w:r>
                </w:p>
              </w:tc>
              <w:tc>
                <w:tcPr>
                  <w:tcW w:w="1908" w:type="dxa"/>
                  <w:vAlign w:val="center"/>
                </w:tcPr>
                <w:p w14:paraId="7633D3D3">
                  <w:pPr>
                    <w:widowControl/>
                    <w:jc w:val="center"/>
                    <w:textAlignment w:val="center"/>
                    <w:rPr>
                      <w:bCs/>
                      <w:color w:val="000000" w:themeColor="text1"/>
                      <w14:textFill>
                        <w14:solidFill>
                          <w14:schemeClr w14:val="tx1"/>
                        </w14:solidFill>
                      </w14:textFill>
                    </w:rPr>
                  </w:pPr>
                  <w:r>
                    <w:rPr>
                      <w:b/>
                      <w:bCs/>
                      <w:color w:val="000000" w:themeColor="text1"/>
                      <w14:textFill>
                        <w14:solidFill>
                          <w14:schemeClr w14:val="tx1"/>
                        </w14:solidFill>
                      </w14:textFill>
                    </w:rPr>
                    <w:t>监测指标</w:t>
                  </w:r>
                </w:p>
              </w:tc>
              <w:tc>
                <w:tcPr>
                  <w:tcW w:w="708" w:type="dxa"/>
                  <w:vAlign w:val="center"/>
                </w:tcPr>
                <w:p w14:paraId="23D02675">
                  <w:pPr>
                    <w:widowControl/>
                    <w:jc w:val="center"/>
                    <w:textAlignment w:val="center"/>
                    <w:rPr>
                      <w:bCs/>
                      <w:color w:val="000000" w:themeColor="text1"/>
                      <w14:textFill>
                        <w14:solidFill>
                          <w14:schemeClr w14:val="tx1"/>
                        </w14:solidFill>
                      </w14:textFill>
                    </w:rPr>
                  </w:pPr>
                  <w:r>
                    <w:rPr>
                      <w:b/>
                      <w:bCs/>
                      <w:color w:val="000000" w:themeColor="text1"/>
                      <w14:textFill>
                        <w14:solidFill>
                          <w14:schemeClr w14:val="tx1"/>
                        </w14:solidFill>
                      </w14:textFill>
                    </w:rPr>
                    <w:t>监测频次</w:t>
                  </w:r>
                </w:p>
              </w:tc>
              <w:tc>
                <w:tcPr>
                  <w:tcW w:w="4787" w:type="dxa"/>
                  <w:vAlign w:val="center"/>
                </w:tcPr>
                <w:p w14:paraId="503A80ED">
                  <w:pPr>
                    <w:widowControl/>
                    <w:jc w:val="center"/>
                    <w:textAlignment w:val="center"/>
                    <w:rPr>
                      <w:bCs/>
                      <w:color w:val="000000" w:themeColor="text1"/>
                      <w14:textFill>
                        <w14:solidFill>
                          <w14:schemeClr w14:val="tx1"/>
                        </w14:solidFill>
                      </w14:textFill>
                    </w:rPr>
                  </w:pPr>
                  <w:r>
                    <w:rPr>
                      <w:b/>
                      <w:bCs/>
                      <w:color w:val="000000" w:themeColor="text1"/>
                      <w14:textFill>
                        <w14:solidFill>
                          <w14:schemeClr w14:val="tx1"/>
                        </w14:solidFill>
                      </w14:textFill>
                    </w:rPr>
                    <w:t>排放标准</w:t>
                  </w:r>
                </w:p>
              </w:tc>
            </w:tr>
            <w:tr w14:paraId="0CC0C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935" w:type="dxa"/>
                  <w:vMerge w:val="restart"/>
                  <w:vAlign w:val="center"/>
                </w:tcPr>
                <w:p w14:paraId="5F0B7E68">
                  <w:pPr>
                    <w:widowControl/>
                    <w:jc w:val="center"/>
                    <w:textAlignment w:val="center"/>
                    <w:rPr>
                      <w:bCs/>
                      <w:color w:val="000000" w:themeColor="text1"/>
                      <w14:textFill>
                        <w14:solidFill>
                          <w14:schemeClr w14:val="tx1"/>
                        </w14:solidFill>
                      </w14:textFill>
                    </w:rPr>
                  </w:pPr>
                  <w:r>
                    <w:rPr>
                      <w:rFonts w:hint="eastAsia"/>
                      <w:color w:val="000000" w:themeColor="text1"/>
                      <w:kern w:val="0"/>
                      <w:szCs w:val="21"/>
                      <w:lang w:bidi="ar"/>
                      <w14:textFill>
                        <w14:solidFill>
                          <w14:schemeClr w14:val="tx1"/>
                        </w14:solidFill>
                      </w14:textFill>
                    </w:rPr>
                    <w:t>DA001</w:t>
                  </w:r>
                </w:p>
              </w:tc>
              <w:tc>
                <w:tcPr>
                  <w:tcW w:w="1908" w:type="dxa"/>
                  <w:vAlign w:val="center"/>
                </w:tcPr>
                <w:p w14:paraId="7AD1AD1F">
                  <w:pPr>
                    <w:widowControl/>
                    <w:jc w:val="center"/>
                    <w:textAlignment w:val="center"/>
                    <w:rPr>
                      <w:rFonts w:hint="eastAsia" w:eastAsia="宋体"/>
                      <w:bCs/>
                      <w:color w:val="000000" w:themeColor="text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NO</w:t>
                  </w:r>
                  <w:r>
                    <w:rPr>
                      <w:rFonts w:hint="eastAsia"/>
                      <w:color w:val="000000" w:themeColor="text1"/>
                      <w:szCs w:val="21"/>
                      <w:vertAlign w:val="subscript"/>
                      <w:lang w:val="en-US" w:eastAsia="zh-CN"/>
                      <w14:textFill>
                        <w14:solidFill>
                          <w14:schemeClr w14:val="tx1"/>
                        </w14:solidFill>
                      </w14:textFill>
                    </w:rPr>
                    <w:t>X</w:t>
                  </w:r>
                </w:p>
              </w:tc>
              <w:tc>
                <w:tcPr>
                  <w:tcW w:w="708" w:type="dxa"/>
                  <w:vAlign w:val="center"/>
                </w:tcPr>
                <w:p w14:paraId="5AC4E58F">
                  <w:pPr>
                    <w:widowControl/>
                    <w:jc w:val="center"/>
                    <w:textAlignment w:val="center"/>
                    <w:rPr>
                      <w:rFonts w:hint="eastAsia" w:eastAsia="宋体"/>
                      <w:bCs/>
                      <w:color w:val="000000" w:themeColor="text1"/>
                      <w:lang w:val="en-US" w:eastAsia="zh-CN"/>
                      <w14:textFill>
                        <w14:solidFill>
                          <w14:schemeClr w14:val="tx1"/>
                        </w14:solidFill>
                      </w14:textFill>
                    </w:rPr>
                  </w:pPr>
                  <w:r>
                    <w:rPr>
                      <w:color w:val="000000" w:themeColor="text1"/>
                      <w14:textFill>
                        <w14:solidFill>
                          <w14:schemeClr w14:val="tx1"/>
                        </w14:solidFill>
                      </w14:textFill>
                    </w:rPr>
                    <w:t>1次/</w:t>
                  </w:r>
                  <w:r>
                    <w:rPr>
                      <w:rFonts w:hint="eastAsia"/>
                      <w:color w:val="000000" w:themeColor="text1"/>
                      <w:lang w:val="en-US" w:eastAsia="zh-CN"/>
                      <w14:textFill>
                        <w14:solidFill>
                          <w14:schemeClr w14:val="tx1"/>
                        </w14:solidFill>
                      </w14:textFill>
                    </w:rPr>
                    <w:t>月</w:t>
                  </w:r>
                </w:p>
              </w:tc>
              <w:tc>
                <w:tcPr>
                  <w:tcW w:w="4787" w:type="dxa"/>
                  <w:vAlign w:val="center"/>
                </w:tcPr>
                <w:p w14:paraId="19715D11">
                  <w:pPr>
                    <w:widowControl/>
                    <w:jc w:val="center"/>
                    <w:textAlignment w:val="center"/>
                    <w:rPr>
                      <w:bCs/>
                      <w:color w:val="000000" w:themeColor="text1"/>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《锅炉大气污染物排放标准》（GB13271-2014）表2中燃气锅炉排放限值</w:t>
                  </w:r>
                </w:p>
              </w:tc>
            </w:tr>
            <w:tr w14:paraId="2375E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935" w:type="dxa"/>
                  <w:vMerge w:val="continue"/>
                  <w:vAlign w:val="center"/>
                </w:tcPr>
                <w:p w14:paraId="007A2FE6">
                  <w:pPr>
                    <w:widowControl/>
                    <w:jc w:val="center"/>
                    <w:textAlignment w:val="center"/>
                    <w:rPr>
                      <w:rFonts w:hint="eastAsia"/>
                      <w:color w:val="000000" w:themeColor="text1"/>
                      <w:kern w:val="0"/>
                      <w:szCs w:val="21"/>
                      <w:lang w:bidi="ar"/>
                      <w14:textFill>
                        <w14:solidFill>
                          <w14:schemeClr w14:val="tx1"/>
                        </w14:solidFill>
                      </w14:textFill>
                    </w:rPr>
                  </w:pPr>
                </w:p>
              </w:tc>
              <w:tc>
                <w:tcPr>
                  <w:tcW w:w="1908" w:type="dxa"/>
                  <w:vAlign w:val="center"/>
                </w:tcPr>
                <w:p w14:paraId="5BF1302B">
                  <w:pPr>
                    <w:widowControl/>
                    <w:jc w:val="center"/>
                    <w:textAlignment w:val="center"/>
                    <w:rPr>
                      <w:rFonts w:hint="eastAsia"/>
                      <w:color w:val="000000" w:themeColor="text1"/>
                      <w:kern w:val="0"/>
                      <w:szCs w:val="21"/>
                      <w:lang w:val="en-US" w:eastAsia="zh-CN" w:bidi="ar"/>
                      <w14:textFill>
                        <w14:solidFill>
                          <w14:schemeClr w14:val="tx1"/>
                        </w14:solidFill>
                      </w14:textFill>
                    </w:rPr>
                  </w:pPr>
                  <w:r>
                    <w:rPr>
                      <w:rFonts w:hint="eastAsia"/>
                      <w:color w:val="000000" w:themeColor="text1"/>
                      <w:kern w:val="0"/>
                      <w:szCs w:val="21"/>
                      <w:lang w:val="en-US" w:eastAsia="zh-CN" w:bidi="ar"/>
                      <w14:textFill>
                        <w14:solidFill>
                          <w14:schemeClr w14:val="tx1"/>
                        </w14:solidFill>
                      </w14:textFill>
                    </w:rPr>
                    <w:t>颗粒物、</w:t>
                  </w:r>
                  <w:r>
                    <w:rPr>
                      <w:rFonts w:hint="eastAsia"/>
                      <w:color w:val="000000" w:themeColor="text1"/>
                      <w:szCs w:val="21"/>
                      <w:lang w:val="en-US" w:eastAsia="zh-CN"/>
                      <w14:textFill>
                        <w14:solidFill>
                          <w14:schemeClr w14:val="tx1"/>
                        </w14:solidFill>
                      </w14:textFill>
                    </w:rPr>
                    <w:t>SO</w:t>
                  </w:r>
                  <w:r>
                    <w:rPr>
                      <w:rFonts w:hint="eastAsia"/>
                      <w:color w:val="000000" w:themeColor="text1"/>
                      <w:szCs w:val="21"/>
                      <w:vertAlign w:val="subscript"/>
                      <w:lang w:val="en-US" w:eastAsia="zh-CN"/>
                      <w14:textFill>
                        <w14:solidFill>
                          <w14:schemeClr w14:val="tx1"/>
                        </w14:solidFill>
                      </w14:textFill>
                    </w:rPr>
                    <w:t>2</w:t>
                  </w:r>
                  <w:r>
                    <w:rPr>
                      <w:rFonts w:hint="eastAsia"/>
                      <w:color w:val="000000" w:themeColor="text1"/>
                      <w:szCs w:val="21"/>
                      <w:vertAlign w:val="baseline"/>
                      <w:lang w:val="en-US"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林格曼黑度</w:t>
                  </w:r>
                </w:p>
              </w:tc>
              <w:tc>
                <w:tcPr>
                  <w:tcW w:w="708" w:type="dxa"/>
                  <w:vAlign w:val="center"/>
                </w:tcPr>
                <w:p w14:paraId="25F4634F">
                  <w:pPr>
                    <w:widowControl/>
                    <w:jc w:val="center"/>
                    <w:textAlignment w:val="center"/>
                    <w:rPr>
                      <w:rFonts w:hint="eastAsia" w:eastAsia="宋体"/>
                      <w:color w:val="000000" w:themeColor="text1"/>
                      <w:lang w:val="en-US" w:eastAsia="zh-CN"/>
                      <w14:textFill>
                        <w14:solidFill>
                          <w14:schemeClr w14:val="tx1"/>
                        </w14:solidFill>
                      </w14:textFill>
                    </w:rPr>
                  </w:pPr>
                  <w:r>
                    <w:rPr>
                      <w:color w:val="000000" w:themeColor="text1"/>
                      <w14:textFill>
                        <w14:solidFill>
                          <w14:schemeClr w14:val="tx1"/>
                        </w14:solidFill>
                      </w14:textFill>
                    </w:rPr>
                    <w:t>1次/</w:t>
                  </w:r>
                  <w:r>
                    <w:rPr>
                      <w:rFonts w:hint="eastAsia"/>
                      <w:color w:val="000000" w:themeColor="text1"/>
                      <w:lang w:val="en-US" w:eastAsia="zh-CN"/>
                      <w14:textFill>
                        <w14:solidFill>
                          <w14:schemeClr w14:val="tx1"/>
                        </w14:solidFill>
                      </w14:textFill>
                    </w:rPr>
                    <w:t>年</w:t>
                  </w:r>
                </w:p>
              </w:tc>
              <w:tc>
                <w:tcPr>
                  <w:tcW w:w="4787" w:type="dxa"/>
                  <w:vAlign w:val="center"/>
                </w:tcPr>
                <w:p w14:paraId="5698DA51">
                  <w:pPr>
                    <w:widowControl/>
                    <w:jc w:val="center"/>
                    <w:textAlignment w:val="center"/>
                    <w:rPr>
                      <w:rFonts w:hint="eastAsia"/>
                      <w:bCs/>
                      <w:color w:val="000000" w:themeColor="text1"/>
                      <w:sz w:val="2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《锅炉大气污染物排放标准》（GB13271-2014）表2中燃气锅炉排放限值</w:t>
                  </w:r>
                </w:p>
              </w:tc>
            </w:tr>
          </w:tbl>
          <w:p w14:paraId="6744EB70">
            <w:pPr>
              <w:pStyle w:val="6"/>
              <w:numPr>
                <w:ilvl w:val="3"/>
                <w:numId w:val="0"/>
              </w:numPr>
              <w:rPr>
                <w:b w:val="0"/>
                <w:bCs/>
              </w:rPr>
            </w:pPr>
          </w:p>
        </w:tc>
      </w:tr>
    </w:tbl>
    <w:p w14:paraId="4088EB1D">
      <w:pPr>
        <w:pStyle w:val="6"/>
        <w:sectPr>
          <w:pgSz w:w="11907" w:h="16840"/>
          <w:pgMar w:top="1701" w:right="1531" w:bottom="2127" w:left="1531" w:header="851" w:footer="851" w:gutter="0"/>
          <w:pgBorders>
            <w:top w:val="none" w:sz="0" w:space="0"/>
            <w:left w:val="none" w:sz="0" w:space="0"/>
            <w:bottom w:val="none" w:sz="0" w:space="0"/>
            <w:right w:val="none" w:sz="0" w:space="0"/>
          </w:pgBorders>
          <w:pgNumType w:fmt="decimal"/>
          <w:cols w:space="720" w:num="1"/>
          <w:docGrid w:linePitch="312" w:charSpace="0"/>
        </w:sectPr>
      </w:pPr>
    </w:p>
    <w:tbl>
      <w:tblPr>
        <w:tblStyle w:val="2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328"/>
        <w:gridCol w:w="12820"/>
      </w:tblGrid>
      <w:tr w14:paraId="64E518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15" w:hRule="atLeast"/>
          <w:jc w:val="center"/>
        </w:trPr>
        <w:tc>
          <w:tcPr>
            <w:tcW w:w="328" w:type="dxa"/>
            <w:tcMar>
              <w:left w:w="28" w:type="dxa"/>
              <w:right w:w="28" w:type="dxa"/>
            </w:tcMar>
            <w:vAlign w:val="center"/>
          </w:tcPr>
          <w:p w14:paraId="6A033E55">
            <w:pPr>
              <w:pStyle w:val="23"/>
              <w:spacing w:before="0" w:beforeAutospacing="0" w:after="0" w:afterAutospacing="0"/>
              <w:jc w:val="center"/>
              <w:rPr>
                <w:rFonts w:ascii="Times New Roman" w:hAnsi="Times New Roman"/>
                <w:b/>
                <w:bCs/>
                <w:sz w:val="21"/>
                <w:szCs w:val="21"/>
              </w:rPr>
            </w:pPr>
            <w:r>
              <w:rPr>
                <w:rFonts w:ascii="Times New Roman" w:hAnsi="Times New Roman"/>
                <w:b/>
                <w:bCs/>
                <w:sz w:val="21"/>
                <w:szCs w:val="21"/>
              </w:rPr>
              <w:t>运营期</w:t>
            </w:r>
          </w:p>
          <w:p w14:paraId="6A600ED5">
            <w:pPr>
              <w:pStyle w:val="23"/>
              <w:spacing w:before="0" w:beforeAutospacing="0" w:after="0" w:afterAutospacing="0"/>
              <w:jc w:val="center"/>
              <w:rPr>
                <w:rFonts w:ascii="Times New Roman" w:hAnsi="Times New Roman"/>
                <w:b/>
                <w:bCs/>
                <w:sz w:val="21"/>
                <w:szCs w:val="21"/>
              </w:rPr>
            </w:pPr>
            <w:r>
              <w:rPr>
                <w:rFonts w:ascii="Times New Roman" w:hAnsi="Times New Roman"/>
                <w:b/>
                <w:bCs/>
                <w:sz w:val="21"/>
                <w:szCs w:val="21"/>
              </w:rPr>
              <w:t>环</w:t>
            </w:r>
          </w:p>
          <w:p w14:paraId="7B259EFD">
            <w:pPr>
              <w:pStyle w:val="23"/>
              <w:spacing w:before="0" w:beforeAutospacing="0" w:after="0" w:afterAutospacing="0"/>
              <w:jc w:val="center"/>
              <w:rPr>
                <w:rFonts w:ascii="Times New Roman" w:hAnsi="Times New Roman"/>
                <w:b/>
                <w:bCs/>
                <w:sz w:val="21"/>
                <w:szCs w:val="21"/>
              </w:rPr>
            </w:pPr>
            <w:r>
              <w:rPr>
                <w:rFonts w:ascii="Times New Roman" w:hAnsi="Times New Roman"/>
                <w:b/>
                <w:bCs/>
                <w:sz w:val="21"/>
                <w:szCs w:val="21"/>
              </w:rPr>
              <w:t>境</w:t>
            </w:r>
          </w:p>
          <w:p w14:paraId="651B365A">
            <w:pPr>
              <w:pStyle w:val="23"/>
              <w:spacing w:before="0" w:beforeAutospacing="0" w:after="0" w:afterAutospacing="0"/>
              <w:jc w:val="center"/>
              <w:rPr>
                <w:rFonts w:ascii="Times New Roman" w:hAnsi="Times New Roman"/>
                <w:b/>
                <w:bCs/>
                <w:sz w:val="21"/>
                <w:szCs w:val="21"/>
              </w:rPr>
            </w:pPr>
            <w:r>
              <w:rPr>
                <w:rFonts w:ascii="Times New Roman" w:hAnsi="Times New Roman"/>
                <w:b/>
                <w:bCs/>
                <w:sz w:val="21"/>
                <w:szCs w:val="21"/>
              </w:rPr>
              <w:t>保</w:t>
            </w:r>
          </w:p>
          <w:p w14:paraId="2D727492">
            <w:pPr>
              <w:pStyle w:val="23"/>
              <w:spacing w:before="0" w:beforeAutospacing="0" w:after="0" w:afterAutospacing="0"/>
              <w:jc w:val="center"/>
              <w:rPr>
                <w:rFonts w:ascii="Times New Roman" w:hAnsi="Times New Roman"/>
                <w:b/>
                <w:bCs/>
                <w:sz w:val="21"/>
                <w:szCs w:val="21"/>
              </w:rPr>
            </w:pPr>
            <w:r>
              <w:rPr>
                <w:rFonts w:ascii="Times New Roman" w:hAnsi="Times New Roman"/>
                <w:b/>
                <w:bCs/>
                <w:sz w:val="21"/>
                <w:szCs w:val="21"/>
              </w:rPr>
              <w:t>护</w:t>
            </w:r>
          </w:p>
          <w:p w14:paraId="4DA4F1E2">
            <w:pPr>
              <w:pStyle w:val="23"/>
              <w:spacing w:before="0" w:beforeAutospacing="0" w:after="0" w:afterAutospacing="0"/>
              <w:jc w:val="center"/>
              <w:rPr>
                <w:rFonts w:ascii="Times New Roman" w:hAnsi="Times New Roman"/>
                <w:b/>
                <w:bCs/>
                <w:sz w:val="21"/>
                <w:szCs w:val="21"/>
              </w:rPr>
            </w:pPr>
            <w:r>
              <w:rPr>
                <w:rFonts w:ascii="Times New Roman" w:hAnsi="Times New Roman"/>
                <w:b/>
                <w:bCs/>
                <w:sz w:val="21"/>
                <w:szCs w:val="21"/>
              </w:rPr>
              <w:t>措</w:t>
            </w:r>
          </w:p>
          <w:p w14:paraId="7AEB34E8">
            <w:pPr>
              <w:pStyle w:val="23"/>
              <w:spacing w:before="0" w:beforeAutospacing="0" w:after="0" w:afterAutospacing="0"/>
              <w:jc w:val="center"/>
              <w:rPr>
                <w:rFonts w:ascii="Times New Roman" w:hAnsi="Times New Roman"/>
                <w:b/>
                <w:bCs/>
                <w:kern w:val="2"/>
                <w:sz w:val="21"/>
                <w:szCs w:val="21"/>
              </w:rPr>
            </w:pPr>
            <w:r>
              <w:rPr>
                <w:rFonts w:ascii="Times New Roman" w:hAnsi="Times New Roman"/>
                <w:b/>
                <w:bCs/>
                <w:sz w:val="21"/>
                <w:szCs w:val="21"/>
              </w:rPr>
              <w:t>施</w:t>
            </w:r>
          </w:p>
        </w:tc>
        <w:tc>
          <w:tcPr>
            <w:tcW w:w="12820" w:type="dxa"/>
            <w:vAlign w:val="center"/>
          </w:tcPr>
          <w:p w14:paraId="40483276">
            <w:pPr>
              <w:spacing w:line="360" w:lineRule="auto"/>
              <w:ind w:firstLine="482" w:firstLineChars="200"/>
              <w:rPr>
                <w:b/>
                <w:bCs/>
                <w:sz w:val="24"/>
              </w:rPr>
            </w:pPr>
            <w:r>
              <w:rPr>
                <w:rFonts w:hint="eastAsia"/>
                <w:b/>
                <w:bCs/>
                <w:sz w:val="24"/>
                <w:lang w:val="en-US" w:eastAsia="zh-CN"/>
              </w:rPr>
              <w:t>二</w:t>
            </w:r>
            <w:r>
              <w:rPr>
                <w:rFonts w:hint="eastAsia"/>
                <w:b/>
                <w:bCs/>
                <w:sz w:val="24"/>
              </w:rPr>
              <w:t>、</w:t>
            </w:r>
            <w:r>
              <w:rPr>
                <w:b/>
                <w:bCs/>
                <w:sz w:val="24"/>
              </w:rPr>
              <w:t>废水</w:t>
            </w:r>
          </w:p>
          <w:p w14:paraId="62A8F6DA">
            <w:pPr>
              <w:spacing w:line="360" w:lineRule="auto"/>
              <w:ind w:firstLine="482" w:firstLineChars="200"/>
              <w:rPr>
                <w:b/>
                <w:bCs/>
                <w:sz w:val="24"/>
              </w:rPr>
            </w:pPr>
            <w:r>
              <w:rPr>
                <w:rFonts w:hint="eastAsia"/>
                <w:b/>
                <w:bCs/>
                <w:sz w:val="24"/>
                <w:lang w:val="en-US" w:eastAsia="zh-CN"/>
              </w:rPr>
              <w:t>1、</w:t>
            </w:r>
            <w:r>
              <w:rPr>
                <w:b/>
                <w:bCs/>
                <w:sz w:val="24"/>
              </w:rPr>
              <w:t>废水污染源情况</w:t>
            </w:r>
          </w:p>
          <w:p w14:paraId="593B7116">
            <w:pPr>
              <w:spacing w:line="360" w:lineRule="auto"/>
              <w:ind w:firstLine="480" w:firstLineChars="200"/>
              <w:rPr>
                <w:sz w:val="24"/>
              </w:rPr>
            </w:pPr>
            <w:r>
              <w:rPr>
                <w:sz w:val="24"/>
              </w:rPr>
              <w:t>本项目废水污染源产排情况见表4-</w:t>
            </w:r>
            <w:r>
              <w:rPr>
                <w:rFonts w:hint="eastAsia"/>
                <w:sz w:val="24"/>
                <w:lang w:val="en-US" w:eastAsia="zh-CN"/>
              </w:rPr>
              <w:t>5</w:t>
            </w:r>
            <w:r>
              <w:rPr>
                <w:sz w:val="24"/>
              </w:rPr>
              <w:t>。</w:t>
            </w:r>
          </w:p>
          <w:p w14:paraId="260D7D62">
            <w:pPr>
              <w:pStyle w:val="9"/>
              <w:keepNext w:val="0"/>
              <w:keepLines w:val="0"/>
              <w:pageBreakBefore w:val="0"/>
              <w:widowControl w:val="0"/>
              <w:kinsoku/>
              <w:wordWrap/>
              <w:overflowPunct/>
              <w:topLinePunct w:val="0"/>
              <w:autoSpaceDE w:val="0"/>
              <w:autoSpaceDN w:val="0"/>
              <w:bidi w:val="0"/>
              <w:adjustRightInd w:val="0"/>
              <w:snapToGrid/>
              <w:spacing w:line="240" w:lineRule="auto"/>
              <w:ind w:left="0" w:firstLine="0"/>
              <w:jc w:val="center"/>
              <w:textAlignment w:val="baseline"/>
              <w:rPr>
                <w:b/>
                <w:bCs/>
              </w:rPr>
            </w:pPr>
            <w:r>
              <w:rPr>
                <w:b/>
                <w:bCs/>
              </w:rPr>
              <w:t>表4-</w:t>
            </w:r>
            <w:r>
              <w:rPr>
                <w:rFonts w:hint="eastAsia"/>
                <w:b/>
                <w:bCs/>
                <w:lang w:val="en-US" w:eastAsia="zh-CN"/>
              </w:rPr>
              <w:t>5</w:t>
            </w:r>
            <w:r>
              <w:rPr>
                <w:b/>
                <w:bCs/>
              </w:rPr>
              <w:t xml:space="preserve">  废水污染源产生、排放汇总表</w:t>
            </w:r>
          </w:p>
          <w:tbl>
            <w:tblPr>
              <w:tblStyle w:val="2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90"/>
              <w:gridCol w:w="874"/>
              <w:gridCol w:w="907"/>
              <w:gridCol w:w="1106"/>
              <w:gridCol w:w="1086"/>
              <w:gridCol w:w="882"/>
              <w:gridCol w:w="764"/>
              <w:gridCol w:w="965"/>
              <w:gridCol w:w="709"/>
              <w:gridCol w:w="840"/>
              <w:gridCol w:w="981"/>
              <w:gridCol w:w="1087"/>
              <w:gridCol w:w="855"/>
              <w:gridCol w:w="853"/>
            </w:tblGrid>
            <w:tr w14:paraId="68F8F2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75" w:type="pct"/>
                  <w:vMerge w:val="restart"/>
                  <w:tcBorders>
                    <w:tl2br w:val="nil"/>
                    <w:tr2bl w:val="nil"/>
                  </w:tcBorders>
                  <w:vAlign w:val="center"/>
                </w:tcPr>
                <w:p w14:paraId="5CA3A8E7">
                  <w:pPr>
                    <w:pStyle w:val="9"/>
                    <w:spacing w:line="240" w:lineRule="auto"/>
                    <w:ind w:left="0" w:firstLine="0"/>
                    <w:jc w:val="center"/>
                    <w:rPr>
                      <w:b/>
                      <w:bCs/>
                      <w:sz w:val="21"/>
                      <w:szCs w:val="21"/>
                    </w:rPr>
                  </w:pPr>
                  <w:r>
                    <w:rPr>
                      <w:b/>
                      <w:bCs/>
                      <w:color w:val="000000" w:themeColor="text1"/>
                      <w:sz w:val="21"/>
                      <w:szCs w:val="21"/>
                      <w14:textFill>
                        <w14:solidFill>
                          <w14:schemeClr w14:val="tx1"/>
                        </w14:solidFill>
                      </w14:textFill>
                    </w:rPr>
                    <w:t>产</w:t>
                  </w:r>
                  <w:r>
                    <w:rPr>
                      <w:b/>
                      <w:bCs/>
                      <w:sz w:val="21"/>
                      <w:szCs w:val="21"/>
                    </w:rPr>
                    <w:t>排污环节</w:t>
                  </w:r>
                </w:p>
              </w:tc>
              <w:tc>
                <w:tcPr>
                  <w:tcW w:w="348" w:type="pct"/>
                  <w:vMerge w:val="restart"/>
                  <w:tcBorders>
                    <w:tl2br w:val="nil"/>
                    <w:tr2bl w:val="nil"/>
                  </w:tcBorders>
                  <w:vAlign w:val="center"/>
                </w:tcPr>
                <w:p w14:paraId="79EE3B1B">
                  <w:pPr>
                    <w:pStyle w:val="9"/>
                    <w:spacing w:line="240" w:lineRule="auto"/>
                    <w:ind w:left="0" w:firstLine="0"/>
                    <w:jc w:val="center"/>
                    <w:rPr>
                      <w:b/>
                      <w:bCs/>
                      <w:sz w:val="21"/>
                      <w:szCs w:val="21"/>
                    </w:rPr>
                  </w:pPr>
                  <w:r>
                    <w:rPr>
                      <w:b/>
                      <w:bCs/>
                      <w:sz w:val="21"/>
                      <w:szCs w:val="21"/>
                    </w:rPr>
                    <w:t>类别</w:t>
                  </w:r>
                </w:p>
              </w:tc>
              <w:tc>
                <w:tcPr>
                  <w:tcW w:w="361" w:type="pct"/>
                  <w:vMerge w:val="restart"/>
                  <w:tcBorders>
                    <w:tl2br w:val="nil"/>
                    <w:tr2bl w:val="nil"/>
                  </w:tcBorders>
                  <w:vAlign w:val="center"/>
                </w:tcPr>
                <w:p w14:paraId="5E09FAAD">
                  <w:pPr>
                    <w:pStyle w:val="9"/>
                    <w:spacing w:line="240" w:lineRule="auto"/>
                    <w:ind w:left="0" w:firstLine="0"/>
                    <w:jc w:val="center"/>
                    <w:rPr>
                      <w:b/>
                      <w:bCs/>
                      <w:sz w:val="21"/>
                      <w:szCs w:val="21"/>
                    </w:rPr>
                  </w:pPr>
                  <w:r>
                    <w:rPr>
                      <w:b/>
                      <w:bCs/>
                      <w:sz w:val="21"/>
                      <w:szCs w:val="21"/>
                    </w:rPr>
                    <w:t>污染物</w:t>
                  </w:r>
                </w:p>
                <w:p w14:paraId="0DF82BB8">
                  <w:pPr>
                    <w:pStyle w:val="9"/>
                    <w:spacing w:line="240" w:lineRule="auto"/>
                    <w:ind w:left="0" w:firstLine="0"/>
                    <w:jc w:val="center"/>
                    <w:rPr>
                      <w:b/>
                      <w:bCs/>
                      <w:sz w:val="21"/>
                      <w:szCs w:val="21"/>
                    </w:rPr>
                  </w:pPr>
                  <w:r>
                    <w:rPr>
                      <w:b/>
                      <w:bCs/>
                      <w:sz w:val="21"/>
                      <w:szCs w:val="21"/>
                    </w:rPr>
                    <w:t>种类</w:t>
                  </w:r>
                </w:p>
              </w:tc>
              <w:tc>
                <w:tcPr>
                  <w:tcW w:w="1223" w:type="pct"/>
                  <w:gridSpan w:val="3"/>
                  <w:tcBorders>
                    <w:tl2br w:val="nil"/>
                    <w:tr2bl w:val="nil"/>
                  </w:tcBorders>
                  <w:vAlign w:val="center"/>
                </w:tcPr>
                <w:p w14:paraId="620B0B8A">
                  <w:pPr>
                    <w:pStyle w:val="9"/>
                    <w:spacing w:line="240" w:lineRule="auto"/>
                    <w:ind w:left="0" w:firstLine="0"/>
                    <w:jc w:val="center"/>
                    <w:rPr>
                      <w:b/>
                      <w:bCs/>
                      <w:sz w:val="21"/>
                      <w:szCs w:val="21"/>
                    </w:rPr>
                  </w:pPr>
                  <w:r>
                    <w:rPr>
                      <w:b/>
                      <w:bCs/>
                      <w:sz w:val="21"/>
                      <w:szCs w:val="21"/>
                    </w:rPr>
                    <w:t>污染物产生量和浓度</w:t>
                  </w:r>
                </w:p>
              </w:tc>
              <w:tc>
                <w:tcPr>
                  <w:tcW w:w="1289" w:type="pct"/>
                  <w:gridSpan w:val="4"/>
                  <w:tcBorders>
                    <w:tl2br w:val="nil"/>
                    <w:tr2bl w:val="nil"/>
                  </w:tcBorders>
                  <w:vAlign w:val="center"/>
                </w:tcPr>
                <w:p w14:paraId="45135B07">
                  <w:pPr>
                    <w:pStyle w:val="9"/>
                    <w:spacing w:line="240" w:lineRule="auto"/>
                    <w:ind w:left="0" w:firstLine="0"/>
                    <w:jc w:val="center"/>
                    <w:rPr>
                      <w:b/>
                      <w:bCs/>
                      <w:sz w:val="21"/>
                      <w:szCs w:val="21"/>
                    </w:rPr>
                  </w:pPr>
                  <w:r>
                    <w:rPr>
                      <w:b/>
                      <w:bCs/>
                      <w:sz w:val="21"/>
                      <w:szCs w:val="21"/>
                    </w:rPr>
                    <w:t>污染治理设施</w:t>
                  </w:r>
                </w:p>
              </w:tc>
              <w:tc>
                <w:tcPr>
                  <w:tcW w:w="1162" w:type="pct"/>
                  <w:gridSpan w:val="3"/>
                  <w:tcBorders>
                    <w:tl2br w:val="nil"/>
                    <w:tr2bl w:val="nil"/>
                  </w:tcBorders>
                  <w:vAlign w:val="center"/>
                </w:tcPr>
                <w:p w14:paraId="312D326C">
                  <w:pPr>
                    <w:pStyle w:val="9"/>
                    <w:spacing w:line="240" w:lineRule="auto"/>
                    <w:ind w:left="0" w:firstLine="0"/>
                    <w:jc w:val="center"/>
                    <w:rPr>
                      <w:b/>
                      <w:bCs/>
                      <w:sz w:val="21"/>
                      <w:szCs w:val="21"/>
                    </w:rPr>
                  </w:pPr>
                  <w:r>
                    <w:rPr>
                      <w:b/>
                      <w:bCs/>
                      <w:sz w:val="21"/>
                      <w:szCs w:val="21"/>
                    </w:rPr>
                    <w:t>污染物排放量和浓度</w:t>
                  </w:r>
                </w:p>
              </w:tc>
              <w:tc>
                <w:tcPr>
                  <w:tcW w:w="339" w:type="pct"/>
                  <w:vMerge w:val="restart"/>
                  <w:tcBorders>
                    <w:tl2br w:val="nil"/>
                    <w:tr2bl w:val="nil"/>
                  </w:tcBorders>
                  <w:vAlign w:val="center"/>
                </w:tcPr>
                <w:p w14:paraId="2C793ADF">
                  <w:pPr>
                    <w:pStyle w:val="9"/>
                    <w:spacing w:line="240" w:lineRule="auto"/>
                    <w:ind w:left="0" w:firstLine="0"/>
                    <w:jc w:val="center"/>
                    <w:rPr>
                      <w:b/>
                      <w:bCs/>
                      <w:sz w:val="21"/>
                      <w:szCs w:val="21"/>
                    </w:rPr>
                  </w:pPr>
                  <w:r>
                    <w:rPr>
                      <w:b/>
                      <w:bCs/>
                      <w:sz w:val="21"/>
                      <w:szCs w:val="21"/>
                    </w:rPr>
                    <w:t>排放标准</w:t>
                  </w:r>
                </w:p>
              </w:tc>
            </w:tr>
            <w:tr w14:paraId="1243F4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75" w:type="pct"/>
                  <w:vMerge w:val="continue"/>
                  <w:tcBorders>
                    <w:tl2br w:val="nil"/>
                    <w:tr2bl w:val="nil"/>
                  </w:tcBorders>
                  <w:vAlign w:val="center"/>
                </w:tcPr>
                <w:p w14:paraId="7308A49D">
                  <w:pPr>
                    <w:pStyle w:val="9"/>
                    <w:spacing w:line="240" w:lineRule="auto"/>
                    <w:ind w:left="0" w:firstLine="0"/>
                    <w:jc w:val="center"/>
                    <w:rPr>
                      <w:b/>
                      <w:bCs/>
                      <w:sz w:val="21"/>
                      <w:szCs w:val="21"/>
                    </w:rPr>
                  </w:pPr>
                </w:p>
              </w:tc>
              <w:tc>
                <w:tcPr>
                  <w:tcW w:w="348" w:type="pct"/>
                  <w:vMerge w:val="continue"/>
                  <w:tcBorders>
                    <w:tl2br w:val="nil"/>
                    <w:tr2bl w:val="nil"/>
                  </w:tcBorders>
                  <w:vAlign w:val="center"/>
                </w:tcPr>
                <w:p w14:paraId="1597FAEE">
                  <w:pPr>
                    <w:pStyle w:val="9"/>
                    <w:spacing w:line="240" w:lineRule="auto"/>
                    <w:ind w:left="0" w:firstLine="0"/>
                    <w:jc w:val="center"/>
                    <w:rPr>
                      <w:b/>
                      <w:bCs/>
                      <w:sz w:val="21"/>
                      <w:szCs w:val="21"/>
                    </w:rPr>
                  </w:pPr>
                </w:p>
              </w:tc>
              <w:tc>
                <w:tcPr>
                  <w:tcW w:w="361" w:type="pct"/>
                  <w:vMerge w:val="continue"/>
                  <w:tcBorders>
                    <w:tl2br w:val="nil"/>
                    <w:tr2bl w:val="nil"/>
                  </w:tcBorders>
                  <w:vAlign w:val="center"/>
                </w:tcPr>
                <w:p w14:paraId="446D9C17">
                  <w:pPr>
                    <w:pStyle w:val="9"/>
                    <w:spacing w:line="240" w:lineRule="auto"/>
                    <w:ind w:left="0" w:firstLine="0"/>
                    <w:jc w:val="center"/>
                    <w:rPr>
                      <w:b/>
                      <w:bCs/>
                      <w:sz w:val="21"/>
                      <w:szCs w:val="21"/>
                    </w:rPr>
                  </w:pPr>
                </w:p>
              </w:tc>
              <w:tc>
                <w:tcPr>
                  <w:tcW w:w="440" w:type="pct"/>
                  <w:tcBorders>
                    <w:tl2br w:val="nil"/>
                    <w:tr2bl w:val="nil"/>
                  </w:tcBorders>
                  <w:vAlign w:val="center"/>
                </w:tcPr>
                <w:p w14:paraId="0AE9134F">
                  <w:pPr>
                    <w:pStyle w:val="9"/>
                    <w:spacing w:line="240" w:lineRule="auto"/>
                    <w:ind w:left="0" w:firstLine="0"/>
                    <w:jc w:val="center"/>
                    <w:rPr>
                      <w:b/>
                      <w:bCs/>
                      <w:sz w:val="21"/>
                      <w:szCs w:val="21"/>
                    </w:rPr>
                  </w:pPr>
                  <w:r>
                    <w:rPr>
                      <w:b/>
                      <w:bCs/>
                      <w:sz w:val="21"/>
                      <w:szCs w:val="21"/>
                    </w:rPr>
                    <w:t>废水量</w:t>
                  </w:r>
                </w:p>
              </w:tc>
              <w:tc>
                <w:tcPr>
                  <w:tcW w:w="432" w:type="pct"/>
                  <w:tcBorders>
                    <w:tl2br w:val="nil"/>
                    <w:tr2bl w:val="nil"/>
                  </w:tcBorders>
                  <w:vAlign w:val="center"/>
                </w:tcPr>
                <w:p w14:paraId="55172A5B">
                  <w:pPr>
                    <w:pStyle w:val="9"/>
                    <w:spacing w:line="240" w:lineRule="auto"/>
                    <w:ind w:left="0" w:firstLine="0"/>
                    <w:jc w:val="center"/>
                    <w:rPr>
                      <w:b/>
                      <w:bCs/>
                      <w:sz w:val="21"/>
                      <w:szCs w:val="21"/>
                    </w:rPr>
                  </w:pPr>
                  <w:r>
                    <w:rPr>
                      <w:b/>
                      <w:bCs/>
                      <w:sz w:val="21"/>
                      <w:szCs w:val="21"/>
                    </w:rPr>
                    <w:t>产生浓度</w:t>
                  </w:r>
                </w:p>
              </w:tc>
              <w:tc>
                <w:tcPr>
                  <w:tcW w:w="351" w:type="pct"/>
                  <w:tcBorders>
                    <w:tl2br w:val="nil"/>
                    <w:tr2bl w:val="nil"/>
                  </w:tcBorders>
                  <w:vAlign w:val="center"/>
                </w:tcPr>
                <w:p w14:paraId="4536D9C5">
                  <w:pPr>
                    <w:pStyle w:val="9"/>
                    <w:spacing w:line="240" w:lineRule="auto"/>
                    <w:ind w:left="0" w:firstLine="0"/>
                    <w:jc w:val="center"/>
                    <w:rPr>
                      <w:b/>
                      <w:bCs/>
                      <w:sz w:val="21"/>
                      <w:szCs w:val="21"/>
                    </w:rPr>
                  </w:pPr>
                  <w:r>
                    <w:rPr>
                      <w:b/>
                      <w:bCs/>
                      <w:sz w:val="21"/>
                      <w:szCs w:val="21"/>
                    </w:rPr>
                    <w:t>产生量</w:t>
                  </w:r>
                </w:p>
              </w:tc>
              <w:tc>
                <w:tcPr>
                  <w:tcW w:w="289" w:type="pct"/>
                  <w:tcBorders>
                    <w:tl2br w:val="nil"/>
                    <w:tr2bl w:val="nil"/>
                  </w:tcBorders>
                  <w:vAlign w:val="center"/>
                </w:tcPr>
                <w:p w14:paraId="565573C8">
                  <w:pPr>
                    <w:pStyle w:val="9"/>
                    <w:spacing w:line="240" w:lineRule="auto"/>
                    <w:ind w:left="0" w:firstLine="0"/>
                    <w:jc w:val="center"/>
                    <w:rPr>
                      <w:b/>
                      <w:bCs/>
                      <w:sz w:val="21"/>
                      <w:szCs w:val="21"/>
                    </w:rPr>
                  </w:pPr>
                  <w:r>
                    <w:rPr>
                      <w:b/>
                      <w:bCs/>
                      <w:sz w:val="21"/>
                      <w:szCs w:val="21"/>
                    </w:rPr>
                    <w:t>处理能力</w:t>
                  </w:r>
                </w:p>
              </w:tc>
              <w:tc>
                <w:tcPr>
                  <w:tcW w:w="384" w:type="pct"/>
                  <w:vMerge w:val="restart"/>
                  <w:tcBorders>
                    <w:tl2br w:val="nil"/>
                    <w:tr2bl w:val="nil"/>
                  </w:tcBorders>
                  <w:vAlign w:val="center"/>
                </w:tcPr>
                <w:p w14:paraId="31883F71">
                  <w:pPr>
                    <w:pStyle w:val="9"/>
                    <w:spacing w:line="240" w:lineRule="auto"/>
                    <w:ind w:left="0" w:firstLine="0"/>
                    <w:jc w:val="center"/>
                    <w:rPr>
                      <w:b/>
                      <w:bCs/>
                      <w:sz w:val="21"/>
                      <w:szCs w:val="21"/>
                    </w:rPr>
                  </w:pPr>
                  <w:r>
                    <w:rPr>
                      <w:b/>
                      <w:bCs/>
                      <w:sz w:val="21"/>
                      <w:szCs w:val="21"/>
                    </w:rPr>
                    <w:t>主要治理工艺</w:t>
                  </w:r>
                </w:p>
              </w:tc>
              <w:tc>
                <w:tcPr>
                  <w:tcW w:w="282" w:type="pct"/>
                  <w:tcBorders>
                    <w:tl2br w:val="nil"/>
                    <w:tr2bl w:val="nil"/>
                  </w:tcBorders>
                  <w:vAlign w:val="center"/>
                </w:tcPr>
                <w:p w14:paraId="301577D4">
                  <w:pPr>
                    <w:pStyle w:val="9"/>
                    <w:spacing w:line="240" w:lineRule="auto"/>
                    <w:ind w:left="0" w:firstLine="0"/>
                    <w:jc w:val="center"/>
                    <w:rPr>
                      <w:b/>
                      <w:bCs/>
                      <w:sz w:val="21"/>
                      <w:szCs w:val="21"/>
                    </w:rPr>
                  </w:pPr>
                  <w:r>
                    <w:rPr>
                      <w:b/>
                      <w:bCs/>
                      <w:sz w:val="21"/>
                      <w:szCs w:val="21"/>
                    </w:rPr>
                    <w:t>去除效率</w:t>
                  </w:r>
                </w:p>
              </w:tc>
              <w:tc>
                <w:tcPr>
                  <w:tcW w:w="334" w:type="pct"/>
                  <w:vMerge w:val="restart"/>
                  <w:tcBorders>
                    <w:tl2br w:val="nil"/>
                    <w:tr2bl w:val="nil"/>
                  </w:tcBorders>
                  <w:vAlign w:val="center"/>
                </w:tcPr>
                <w:p w14:paraId="6EA07854">
                  <w:pPr>
                    <w:pStyle w:val="9"/>
                    <w:spacing w:line="240" w:lineRule="auto"/>
                    <w:ind w:left="0" w:firstLine="0"/>
                    <w:jc w:val="center"/>
                    <w:rPr>
                      <w:b/>
                      <w:bCs/>
                      <w:sz w:val="21"/>
                      <w:szCs w:val="21"/>
                    </w:rPr>
                  </w:pPr>
                  <w:r>
                    <w:rPr>
                      <w:b/>
                      <w:bCs/>
                      <w:sz w:val="21"/>
                      <w:szCs w:val="21"/>
                    </w:rPr>
                    <w:t>是否可行技术</w:t>
                  </w:r>
                </w:p>
              </w:tc>
              <w:tc>
                <w:tcPr>
                  <w:tcW w:w="390" w:type="pct"/>
                  <w:tcBorders>
                    <w:tl2br w:val="nil"/>
                    <w:tr2bl w:val="nil"/>
                  </w:tcBorders>
                  <w:vAlign w:val="center"/>
                </w:tcPr>
                <w:p w14:paraId="0A844046">
                  <w:pPr>
                    <w:pStyle w:val="9"/>
                    <w:spacing w:line="240" w:lineRule="auto"/>
                    <w:ind w:left="0" w:firstLine="0"/>
                    <w:jc w:val="center"/>
                    <w:rPr>
                      <w:b/>
                      <w:bCs/>
                      <w:sz w:val="21"/>
                      <w:szCs w:val="21"/>
                    </w:rPr>
                  </w:pPr>
                  <w:r>
                    <w:rPr>
                      <w:b/>
                      <w:bCs/>
                      <w:sz w:val="21"/>
                      <w:szCs w:val="21"/>
                    </w:rPr>
                    <w:t>废水量</w:t>
                  </w:r>
                </w:p>
              </w:tc>
              <w:tc>
                <w:tcPr>
                  <w:tcW w:w="432" w:type="pct"/>
                  <w:tcBorders>
                    <w:tl2br w:val="nil"/>
                    <w:tr2bl w:val="nil"/>
                  </w:tcBorders>
                  <w:vAlign w:val="center"/>
                </w:tcPr>
                <w:p w14:paraId="6F904CB8">
                  <w:pPr>
                    <w:pStyle w:val="9"/>
                    <w:spacing w:line="240" w:lineRule="auto"/>
                    <w:ind w:left="0" w:firstLine="0"/>
                    <w:jc w:val="center"/>
                    <w:rPr>
                      <w:b/>
                      <w:bCs/>
                      <w:sz w:val="21"/>
                      <w:szCs w:val="21"/>
                    </w:rPr>
                  </w:pPr>
                  <w:r>
                    <w:rPr>
                      <w:b/>
                      <w:bCs/>
                      <w:sz w:val="21"/>
                      <w:szCs w:val="21"/>
                    </w:rPr>
                    <w:t>排放浓度</w:t>
                  </w:r>
                </w:p>
              </w:tc>
              <w:tc>
                <w:tcPr>
                  <w:tcW w:w="340" w:type="pct"/>
                  <w:tcBorders>
                    <w:tl2br w:val="nil"/>
                    <w:tr2bl w:val="nil"/>
                  </w:tcBorders>
                  <w:vAlign w:val="center"/>
                </w:tcPr>
                <w:p w14:paraId="44426992">
                  <w:pPr>
                    <w:pStyle w:val="9"/>
                    <w:spacing w:line="240" w:lineRule="auto"/>
                    <w:ind w:left="0" w:firstLine="0"/>
                    <w:jc w:val="center"/>
                    <w:rPr>
                      <w:b/>
                      <w:bCs/>
                      <w:sz w:val="21"/>
                      <w:szCs w:val="21"/>
                    </w:rPr>
                  </w:pPr>
                  <w:r>
                    <w:rPr>
                      <w:b/>
                      <w:bCs/>
                      <w:sz w:val="21"/>
                      <w:szCs w:val="21"/>
                    </w:rPr>
                    <w:t>排放量</w:t>
                  </w:r>
                </w:p>
              </w:tc>
              <w:tc>
                <w:tcPr>
                  <w:tcW w:w="339" w:type="pct"/>
                  <w:vMerge w:val="continue"/>
                  <w:tcBorders>
                    <w:tl2br w:val="nil"/>
                    <w:tr2bl w:val="nil"/>
                  </w:tcBorders>
                  <w:vAlign w:val="center"/>
                </w:tcPr>
                <w:p w14:paraId="54667E8A">
                  <w:pPr>
                    <w:pStyle w:val="9"/>
                    <w:spacing w:line="240" w:lineRule="auto"/>
                    <w:ind w:left="0" w:firstLine="0"/>
                    <w:jc w:val="center"/>
                    <w:rPr>
                      <w:b/>
                      <w:bCs/>
                      <w:sz w:val="21"/>
                      <w:szCs w:val="21"/>
                    </w:rPr>
                  </w:pPr>
                </w:p>
              </w:tc>
            </w:tr>
            <w:tr w14:paraId="1BB1F8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75" w:type="pct"/>
                  <w:vMerge w:val="continue"/>
                  <w:tcBorders>
                    <w:tl2br w:val="nil"/>
                    <w:tr2bl w:val="nil"/>
                  </w:tcBorders>
                  <w:vAlign w:val="center"/>
                </w:tcPr>
                <w:p w14:paraId="4BD83725">
                  <w:pPr>
                    <w:pStyle w:val="9"/>
                    <w:spacing w:line="240" w:lineRule="auto"/>
                    <w:ind w:left="0" w:firstLine="0"/>
                    <w:jc w:val="center"/>
                    <w:rPr>
                      <w:b/>
                      <w:bCs/>
                      <w:sz w:val="21"/>
                      <w:szCs w:val="21"/>
                    </w:rPr>
                  </w:pPr>
                </w:p>
              </w:tc>
              <w:tc>
                <w:tcPr>
                  <w:tcW w:w="348" w:type="pct"/>
                  <w:vMerge w:val="continue"/>
                  <w:tcBorders>
                    <w:tl2br w:val="nil"/>
                    <w:tr2bl w:val="nil"/>
                  </w:tcBorders>
                  <w:vAlign w:val="center"/>
                </w:tcPr>
                <w:p w14:paraId="5ECCE51F">
                  <w:pPr>
                    <w:pStyle w:val="9"/>
                    <w:spacing w:line="240" w:lineRule="auto"/>
                    <w:ind w:left="0" w:firstLine="0"/>
                    <w:jc w:val="center"/>
                    <w:rPr>
                      <w:b/>
                      <w:bCs/>
                      <w:sz w:val="21"/>
                      <w:szCs w:val="21"/>
                    </w:rPr>
                  </w:pPr>
                </w:p>
              </w:tc>
              <w:tc>
                <w:tcPr>
                  <w:tcW w:w="361" w:type="pct"/>
                  <w:vMerge w:val="continue"/>
                  <w:tcBorders>
                    <w:tl2br w:val="nil"/>
                    <w:tr2bl w:val="nil"/>
                  </w:tcBorders>
                  <w:vAlign w:val="center"/>
                </w:tcPr>
                <w:p w14:paraId="7EE99B6B">
                  <w:pPr>
                    <w:pStyle w:val="9"/>
                    <w:spacing w:line="240" w:lineRule="auto"/>
                    <w:ind w:left="0" w:firstLine="0"/>
                    <w:jc w:val="center"/>
                    <w:rPr>
                      <w:b/>
                      <w:bCs/>
                      <w:sz w:val="21"/>
                      <w:szCs w:val="21"/>
                    </w:rPr>
                  </w:pPr>
                </w:p>
              </w:tc>
              <w:tc>
                <w:tcPr>
                  <w:tcW w:w="440" w:type="pct"/>
                  <w:tcBorders>
                    <w:tl2br w:val="nil"/>
                    <w:tr2bl w:val="nil"/>
                  </w:tcBorders>
                  <w:vAlign w:val="center"/>
                </w:tcPr>
                <w:p w14:paraId="220FB52C">
                  <w:pPr>
                    <w:pStyle w:val="9"/>
                    <w:spacing w:line="240" w:lineRule="auto"/>
                    <w:ind w:left="0" w:firstLine="0"/>
                    <w:jc w:val="center"/>
                    <w:rPr>
                      <w:b/>
                      <w:bCs/>
                      <w:sz w:val="21"/>
                      <w:szCs w:val="21"/>
                    </w:rPr>
                  </w:pPr>
                  <w:r>
                    <w:rPr>
                      <w:b/>
                      <w:bCs/>
                      <w:sz w:val="21"/>
                      <w:szCs w:val="21"/>
                    </w:rPr>
                    <w:t>m</w:t>
                  </w:r>
                  <w:r>
                    <w:rPr>
                      <w:b/>
                      <w:bCs/>
                      <w:sz w:val="21"/>
                      <w:szCs w:val="21"/>
                      <w:vertAlign w:val="superscript"/>
                    </w:rPr>
                    <w:t>3</w:t>
                  </w:r>
                  <w:r>
                    <w:rPr>
                      <w:b/>
                      <w:bCs/>
                      <w:sz w:val="21"/>
                      <w:szCs w:val="21"/>
                    </w:rPr>
                    <w:t>/a</w:t>
                  </w:r>
                </w:p>
              </w:tc>
              <w:tc>
                <w:tcPr>
                  <w:tcW w:w="432" w:type="pct"/>
                  <w:tcBorders>
                    <w:tl2br w:val="nil"/>
                    <w:tr2bl w:val="nil"/>
                  </w:tcBorders>
                  <w:vAlign w:val="center"/>
                </w:tcPr>
                <w:p w14:paraId="1DA078DE">
                  <w:pPr>
                    <w:pStyle w:val="9"/>
                    <w:spacing w:line="240" w:lineRule="auto"/>
                    <w:ind w:left="0" w:firstLine="0"/>
                    <w:jc w:val="center"/>
                    <w:rPr>
                      <w:b/>
                      <w:bCs/>
                      <w:sz w:val="21"/>
                      <w:szCs w:val="21"/>
                    </w:rPr>
                  </w:pPr>
                  <w:r>
                    <w:rPr>
                      <w:b/>
                      <w:bCs/>
                      <w:sz w:val="21"/>
                      <w:szCs w:val="21"/>
                    </w:rPr>
                    <w:t>mg/L</w:t>
                  </w:r>
                </w:p>
              </w:tc>
              <w:tc>
                <w:tcPr>
                  <w:tcW w:w="351" w:type="pct"/>
                  <w:tcBorders>
                    <w:tl2br w:val="nil"/>
                    <w:tr2bl w:val="nil"/>
                  </w:tcBorders>
                  <w:vAlign w:val="center"/>
                </w:tcPr>
                <w:p w14:paraId="4ACD9DE7">
                  <w:pPr>
                    <w:pStyle w:val="9"/>
                    <w:spacing w:line="240" w:lineRule="auto"/>
                    <w:ind w:left="0" w:firstLine="0"/>
                    <w:jc w:val="center"/>
                    <w:rPr>
                      <w:b/>
                      <w:bCs/>
                      <w:sz w:val="21"/>
                      <w:szCs w:val="21"/>
                    </w:rPr>
                  </w:pPr>
                  <w:r>
                    <w:rPr>
                      <w:b/>
                      <w:bCs/>
                      <w:sz w:val="21"/>
                      <w:szCs w:val="21"/>
                    </w:rPr>
                    <w:t>t/a</w:t>
                  </w:r>
                </w:p>
              </w:tc>
              <w:tc>
                <w:tcPr>
                  <w:tcW w:w="289" w:type="pct"/>
                  <w:tcBorders>
                    <w:tl2br w:val="nil"/>
                    <w:tr2bl w:val="nil"/>
                  </w:tcBorders>
                  <w:vAlign w:val="center"/>
                </w:tcPr>
                <w:p w14:paraId="27BB7421">
                  <w:pPr>
                    <w:pStyle w:val="9"/>
                    <w:spacing w:line="240" w:lineRule="auto"/>
                    <w:ind w:left="0" w:firstLine="0"/>
                    <w:jc w:val="center"/>
                    <w:rPr>
                      <w:b/>
                      <w:bCs/>
                      <w:sz w:val="21"/>
                      <w:szCs w:val="21"/>
                    </w:rPr>
                  </w:pPr>
                  <w:r>
                    <w:rPr>
                      <w:b/>
                      <w:bCs/>
                      <w:sz w:val="21"/>
                      <w:szCs w:val="21"/>
                    </w:rPr>
                    <w:t>m</w:t>
                  </w:r>
                  <w:r>
                    <w:rPr>
                      <w:b/>
                      <w:bCs/>
                      <w:sz w:val="21"/>
                      <w:szCs w:val="21"/>
                      <w:vertAlign w:val="superscript"/>
                    </w:rPr>
                    <w:t>3</w:t>
                  </w:r>
                  <w:r>
                    <w:rPr>
                      <w:b/>
                      <w:bCs/>
                      <w:sz w:val="21"/>
                      <w:szCs w:val="21"/>
                    </w:rPr>
                    <w:t>/d</w:t>
                  </w:r>
                </w:p>
              </w:tc>
              <w:tc>
                <w:tcPr>
                  <w:tcW w:w="384" w:type="pct"/>
                  <w:vMerge w:val="continue"/>
                  <w:tcBorders>
                    <w:tl2br w:val="nil"/>
                    <w:tr2bl w:val="nil"/>
                  </w:tcBorders>
                  <w:vAlign w:val="center"/>
                </w:tcPr>
                <w:p w14:paraId="1E650B9E">
                  <w:pPr>
                    <w:pStyle w:val="9"/>
                    <w:spacing w:line="240" w:lineRule="auto"/>
                    <w:ind w:left="0" w:firstLine="0"/>
                    <w:jc w:val="center"/>
                    <w:rPr>
                      <w:b/>
                      <w:bCs/>
                      <w:sz w:val="21"/>
                      <w:szCs w:val="21"/>
                    </w:rPr>
                  </w:pPr>
                </w:p>
              </w:tc>
              <w:tc>
                <w:tcPr>
                  <w:tcW w:w="282" w:type="pct"/>
                  <w:tcBorders>
                    <w:tl2br w:val="nil"/>
                    <w:tr2bl w:val="nil"/>
                  </w:tcBorders>
                  <w:vAlign w:val="center"/>
                </w:tcPr>
                <w:p w14:paraId="23DC15CB">
                  <w:pPr>
                    <w:pStyle w:val="9"/>
                    <w:spacing w:line="240" w:lineRule="auto"/>
                    <w:ind w:left="0" w:firstLine="0"/>
                    <w:jc w:val="center"/>
                    <w:rPr>
                      <w:b/>
                      <w:bCs/>
                      <w:sz w:val="21"/>
                      <w:szCs w:val="21"/>
                    </w:rPr>
                  </w:pPr>
                  <w:r>
                    <w:rPr>
                      <w:b/>
                      <w:bCs/>
                      <w:sz w:val="21"/>
                      <w:szCs w:val="21"/>
                    </w:rPr>
                    <w:t>%</w:t>
                  </w:r>
                </w:p>
              </w:tc>
              <w:tc>
                <w:tcPr>
                  <w:tcW w:w="334" w:type="pct"/>
                  <w:vMerge w:val="continue"/>
                  <w:tcBorders>
                    <w:tl2br w:val="nil"/>
                    <w:tr2bl w:val="nil"/>
                  </w:tcBorders>
                  <w:vAlign w:val="center"/>
                </w:tcPr>
                <w:p w14:paraId="25B41D97">
                  <w:pPr>
                    <w:pStyle w:val="9"/>
                    <w:spacing w:line="240" w:lineRule="auto"/>
                    <w:ind w:left="0" w:firstLine="0"/>
                    <w:jc w:val="center"/>
                    <w:rPr>
                      <w:b/>
                      <w:bCs/>
                      <w:sz w:val="21"/>
                      <w:szCs w:val="21"/>
                    </w:rPr>
                  </w:pPr>
                </w:p>
              </w:tc>
              <w:tc>
                <w:tcPr>
                  <w:tcW w:w="390" w:type="pct"/>
                  <w:tcBorders>
                    <w:tl2br w:val="nil"/>
                    <w:tr2bl w:val="nil"/>
                  </w:tcBorders>
                  <w:vAlign w:val="center"/>
                </w:tcPr>
                <w:p w14:paraId="50E4C89A">
                  <w:pPr>
                    <w:pStyle w:val="9"/>
                    <w:spacing w:line="240" w:lineRule="auto"/>
                    <w:ind w:left="0" w:firstLine="0"/>
                    <w:jc w:val="center"/>
                    <w:rPr>
                      <w:b/>
                      <w:bCs/>
                      <w:sz w:val="21"/>
                      <w:szCs w:val="21"/>
                    </w:rPr>
                  </w:pPr>
                  <w:r>
                    <w:rPr>
                      <w:b/>
                      <w:bCs/>
                      <w:sz w:val="21"/>
                      <w:szCs w:val="21"/>
                    </w:rPr>
                    <w:t>m</w:t>
                  </w:r>
                  <w:r>
                    <w:rPr>
                      <w:b/>
                      <w:bCs/>
                      <w:sz w:val="21"/>
                      <w:szCs w:val="21"/>
                      <w:vertAlign w:val="superscript"/>
                    </w:rPr>
                    <w:t>3</w:t>
                  </w:r>
                  <w:r>
                    <w:rPr>
                      <w:b/>
                      <w:bCs/>
                      <w:sz w:val="21"/>
                      <w:szCs w:val="21"/>
                    </w:rPr>
                    <w:t>/a</w:t>
                  </w:r>
                </w:p>
              </w:tc>
              <w:tc>
                <w:tcPr>
                  <w:tcW w:w="432" w:type="pct"/>
                  <w:tcBorders>
                    <w:tl2br w:val="nil"/>
                    <w:tr2bl w:val="nil"/>
                  </w:tcBorders>
                  <w:vAlign w:val="center"/>
                </w:tcPr>
                <w:p w14:paraId="04B677B0">
                  <w:pPr>
                    <w:pStyle w:val="9"/>
                    <w:spacing w:line="240" w:lineRule="auto"/>
                    <w:ind w:left="0" w:firstLine="0"/>
                    <w:jc w:val="center"/>
                    <w:rPr>
                      <w:b/>
                      <w:bCs/>
                      <w:sz w:val="21"/>
                      <w:szCs w:val="21"/>
                    </w:rPr>
                  </w:pPr>
                  <w:r>
                    <w:rPr>
                      <w:b/>
                      <w:bCs/>
                      <w:sz w:val="21"/>
                      <w:szCs w:val="21"/>
                    </w:rPr>
                    <w:t>mg/L</w:t>
                  </w:r>
                </w:p>
              </w:tc>
              <w:tc>
                <w:tcPr>
                  <w:tcW w:w="340" w:type="pct"/>
                  <w:tcBorders>
                    <w:tl2br w:val="nil"/>
                    <w:tr2bl w:val="nil"/>
                  </w:tcBorders>
                  <w:vAlign w:val="center"/>
                </w:tcPr>
                <w:p w14:paraId="5F2AF25D">
                  <w:pPr>
                    <w:pStyle w:val="9"/>
                    <w:spacing w:line="240" w:lineRule="auto"/>
                    <w:ind w:left="0" w:firstLine="0"/>
                    <w:jc w:val="center"/>
                    <w:rPr>
                      <w:b/>
                      <w:bCs/>
                      <w:sz w:val="21"/>
                      <w:szCs w:val="21"/>
                    </w:rPr>
                  </w:pPr>
                  <w:r>
                    <w:rPr>
                      <w:b/>
                      <w:bCs/>
                      <w:sz w:val="21"/>
                      <w:szCs w:val="21"/>
                    </w:rPr>
                    <w:t>t/a</w:t>
                  </w:r>
                </w:p>
              </w:tc>
              <w:tc>
                <w:tcPr>
                  <w:tcW w:w="339" w:type="pct"/>
                  <w:vMerge w:val="continue"/>
                  <w:tcBorders>
                    <w:tl2br w:val="nil"/>
                    <w:tr2bl w:val="nil"/>
                  </w:tcBorders>
                  <w:vAlign w:val="center"/>
                </w:tcPr>
                <w:p w14:paraId="4C9485E7">
                  <w:pPr>
                    <w:pStyle w:val="9"/>
                    <w:spacing w:line="240" w:lineRule="auto"/>
                    <w:ind w:left="0" w:firstLine="0"/>
                    <w:jc w:val="center"/>
                    <w:rPr>
                      <w:b/>
                      <w:bCs/>
                      <w:sz w:val="21"/>
                      <w:szCs w:val="21"/>
                    </w:rPr>
                  </w:pPr>
                </w:p>
              </w:tc>
            </w:tr>
            <w:tr w14:paraId="7ACC0A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275" w:type="pct"/>
                  <w:vMerge w:val="restart"/>
                  <w:tcBorders>
                    <w:tl2br w:val="nil"/>
                    <w:tr2bl w:val="nil"/>
                  </w:tcBorders>
                  <w:vAlign w:val="center"/>
                </w:tcPr>
                <w:p w14:paraId="5331E29F">
                  <w:pPr>
                    <w:pStyle w:val="9"/>
                    <w:spacing w:line="240" w:lineRule="auto"/>
                    <w:ind w:left="0" w:firstLine="0"/>
                    <w:jc w:val="center"/>
                    <w:rPr>
                      <w:rFonts w:hint="default" w:eastAsia="宋体"/>
                      <w:sz w:val="21"/>
                      <w:szCs w:val="21"/>
                      <w:lang w:val="en-US" w:eastAsia="zh-CN"/>
                    </w:rPr>
                  </w:pPr>
                  <w:r>
                    <w:rPr>
                      <w:rFonts w:hint="eastAsia"/>
                      <w:sz w:val="21"/>
                      <w:szCs w:val="21"/>
                      <w:lang w:val="en-US" w:eastAsia="zh-CN"/>
                    </w:rPr>
                    <w:t>软水制备</w:t>
                  </w:r>
                </w:p>
              </w:tc>
              <w:tc>
                <w:tcPr>
                  <w:tcW w:w="348" w:type="pct"/>
                  <w:vMerge w:val="restart"/>
                  <w:tcBorders>
                    <w:tl2br w:val="nil"/>
                    <w:tr2bl w:val="nil"/>
                  </w:tcBorders>
                  <w:vAlign w:val="center"/>
                </w:tcPr>
                <w:p w14:paraId="0B12D11E">
                  <w:pPr>
                    <w:pStyle w:val="9"/>
                    <w:spacing w:line="240" w:lineRule="auto"/>
                    <w:ind w:left="0" w:firstLine="0"/>
                    <w:jc w:val="center"/>
                    <w:rPr>
                      <w:rFonts w:hint="default" w:eastAsia="宋体"/>
                      <w:sz w:val="21"/>
                      <w:szCs w:val="21"/>
                      <w:lang w:val="en-US" w:eastAsia="zh-CN"/>
                    </w:rPr>
                  </w:pPr>
                  <w:r>
                    <w:rPr>
                      <w:rFonts w:hint="eastAsia"/>
                      <w:color w:val="FF0000"/>
                      <w:sz w:val="21"/>
                      <w:szCs w:val="21"/>
                      <w:lang w:val="en-US" w:eastAsia="zh-CN"/>
                    </w:rPr>
                    <w:t>树脂再生</w:t>
                  </w:r>
                  <w:r>
                    <w:rPr>
                      <w:rFonts w:hint="eastAsia" w:eastAsia="宋体"/>
                      <w:color w:val="auto"/>
                      <w:sz w:val="21"/>
                      <w:szCs w:val="21"/>
                      <w:lang w:val="en-US" w:eastAsia="zh-CN"/>
                    </w:rPr>
                    <w:t>废水</w:t>
                  </w:r>
                </w:p>
              </w:tc>
              <w:tc>
                <w:tcPr>
                  <w:tcW w:w="361" w:type="pct"/>
                  <w:tcBorders>
                    <w:tl2br w:val="nil"/>
                    <w:tr2bl w:val="nil"/>
                  </w:tcBorders>
                  <w:vAlign w:val="center"/>
                </w:tcPr>
                <w:p w14:paraId="20BD12E8">
                  <w:pPr>
                    <w:pStyle w:val="9"/>
                    <w:spacing w:line="240" w:lineRule="auto"/>
                    <w:ind w:left="0" w:firstLine="0"/>
                    <w:jc w:val="center"/>
                    <w:rPr>
                      <w:sz w:val="21"/>
                      <w:szCs w:val="21"/>
                    </w:rPr>
                  </w:pPr>
                  <w:r>
                    <w:rPr>
                      <w:sz w:val="21"/>
                      <w:szCs w:val="21"/>
                    </w:rPr>
                    <w:t>COD</w:t>
                  </w:r>
                  <w:r>
                    <w:rPr>
                      <w:sz w:val="21"/>
                      <w:szCs w:val="21"/>
                      <w:vertAlign w:val="subscript"/>
                    </w:rPr>
                    <w:t>Cr</w:t>
                  </w:r>
                </w:p>
              </w:tc>
              <w:tc>
                <w:tcPr>
                  <w:tcW w:w="440" w:type="pct"/>
                  <w:vMerge w:val="restart"/>
                  <w:tcBorders>
                    <w:tl2br w:val="nil"/>
                    <w:tr2bl w:val="nil"/>
                  </w:tcBorders>
                  <w:vAlign w:val="center"/>
                </w:tcPr>
                <w:p w14:paraId="0CD304CC">
                  <w:pPr>
                    <w:pStyle w:val="9"/>
                    <w:spacing w:line="240" w:lineRule="auto"/>
                    <w:ind w:left="0" w:firstLine="0"/>
                    <w:jc w:val="center"/>
                    <w:rPr>
                      <w:rFonts w:hint="default" w:eastAsia="宋体"/>
                      <w:sz w:val="21"/>
                      <w:szCs w:val="21"/>
                      <w:lang w:val="en-US" w:eastAsia="zh-CN"/>
                    </w:rPr>
                  </w:pPr>
                  <w:r>
                    <w:rPr>
                      <w:rFonts w:hint="eastAsia"/>
                      <w:sz w:val="21"/>
                      <w:szCs w:val="21"/>
                      <w:lang w:val="en-US" w:eastAsia="zh-CN"/>
                    </w:rPr>
                    <w:t>2635</w:t>
                  </w:r>
                </w:p>
              </w:tc>
              <w:tc>
                <w:tcPr>
                  <w:tcW w:w="432" w:type="pct"/>
                  <w:tcBorders>
                    <w:tl2br w:val="nil"/>
                    <w:tr2bl w:val="nil"/>
                  </w:tcBorders>
                  <w:shd w:val="clear" w:color="auto" w:fill="auto"/>
                  <w:vAlign w:val="center"/>
                </w:tcPr>
                <w:p w14:paraId="25A10016">
                  <w:pPr>
                    <w:pStyle w:val="12"/>
                    <w:adjustRightInd w:val="0"/>
                    <w:snapToGrid w:val="0"/>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50</w:t>
                  </w:r>
                </w:p>
              </w:tc>
              <w:tc>
                <w:tcPr>
                  <w:tcW w:w="351" w:type="pct"/>
                  <w:tcBorders>
                    <w:tl2br w:val="nil"/>
                    <w:tr2bl w:val="nil"/>
                  </w:tcBorders>
                  <w:vAlign w:val="center"/>
                </w:tcPr>
                <w:p w14:paraId="7F68FDE0">
                  <w:pPr>
                    <w:pStyle w:val="9"/>
                    <w:spacing w:line="240" w:lineRule="auto"/>
                    <w:ind w:left="0" w:firstLine="0"/>
                    <w:jc w:val="center"/>
                    <w:rPr>
                      <w:rFonts w:hint="default" w:eastAsia="宋体"/>
                      <w:sz w:val="21"/>
                      <w:szCs w:val="21"/>
                      <w:lang w:val="en-US" w:eastAsia="zh-CN"/>
                    </w:rPr>
                  </w:pPr>
                  <w:r>
                    <w:rPr>
                      <w:rFonts w:hint="eastAsia"/>
                      <w:sz w:val="21"/>
                      <w:szCs w:val="21"/>
                      <w:lang w:val="en-US" w:eastAsia="zh-CN"/>
                    </w:rPr>
                    <w:t>0.132</w:t>
                  </w:r>
                </w:p>
              </w:tc>
              <w:tc>
                <w:tcPr>
                  <w:tcW w:w="289" w:type="pct"/>
                  <w:vMerge w:val="restart"/>
                  <w:tcBorders>
                    <w:tl2br w:val="nil"/>
                    <w:tr2bl w:val="nil"/>
                  </w:tcBorders>
                  <w:vAlign w:val="center"/>
                </w:tcPr>
                <w:p w14:paraId="0B46F827">
                  <w:pPr>
                    <w:pStyle w:val="9"/>
                    <w:spacing w:line="240" w:lineRule="auto"/>
                    <w:ind w:left="0" w:firstLine="0"/>
                    <w:jc w:val="center"/>
                    <w:rPr>
                      <w:rFonts w:hint="default" w:eastAsia="宋体"/>
                      <w:sz w:val="21"/>
                      <w:szCs w:val="21"/>
                      <w:lang w:val="en-US" w:eastAsia="zh-CN"/>
                    </w:rPr>
                  </w:pPr>
                  <w:r>
                    <w:rPr>
                      <w:rFonts w:hint="eastAsia" w:eastAsia="宋体"/>
                      <w:sz w:val="21"/>
                      <w:szCs w:val="21"/>
                      <w:lang w:val="en-US" w:eastAsia="zh-CN"/>
                    </w:rPr>
                    <w:t>120</w:t>
                  </w:r>
                </w:p>
              </w:tc>
              <w:tc>
                <w:tcPr>
                  <w:tcW w:w="384" w:type="pct"/>
                  <w:vMerge w:val="restart"/>
                  <w:tcBorders>
                    <w:tl2br w:val="nil"/>
                    <w:tr2bl w:val="nil"/>
                  </w:tcBorders>
                  <w:vAlign w:val="center"/>
                </w:tcPr>
                <w:p w14:paraId="23040696">
                  <w:pPr>
                    <w:pStyle w:val="9"/>
                    <w:spacing w:line="240" w:lineRule="auto"/>
                    <w:ind w:left="0" w:firstLine="0"/>
                    <w:jc w:val="center"/>
                    <w:rPr>
                      <w:rFonts w:hint="default" w:eastAsia="宋体"/>
                      <w:sz w:val="21"/>
                      <w:szCs w:val="21"/>
                      <w:lang w:val="en-US" w:eastAsia="zh-CN"/>
                    </w:rPr>
                  </w:pPr>
                  <w:r>
                    <w:rPr>
                      <w:rFonts w:hint="eastAsia" w:eastAsia="宋体"/>
                      <w:sz w:val="21"/>
                      <w:szCs w:val="21"/>
                      <w:lang w:val="en-US" w:eastAsia="zh-CN"/>
                    </w:rPr>
                    <w:t>中和</w:t>
                  </w:r>
                  <w:r>
                    <w:rPr>
                      <w:rFonts w:hint="eastAsia"/>
                      <w:sz w:val="21"/>
                      <w:szCs w:val="21"/>
                      <w:lang w:val="en-US" w:eastAsia="zh-CN"/>
                    </w:rPr>
                    <w:t>沉淀</w:t>
                  </w:r>
                  <w:r>
                    <w:rPr>
                      <w:rFonts w:hint="eastAsia" w:eastAsia="宋体"/>
                      <w:sz w:val="21"/>
                      <w:szCs w:val="21"/>
                      <w:lang w:val="en-US" w:eastAsia="zh-CN"/>
                    </w:rPr>
                    <w:t>池</w:t>
                  </w:r>
                  <w:r>
                    <w:rPr>
                      <w:rFonts w:hint="eastAsia"/>
                      <w:sz w:val="21"/>
                      <w:szCs w:val="21"/>
                      <w:lang w:val="en-US" w:eastAsia="zh-CN"/>
                    </w:rPr>
                    <w:t>（调节+沉淀）</w:t>
                  </w:r>
                </w:p>
              </w:tc>
              <w:tc>
                <w:tcPr>
                  <w:tcW w:w="282" w:type="pct"/>
                  <w:tcBorders>
                    <w:tl2br w:val="nil"/>
                    <w:tr2bl w:val="nil"/>
                  </w:tcBorders>
                  <w:vAlign w:val="center"/>
                </w:tcPr>
                <w:p w14:paraId="02037664">
                  <w:pPr>
                    <w:pStyle w:val="9"/>
                    <w:spacing w:line="240" w:lineRule="auto"/>
                    <w:ind w:left="0" w:firstLine="0"/>
                    <w:jc w:val="center"/>
                    <w:rPr>
                      <w:rFonts w:hint="default" w:eastAsia="宋体"/>
                      <w:sz w:val="21"/>
                      <w:szCs w:val="21"/>
                      <w:lang w:val="en-US" w:eastAsia="zh-CN"/>
                    </w:rPr>
                  </w:pPr>
                  <w:r>
                    <w:rPr>
                      <w:rFonts w:hint="eastAsia"/>
                      <w:sz w:val="21"/>
                      <w:szCs w:val="21"/>
                      <w:lang w:val="en-US" w:eastAsia="zh-CN"/>
                    </w:rPr>
                    <w:t>20</w:t>
                  </w:r>
                </w:p>
              </w:tc>
              <w:tc>
                <w:tcPr>
                  <w:tcW w:w="334" w:type="pct"/>
                  <w:vMerge w:val="restart"/>
                  <w:tcBorders>
                    <w:tl2br w:val="nil"/>
                    <w:tr2bl w:val="nil"/>
                  </w:tcBorders>
                  <w:vAlign w:val="center"/>
                </w:tcPr>
                <w:p w14:paraId="1BD98C2E">
                  <w:pPr>
                    <w:pStyle w:val="9"/>
                    <w:spacing w:line="240" w:lineRule="auto"/>
                    <w:ind w:left="0" w:leftChars="0" w:firstLine="0" w:firstLineChars="0"/>
                    <w:jc w:val="center"/>
                    <w:rPr>
                      <w:rFonts w:hint="default" w:ascii="Times New Roman" w:hAnsi="Times New Roman" w:eastAsia="宋体" w:cs="Times New Roman"/>
                      <w:kern w:val="0"/>
                      <w:sz w:val="21"/>
                      <w:szCs w:val="21"/>
                      <w:lang w:val="en-US" w:eastAsia="zh-CN" w:bidi="ar-SA"/>
                    </w:rPr>
                  </w:pPr>
                  <w:r>
                    <w:rPr>
                      <w:rFonts w:hint="eastAsia" w:cs="Times New Roman"/>
                      <w:kern w:val="0"/>
                      <w:sz w:val="21"/>
                      <w:szCs w:val="21"/>
                      <w:lang w:val="en-US" w:eastAsia="zh-CN" w:bidi="ar-SA"/>
                    </w:rPr>
                    <w:t>是</w:t>
                  </w:r>
                </w:p>
              </w:tc>
              <w:tc>
                <w:tcPr>
                  <w:tcW w:w="390" w:type="pct"/>
                  <w:vMerge w:val="restart"/>
                  <w:tcBorders>
                    <w:tl2br w:val="nil"/>
                    <w:tr2bl w:val="nil"/>
                  </w:tcBorders>
                  <w:vAlign w:val="center"/>
                </w:tcPr>
                <w:p w14:paraId="34790091">
                  <w:pPr>
                    <w:pStyle w:val="9"/>
                    <w:spacing w:line="240" w:lineRule="auto"/>
                    <w:ind w:left="0" w:leftChars="0" w:firstLine="0" w:firstLineChars="0"/>
                    <w:jc w:val="center"/>
                    <w:rPr>
                      <w:sz w:val="21"/>
                      <w:szCs w:val="21"/>
                    </w:rPr>
                  </w:pPr>
                  <w:r>
                    <w:rPr>
                      <w:rFonts w:hint="eastAsia"/>
                      <w:sz w:val="21"/>
                      <w:szCs w:val="21"/>
                      <w:lang w:val="en-US" w:eastAsia="zh-CN"/>
                    </w:rPr>
                    <w:t>2635</w:t>
                  </w:r>
                </w:p>
              </w:tc>
              <w:tc>
                <w:tcPr>
                  <w:tcW w:w="432" w:type="pct"/>
                  <w:tcBorders>
                    <w:tl2br w:val="nil"/>
                    <w:tr2bl w:val="nil"/>
                  </w:tcBorders>
                  <w:shd w:val="clear" w:color="auto" w:fill="auto"/>
                  <w:vAlign w:val="center"/>
                </w:tcPr>
                <w:p w14:paraId="27860BED">
                  <w:pPr>
                    <w:pStyle w:val="9"/>
                    <w:spacing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sz w:val="21"/>
                      <w:szCs w:val="21"/>
                      <w:lang w:val="en-US" w:eastAsia="zh-CN"/>
                    </w:rPr>
                    <w:t>40</w:t>
                  </w:r>
                </w:p>
              </w:tc>
              <w:tc>
                <w:tcPr>
                  <w:tcW w:w="340" w:type="pct"/>
                  <w:tcBorders>
                    <w:tl2br w:val="nil"/>
                    <w:tr2bl w:val="nil"/>
                  </w:tcBorders>
                  <w:vAlign w:val="center"/>
                </w:tcPr>
                <w:p w14:paraId="6F5F3DA9">
                  <w:pPr>
                    <w:pStyle w:val="9"/>
                    <w:spacing w:line="240" w:lineRule="auto"/>
                    <w:ind w:left="0" w:leftChars="0" w:firstLine="0" w:firstLineChars="0"/>
                    <w:jc w:val="center"/>
                    <w:rPr>
                      <w:rFonts w:hint="default"/>
                      <w:sz w:val="21"/>
                      <w:szCs w:val="21"/>
                      <w:lang w:val="en-US"/>
                    </w:rPr>
                  </w:pPr>
                  <w:r>
                    <w:rPr>
                      <w:rFonts w:hint="eastAsia"/>
                      <w:sz w:val="21"/>
                      <w:szCs w:val="21"/>
                      <w:lang w:val="en-US" w:eastAsia="zh-CN"/>
                    </w:rPr>
                    <w:t>0.105</w:t>
                  </w:r>
                </w:p>
              </w:tc>
              <w:tc>
                <w:tcPr>
                  <w:tcW w:w="339" w:type="pct"/>
                  <w:tcBorders>
                    <w:tl2br w:val="nil"/>
                    <w:tr2bl w:val="nil"/>
                  </w:tcBorders>
                  <w:shd w:val="clear" w:color="auto" w:fill="auto"/>
                  <w:vAlign w:val="center"/>
                </w:tcPr>
                <w:p w14:paraId="036E454A">
                  <w:pPr>
                    <w:pStyle w:val="9"/>
                    <w:spacing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50</w:t>
                  </w:r>
                </w:p>
              </w:tc>
            </w:tr>
            <w:tr w14:paraId="1E057C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275" w:type="pct"/>
                  <w:vMerge w:val="continue"/>
                  <w:tcBorders>
                    <w:tl2br w:val="nil"/>
                    <w:tr2bl w:val="nil"/>
                  </w:tcBorders>
                  <w:vAlign w:val="center"/>
                </w:tcPr>
                <w:p w14:paraId="600F997D">
                  <w:pPr>
                    <w:pStyle w:val="9"/>
                    <w:spacing w:line="240" w:lineRule="auto"/>
                    <w:ind w:left="0" w:firstLine="0"/>
                    <w:jc w:val="center"/>
                    <w:rPr>
                      <w:sz w:val="21"/>
                      <w:szCs w:val="21"/>
                    </w:rPr>
                  </w:pPr>
                </w:p>
              </w:tc>
              <w:tc>
                <w:tcPr>
                  <w:tcW w:w="348" w:type="pct"/>
                  <w:vMerge w:val="continue"/>
                  <w:tcBorders>
                    <w:tl2br w:val="nil"/>
                    <w:tr2bl w:val="nil"/>
                  </w:tcBorders>
                  <w:vAlign w:val="center"/>
                </w:tcPr>
                <w:p w14:paraId="695340D8">
                  <w:pPr>
                    <w:pStyle w:val="9"/>
                    <w:spacing w:line="240" w:lineRule="auto"/>
                    <w:ind w:left="0" w:firstLine="0"/>
                    <w:jc w:val="center"/>
                    <w:rPr>
                      <w:sz w:val="21"/>
                      <w:szCs w:val="21"/>
                    </w:rPr>
                  </w:pPr>
                </w:p>
              </w:tc>
              <w:tc>
                <w:tcPr>
                  <w:tcW w:w="361" w:type="pct"/>
                  <w:tcBorders>
                    <w:tl2br w:val="nil"/>
                    <w:tr2bl w:val="nil"/>
                  </w:tcBorders>
                  <w:vAlign w:val="center"/>
                </w:tcPr>
                <w:p w14:paraId="3686ACC5">
                  <w:pPr>
                    <w:pStyle w:val="9"/>
                    <w:spacing w:line="240" w:lineRule="auto"/>
                    <w:ind w:left="0" w:firstLine="0"/>
                    <w:jc w:val="center"/>
                    <w:rPr>
                      <w:rFonts w:hint="default" w:eastAsia="宋体"/>
                      <w:sz w:val="21"/>
                      <w:szCs w:val="21"/>
                      <w:lang w:val="en-US" w:eastAsia="zh-CN"/>
                    </w:rPr>
                  </w:pPr>
                  <w:r>
                    <w:rPr>
                      <w:rFonts w:hint="eastAsia"/>
                      <w:sz w:val="21"/>
                      <w:szCs w:val="21"/>
                      <w:lang w:val="en-US" w:eastAsia="zh-CN"/>
                    </w:rPr>
                    <w:t>SS</w:t>
                  </w:r>
                </w:p>
              </w:tc>
              <w:tc>
                <w:tcPr>
                  <w:tcW w:w="440" w:type="pct"/>
                  <w:vMerge w:val="continue"/>
                  <w:tcBorders>
                    <w:tl2br w:val="nil"/>
                    <w:tr2bl w:val="nil"/>
                  </w:tcBorders>
                  <w:vAlign w:val="center"/>
                </w:tcPr>
                <w:p w14:paraId="274A2DA4">
                  <w:pPr>
                    <w:pStyle w:val="9"/>
                    <w:spacing w:line="240" w:lineRule="auto"/>
                    <w:ind w:left="0" w:firstLine="0"/>
                    <w:jc w:val="center"/>
                    <w:rPr>
                      <w:sz w:val="21"/>
                      <w:szCs w:val="21"/>
                    </w:rPr>
                  </w:pPr>
                </w:p>
              </w:tc>
              <w:tc>
                <w:tcPr>
                  <w:tcW w:w="432" w:type="pct"/>
                  <w:tcBorders>
                    <w:tl2br w:val="nil"/>
                    <w:tr2bl w:val="nil"/>
                  </w:tcBorders>
                  <w:vAlign w:val="center"/>
                </w:tcPr>
                <w:p w14:paraId="22E1BD6E">
                  <w:pPr>
                    <w:pStyle w:val="9"/>
                    <w:spacing w:line="240" w:lineRule="auto"/>
                    <w:ind w:left="0" w:firstLine="0"/>
                    <w:jc w:val="center"/>
                    <w:rPr>
                      <w:rFonts w:hint="default" w:eastAsia="宋体"/>
                      <w:sz w:val="21"/>
                      <w:szCs w:val="21"/>
                      <w:lang w:val="en-US" w:eastAsia="zh-CN"/>
                    </w:rPr>
                  </w:pPr>
                  <w:r>
                    <w:rPr>
                      <w:rFonts w:hint="eastAsia"/>
                      <w:sz w:val="21"/>
                      <w:szCs w:val="21"/>
                      <w:lang w:val="en-US" w:eastAsia="zh-CN"/>
                    </w:rPr>
                    <w:t>60</w:t>
                  </w:r>
                </w:p>
              </w:tc>
              <w:tc>
                <w:tcPr>
                  <w:tcW w:w="351" w:type="pct"/>
                  <w:tcBorders>
                    <w:tl2br w:val="nil"/>
                    <w:tr2bl w:val="nil"/>
                  </w:tcBorders>
                  <w:vAlign w:val="center"/>
                </w:tcPr>
                <w:p w14:paraId="5077C10E">
                  <w:pPr>
                    <w:widowControl/>
                    <w:jc w:val="center"/>
                    <w:rPr>
                      <w:rFonts w:hint="default"/>
                      <w:sz w:val="21"/>
                      <w:szCs w:val="21"/>
                      <w:lang w:val="en-US"/>
                    </w:rPr>
                  </w:pPr>
                  <w:r>
                    <w:rPr>
                      <w:rFonts w:hint="default" w:ascii="Times New Roman" w:hAnsi="Times New Roman" w:cs="Times New Roman"/>
                      <w:color w:val="auto"/>
                      <w:sz w:val="21"/>
                      <w:szCs w:val="21"/>
                      <w:lang w:val="en-US" w:eastAsia="zh-CN"/>
                    </w:rPr>
                    <w:t>0.</w:t>
                  </w:r>
                  <w:r>
                    <w:rPr>
                      <w:rFonts w:hint="eastAsia" w:cs="Times New Roman"/>
                      <w:color w:val="auto"/>
                      <w:sz w:val="21"/>
                      <w:szCs w:val="21"/>
                      <w:lang w:val="en-US" w:eastAsia="zh-CN"/>
                    </w:rPr>
                    <w:t>158</w:t>
                  </w:r>
                </w:p>
              </w:tc>
              <w:tc>
                <w:tcPr>
                  <w:tcW w:w="289" w:type="pct"/>
                  <w:vMerge w:val="continue"/>
                  <w:tcBorders>
                    <w:tl2br w:val="nil"/>
                    <w:tr2bl w:val="nil"/>
                  </w:tcBorders>
                  <w:vAlign w:val="center"/>
                </w:tcPr>
                <w:p w14:paraId="0352FF06">
                  <w:pPr>
                    <w:pStyle w:val="9"/>
                    <w:spacing w:line="240" w:lineRule="auto"/>
                    <w:ind w:left="0" w:firstLine="0"/>
                    <w:jc w:val="center"/>
                    <w:rPr>
                      <w:sz w:val="21"/>
                      <w:szCs w:val="21"/>
                    </w:rPr>
                  </w:pPr>
                </w:p>
              </w:tc>
              <w:tc>
                <w:tcPr>
                  <w:tcW w:w="384" w:type="pct"/>
                  <w:vMerge w:val="continue"/>
                  <w:tcBorders>
                    <w:tl2br w:val="nil"/>
                    <w:tr2bl w:val="nil"/>
                  </w:tcBorders>
                  <w:vAlign w:val="center"/>
                </w:tcPr>
                <w:p w14:paraId="563FB9E6">
                  <w:pPr>
                    <w:pStyle w:val="9"/>
                    <w:spacing w:line="240" w:lineRule="auto"/>
                    <w:ind w:left="0" w:firstLine="0"/>
                    <w:jc w:val="center"/>
                    <w:rPr>
                      <w:sz w:val="21"/>
                      <w:szCs w:val="21"/>
                    </w:rPr>
                  </w:pPr>
                </w:p>
              </w:tc>
              <w:tc>
                <w:tcPr>
                  <w:tcW w:w="282" w:type="pct"/>
                  <w:tcBorders>
                    <w:tl2br w:val="nil"/>
                    <w:tr2bl w:val="nil"/>
                  </w:tcBorders>
                  <w:vAlign w:val="center"/>
                </w:tcPr>
                <w:p w14:paraId="74EC1710">
                  <w:pPr>
                    <w:widowControl/>
                    <w:jc w:val="center"/>
                    <w:rPr>
                      <w:rFonts w:hint="default" w:eastAsia="宋体"/>
                      <w:sz w:val="21"/>
                      <w:szCs w:val="21"/>
                      <w:lang w:val="en-US" w:eastAsia="zh-CN"/>
                    </w:rPr>
                  </w:pPr>
                  <w:r>
                    <w:rPr>
                      <w:rFonts w:hint="eastAsia"/>
                      <w:sz w:val="21"/>
                      <w:szCs w:val="21"/>
                      <w:lang w:val="en-US" w:eastAsia="zh-CN"/>
                    </w:rPr>
                    <w:t>40</w:t>
                  </w:r>
                </w:p>
              </w:tc>
              <w:tc>
                <w:tcPr>
                  <w:tcW w:w="334" w:type="pct"/>
                  <w:vMerge w:val="continue"/>
                  <w:tcBorders>
                    <w:tl2br w:val="nil"/>
                    <w:tr2bl w:val="nil"/>
                  </w:tcBorders>
                  <w:vAlign w:val="center"/>
                </w:tcPr>
                <w:p w14:paraId="355F08CA">
                  <w:pPr>
                    <w:pStyle w:val="9"/>
                    <w:spacing w:line="240" w:lineRule="auto"/>
                    <w:ind w:left="0" w:firstLine="0"/>
                    <w:jc w:val="center"/>
                    <w:rPr>
                      <w:sz w:val="21"/>
                      <w:szCs w:val="21"/>
                    </w:rPr>
                  </w:pPr>
                </w:p>
              </w:tc>
              <w:tc>
                <w:tcPr>
                  <w:tcW w:w="390" w:type="pct"/>
                  <w:vMerge w:val="continue"/>
                  <w:tcBorders>
                    <w:tl2br w:val="nil"/>
                    <w:tr2bl w:val="nil"/>
                  </w:tcBorders>
                  <w:vAlign w:val="center"/>
                </w:tcPr>
                <w:p w14:paraId="0C3A3892">
                  <w:pPr>
                    <w:pStyle w:val="9"/>
                    <w:spacing w:line="240" w:lineRule="auto"/>
                    <w:ind w:left="0" w:firstLine="0"/>
                    <w:jc w:val="center"/>
                    <w:rPr>
                      <w:sz w:val="21"/>
                      <w:szCs w:val="21"/>
                    </w:rPr>
                  </w:pPr>
                </w:p>
              </w:tc>
              <w:tc>
                <w:tcPr>
                  <w:tcW w:w="432" w:type="pct"/>
                  <w:tcBorders>
                    <w:tl2br w:val="nil"/>
                    <w:tr2bl w:val="nil"/>
                  </w:tcBorders>
                  <w:vAlign w:val="center"/>
                </w:tcPr>
                <w:p w14:paraId="3A26A2CD">
                  <w:pPr>
                    <w:pStyle w:val="9"/>
                    <w:spacing w:line="240" w:lineRule="auto"/>
                    <w:ind w:left="0" w:leftChars="0" w:firstLine="0" w:firstLineChars="0"/>
                    <w:jc w:val="center"/>
                    <w:rPr>
                      <w:rFonts w:hint="default" w:eastAsia="宋体"/>
                      <w:sz w:val="21"/>
                      <w:szCs w:val="21"/>
                      <w:lang w:val="en-US" w:eastAsia="zh-CN"/>
                    </w:rPr>
                  </w:pPr>
                  <w:r>
                    <w:rPr>
                      <w:rFonts w:hint="eastAsia"/>
                      <w:sz w:val="21"/>
                      <w:szCs w:val="21"/>
                      <w:lang w:val="en-US" w:eastAsia="zh-CN"/>
                    </w:rPr>
                    <w:t>36</w:t>
                  </w:r>
                </w:p>
              </w:tc>
              <w:tc>
                <w:tcPr>
                  <w:tcW w:w="340" w:type="pct"/>
                  <w:tcBorders>
                    <w:tl2br w:val="nil"/>
                    <w:tr2bl w:val="nil"/>
                  </w:tcBorders>
                  <w:vAlign w:val="center"/>
                </w:tcPr>
                <w:p w14:paraId="7A1BDE03">
                  <w:pPr>
                    <w:pStyle w:val="9"/>
                    <w:spacing w:line="240" w:lineRule="auto"/>
                    <w:ind w:left="0" w:leftChars="0" w:firstLine="0" w:firstLineChars="0"/>
                    <w:jc w:val="center"/>
                    <w:rPr>
                      <w:rFonts w:hint="default" w:eastAsia="宋体"/>
                      <w:sz w:val="21"/>
                      <w:szCs w:val="21"/>
                      <w:lang w:val="en-US" w:eastAsia="zh-CN"/>
                    </w:rPr>
                  </w:pPr>
                  <w:r>
                    <w:rPr>
                      <w:rFonts w:hint="eastAsia"/>
                      <w:sz w:val="21"/>
                      <w:szCs w:val="21"/>
                      <w:lang w:val="en-US" w:eastAsia="zh-CN"/>
                    </w:rPr>
                    <w:t>0.095</w:t>
                  </w:r>
                </w:p>
              </w:tc>
              <w:tc>
                <w:tcPr>
                  <w:tcW w:w="339" w:type="pct"/>
                  <w:tcBorders>
                    <w:tl2br w:val="nil"/>
                    <w:tr2bl w:val="nil"/>
                  </w:tcBorders>
                  <w:vAlign w:val="center"/>
                </w:tcPr>
                <w:p w14:paraId="2AAB7418">
                  <w:pPr>
                    <w:pStyle w:val="9"/>
                    <w:spacing w:line="240" w:lineRule="auto"/>
                    <w:ind w:left="0" w:leftChars="0" w:firstLine="0" w:firstLineChars="0"/>
                    <w:jc w:val="center"/>
                    <w:rPr>
                      <w:rFonts w:hint="default" w:eastAsia="宋体"/>
                      <w:color w:val="auto"/>
                      <w:sz w:val="21"/>
                      <w:szCs w:val="21"/>
                      <w:lang w:val="en-US" w:eastAsia="zh-CN"/>
                    </w:rPr>
                  </w:pPr>
                  <w:r>
                    <w:rPr>
                      <w:rFonts w:hint="eastAsia"/>
                      <w:color w:val="auto"/>
                      <w:sz w:val="21"/>
                      <w:szCs w:val="21"/>
                      <w:lang w:val="en-US" w:eastAsia="zh-CN"/>
                    </w:rPr>
                    <w:t>/</w:t>
                  </w:r>
                </w:p>
              </w:tc>
            </w:tr>
            <w:tr w14:paraId="238623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75" w:type="pct"/>
                  <w:vMerge w:val="continue"/>
                  <w:tcBorders>
                    <w:tl2br w:val="nil"/>
                    <w:tr2bl w:val="nil"/>
                  </w:tcBorders>
                  <w:vAlign w:val="center"/>
                </w:tcPr>
                <w:p w14:paraId="70CE6EEB">
                  <w:pPr>
                    <w:pStyle w:val="9"/>
                    <w:spacing w:line="240" w:lineRule="auto"/>
                    <w:ind w:left="0" w:firstLine="0"/>
                    <w:jc w:val="center"/>
                    <w:rPr>
                      <w:rFonts w:hint="default" w:eastAsia="宋体"/>
                      <w:sz w:val="21"/>
                      <w:szCs w:val="21"/>
                      <w:lang w:val="en-US" w:eastAsia="zh-CN"/>
                    </w:rPr>
                  </w:pPr>
                </w:p>
              </w:tc>
              <w:tc>
                <w:tcPr>
                  <w:tcW w:w="348" w:type="pct"/>
                  <w:vMerge w:val="continue"/>
                  <w:tcBorders>
                    <w:tl2br w:val="nil"/>
                    <w:tr2bl w:val="nil"/>
                  </w:tcBorders>
                  <w:vAlign w:val="center"/>
                </w:tcPr>
                <w:p w14:paraId="3175150E">
                  <w:pPr>
                    <w:pStyle w:val="9"/>
                    <w:spacing w:line="240" w:lineRule="auto"/>
                    <w:ind w:left="0" w:firstLine="0"/>
                    <w:jc w:val="center"/>
                    <w:rPr>
                      <w:rFonts w:hint="default" w:eastAsia="宋体"/>
                      <w:sz w:val="21"/>
                      <w:szCs w:val="21"/>
                      <w:lang w:val="en-US" w:eastAsia="zh-CN"/>
                    </w:rPr>
                  </w:pPr>
                </w:p>
              </w:tc>
              <w:tc>
                <w:tcPr>
                  <w:tcW w:w="361" w:type="pct"/>
                  <w:tcBorders>
                    <w:tl2br w:val="nil"/>
                    <w:tr2bl w:val="nil"/>
                  </w:tcBorders>
                  <w:shd w:val="clear" w:color="auto" w:fill="auto"/>
                  <w:vAlign w:val="center"/>
                </w:tcPr>
                <w:p w14:paraId="72718D59">
                  <w:pPr>
                    <w:pStyle w:val="9"/>
                    <w:spacing w:line="240" w:lineRule="auto"/>
                    <w:ind w:left="0" w:leftChars="0" w:firstLine="0" w:firstLineChars="0"/>
                    <w:jc w:val="center"/>
                    <w:rPr>
                      <w:rFonts w:hint="default" w:ascii="Times New Roman" w:hAnsi="Times New Roman" w:eastAsia="宋体" w:cs="Times New Roman"/>
                      <w:color w:val="FF0000"/>
                      <w:kern w:val="0"/>
                      <w:sz w:val="21"/>
                      <w:szCs w:val="21"/>
                      <w:lang w:val="en-US" w:eastAsia="zh-CN" w:bidi="ar-SA"/>
                    </w:rPr>
                  </w:pPr>
                  <w:r>
                    <w:rPr>
                      <w:rFonts w:hint="eastAsia" w:cs="Times New Roman"/>
                      <w:color w:val="FF0000"/>
                      <w:kern w:val="0"/>
                      <w:sz w:val="21"/>
                      <w:szCs w:val="21"/>
                      <w:lang w:val="en-US" w:eastAsia="zh-CN" w:bidi="ar-SA"/>
                    </w:rPr>
                    <w:t>氯化物</w:t>
                  </w:r>
                </w:p>
              </w:tc>
              <w:tc>
                <w:tcPr>
                  <w:tcW w:w="440" w:type="pct"/>
                  <w:vMerge w:val="continue"/>
                  <w:tcBorders>
                    <w:tl2br w:val="nil"/>
                    <w:tr2bl w:val="nil"/>
                  </w:tcBorders>
                  <w:vAlign w:val="center"/>
                </w:tcPr>
                <w:p w14:paraId="7B03C012">
                  <w:pPr>
                    <w:pStyle w:val="9"/>
                    <w:spacing w:line="240" w:lineRule="auto"/>
                    <w:ind w:left="0" w:firstLine="0"/>
                    <w:jc w:val="center"/>
                    <w:rPr>
                      <w:rFonts w:hint="default" w:eastAsia="宋体"/>
                      <w:sz w:val="21"/>
                      <w:szCs w:val="21"/>
                      <w:lang w:val="en-US" w:eastAsia="zh-CN"/>
                    </w:rPr>
                  </w:pPr>
                </w:p>
              </w:tc>
              <w:tc>
                <w:tcPr>
                  <w:tcW w:w="432" w:type="pct"/>
                  <w:tcBorders>
                    <w:tl2br w:val="nil"/>
                    <w:tr2bl w:val="nil"/>
                  </w:tcBorders>
                  <w:vAlign w:val="center"/>
                </w:tcPr>
                <w:p w14:paraId="1656FDC5">
                  <w:pPr>
                    <w:pStyle w:val="12"/>
                    <w:adjustRightInd w:val="0"/>
                    <w:snapToGrid w:val="0"/>
                    <w:ind w:left="0" w:leftChars="0" w:firstLine="0" w:firstLineChars="0"/>
                    <w:jc w:val="center"/>
                    <w:rPr>
                      <w:rFonts w:hint="default"/>
                      <w:color w:val="FF0000"/>
                      <w:sz w:val="21"/>
                      <w:szCs w:val="21"/>
                      <w:lang w:val="en-US" w:eastAsia="zh-CN"/>
                    </w:rPr>
                  </w:pPr>
                  <w:r>
                    <w:rPr>
                      <w:rFonts w:hint="eastAsia"/>
                      <w:color w:val="FF0000"/>
                      <w:sz w:val="21"/>
                      <w:szCs w:val="21"/>
                      <w:lang w:val="en-US" w:eastAsia="zh-CN"/>
                    </w:rPr>
                    <w:t>400</w:t>
                  </w:r>
                </w:p>
              </w:tc>
              <w:tc>
                <w:tcPr>
                  <w:tcW w:w="351" w:type="pct"/>
                  <w:tcBorders>
                    <w:tl2br w:val="nil"/>
                    <w:tr2bl w:val="nil"/>
                  </w:tcBorders>
                  <w:vAlign w:val="center"/>
                </w:tcPr>
                <w:p w14:paraId="4290603B">
                  <w:pPr>
                    <w:pStyle w:val="9"/>
                    <w:spacing w:line="240" w:lineRule="auto"/>
                    <w:ind w:left="0" w:leftChars="0" w:firstLine="0" w:firstLineChars="0"/>
                    <w:jc w:val="center"/>
                    <w:rPr>
                      <w:rFonts w:hint="default"/>
                      <w:color w:val="FF0000"/>
                      <w:sz w:val="21"/>
                      <w:szCs w:val="21"/>
                      <w:lang w:val="en-US" w:eastAsia="zh-CN"/>
                    </w:rPr>
                  </w:pPr>
                  <w:r>
                    <w:rPr>
                      <w:rFonts w:hint="eastAsia"/>
                      <w:color w:val="FF0000"/>
                      <w:sz w:val="21"/>
                      <w:szCs w:val="21"/>
                      <w:lang w:val="en-US" w:eastAsia="zh-CN"/>
                    </w:rPr>
                    <w:t>1.054</w:t>
                  </w:r>
                </w:p>
              </w:tc>
              <w:tc>
                <w:tcPr>
                  <w:tcW w:w="289" w:type="pct"/>
                  <w:vMerge w:val="continue"/>
                  <w:tcBorders>
                    <w:tl2br w:val="nil"/>
                    <w:tr2bl w:val="nil"/>
                  </w:tcBorders>
                  <w:vAlign w:val="center"/>
                </w:tcPr>
                <w:p w14:paraId="2574A0A6">
                  <w:pPr>
                    <w:pStyle w:val="9"/>
                    <w:spacing w:line="240" w:lineRule="auto"/>
                    <w:ind w:left="0" w:firstLine="0"/>
                    <w:jc w:val="center"/>
                    <w:rPr>
                      <w:rFonts w:hint="default" w:eastAsia="宋体"/>
                      <w:sz w:val="21"/>
                      <w:szCs w:val="21"/>
                      <w:lang w:val="en-US" w:eastAsia="zh-CN"/>
                    </w:rPr>
                  </w:pPr>
                </w:p>
              </w:tc>
              <w:tc>
                <w:tcPr>
                  <w:tcW w:w="384" w:type="pct"/>
                  <w:vMerge w:val="continue"/>
                  <w:tcBorders>
                    <w:tl2br w:val="nil"/>
                    <w:tr2bl w:val="nil"/>
                  </w:tcBorders>
                  <w:vAlign w:val="center"/>
                </w:tcPr>
                <w:p w14:paraId="5ED36760">
                  <w:pPr>
                    <w:pStyle w:val="9"/>
                    <w:spacing w:line="240" w:lineRule="auto"/>
                    <w:ind w:left="0" w:leftChars="0" w:firstLine="0" w:firstLineChars="0"/>
                    <w:jc w:val="center"/>
                    <w:rPr>
                      <w:rFonts w:hint="default" w:eastAsia="宋体"/>
                      <w:sz w:val="21"/>
                      <w:szCs w:val="21"/>
                      <w:lang w:val="en-US" w:eastAsia="zh-CN"/>
                    </w:rPr>
                  </w:pPr>
                </w:p>
              </w:tc>
              <w:tc>
                <w:tcPr>
                  <w:tcW w:w="282" w:type="pct"/>
                  <w:tcBorders>
                    <w:tl2br w:val="nil"/>
                    <w:tr2bl w:val="nil"/>
                  </w:tcBorders>
                  <w:vAlign w:val="center"/>
                </w:tcPr>
                <w:p w14:paraId="3F1DC6D4">
                  <w:pPr>
                    <w:pStyle w:val="9"/>
                    <w:spacing w:line="240" w:lineRule="auto"/>
                    <w:ind w:left="0" w:leftChars="0" w:firstLine="0" w:firstLineChars="0"/>
                    <w:jc w:val="center"/>
                    <w:rPr>
                      <w:sz w:val="21"/>
                      <w:szCs w:val="21"/>
                    </w:rPr>
                  </w:pPr>
                  <w:r>
                    <w:rPr>
                      <w:rFonts w:hint="eastAsia"/>
                      <w:sz w:val="21"/>
                      <w:szCs w:val="21"/>
                      <w:lang w:val="en-US" w:eastAsia="zh-CN"/>
                    </w:rPr>
                    <w:t>20</w:t>
                  </w:r>
                </w:p>
              </w:tc>
              <w:tc>
                <w:tcPr>
                  <w:tcW w:w="334" w:type="pct"/>
                  <w:vMerge w:val="continue"/>
                  <w:tcBorders>
                    <w:tl2br w:val="nil"/>
                    <w:tr2bl w:val="nil"/>
                  </w:tcBorders>
                  <w:shd w:val="clear" w:color="auto" w:fill="auto"/>
                  <w:vAlign w:val="center"/>
                </w:tcPr>
                <w:p w14:paraId="6C140B1E">
                  <w:pPr>
                    <w:pStyle w:val="9"/>
                    <w:spacing w:line="240" w:lineRule="auto"/>
                    <w:ind w:left="0" w:leftChars="0" w:firstLine="0" w:firstLineChars="0"/>
                    <w:jc w:val="center"/>
                    <w:rPr>
                      <w:rFonts w:hint="eastAsia" w:ascii="Times New Roman" w:hAnsi="Times New Roman" w:eastAsia="宋体" w:cs="Times New Roman"/>
                      <w:kern w:val="0"/>
                      <w:sz w:val="21"/>
                      <w:szCs w:val="21"/>
                      <w:lang w:val="en-US" w:eastAsia="zh-CN" w:bidi="ar-SA"/>
                    </w:rPr>
                  </w:pPr>
                </w:p>
              </w:tc>
              <w:tc>
                <w:tcPr>
                  <w:tcW w:w="390" w:type="pct"/>
                  <w:vMerge w:val="continue"/>
                  <w:tcBorders>
                    <w:tl2br w:val="nil"/>
                    <w:tr2bl w:val="nil"/>
                  </w:tcBorders>
                  <w:vAlign w:val="center"/>
                </w:tcPr>
                <w:p w14:paraId="34E5006E">
                  <w:pPr>
                    <w:pStyle w:val="9"/>
                    <w:spacing w:line="240" w:lineRule="auto"/>
                    <w:ind w:left="0" w:leftChars="0" w:firstLine="0" w:firstLineChars="0"/>
                    <w:jc w:val="center"/>
                    <w:rPr>
                      <w:sz w:val="21"/>
                      <w:szCs w:val="21"/>
                    </w:rPr>
                  </w:pPr>
                </w:p>
              </w:tc>
              <w:tc>
                <w:tcPr>
                  <w:tcW w:w="432" w:type="pct"/>
                  <w:tcBorders>
                    <w:tl2br w:val="nil"/>
                    <w:tr2bl w:val="nil"/>
                  </w:tcBorders>
                  <w:vAlign w:val="center"/>
                </w:tcPr>
                <w:p w14:paraId="0B401409">
                  <w:pPr>
                    <w:pStyle w:val="9"/>
                    <w:spacing w:line="240" w:lineRule="auto"/>
                    <w:ind w:left="0" w:leftChars="0" w:firstLine="0" w:firstLineChars="0"/>
                    <w:jc w:val="center"/>
                    <w:rPr>
                      <w:rFonts w:hint="default"/>
                      <w:color w:val="FF0000"/>
                      <w:sz w:val="21"/>
                      <w:szCs w:val="21"/>
                      <w:lang w:val="en-US"/>
                    </w:rPr>
                  </w:pPr>
                  <w:r>
                    <w:rPr>
                      <w:rFonts w:hint="eastAsia"/>
                      <w:color w:val="FF0000"/>
                      <w:sz w:val="21"/>
                      <w:szCs w:val="21"/>
                      <w:lang w:val="en-US" w:eastAsia="zh-CN"/>
                    </w:rPr>
                    <w:t>320</w:t>
                  </w:r>
                </w:p>
              </w:tc>
              <w:tc>
                <w:tcPr>
                  <w:tcW w:w="340" w:type="pct"/>
                  <w:tcBorders>
                    <w:tl2br w:val="nil"/>
                    <w:tr2bl w:val="nil"/>
                  </w:tcBorders>
                  <w:vAlign w:val="center"/>
                </w:tcPr>
                <w:p w14:paraId="7CDA0C8A">
                  <w:pPr>
                    <w:pStyle w:val="9"/>
                    <w:spacing w:line="240" w:lineRule="auto"/>
                    <w:ind w:left="0" w:leftChars="0" w:firstLine="0" w:firstLineChars="0"/>
                    <w:jc w:val="center"/>
                    <w:rPr>
                      <w:rFonts w:hint="default" w:eastAsia="宋体"/>
                      <w:color w:val="FF0000"/>
                      <w:sz w:val="21"/>
                      <w:szCs w:val="21"/>
                      <w:lang w:val="en-US" w:eastAsia="zh-CN"/>
                    </w:rPr>
                  </w:pPr>
                  <w:r>
                    <w:rPr>
                      <w:rFonts w:hint="eastAsia"/>
                      <w:color w:val="FF0000"/>
                      <w:sz w:val="21"/>
                      <w:szCs w:val="21"/>
                      <w:lang w:val="en-US" w:eastAsia="zh-CN"/>
                    </w:rPr>
                    <w:t>0.843</w:t>
                  </w:r>
                </w:p>
              </w:tc>
              <w:tc>
                <w:tcPr>
                  <w:tcW w:w="339" w:type="pct"/>
                  <w:tcBorders>
                    <w:tl2br w:val="nil"/>
                    <w:tr2bl w:val="nil"/>
                  </w:tcBorders>
                  <w:vAlign w:val="center"/>
                </w:tcPr>
                <w:p w14:paraId="6B14BFFC">
                  <w:pPr>
                    <w:pStyle w:val="9"/>
                    <w:spacing w:line="240" w:lineRule="auto"/>
                    <w:ind w:left="0" w:leftChars="0" w:firstLine="0" w:firstLineChars="0"/>
                    <w:jc w:val="center"/>
                    <w:rPr>
                      <w:rFonts w:hint="default" w:eastAsia="宋体"/>
                      <w:color w:val="FF0000"/>
                      <w:sz w:val="21"/>
                      <w:szCs w:val="21"/>
                      <w:lang w:val="en-US" w:eastAsia="zh-CN"/>
                    </w:rPr>
                  </w:pPr>
                  <w:r>
                    <w:rPr>
                      <w:rFonts w:hint="eastAsia"/>
                      <w:color w:val="FF0000"/>
                      <w:sz w:val="21"/>
                      <w:szCs w:val="21"/>
                      <w:lang w:val="en-US" w:eastAsia="zh-CN"/>
                    </w:rPr>
                    <w:t>400</w:t>
                  </w:r>
                </w:p>
              </w:tc>
            </w:tr>
            <w:tr w14:paraId="0C8799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75" w:type="pct"/>
                  <w:vMerge w:val="continue"/>
                  <w:tcBorders>
                    <w:tl2br w:val="nil"/>
                    <w:tr2bl w:val="nil"/>
                  </w:tcBorders>
                  <w:vAlign w:val="center"/>
                </w:tcPr>
                <w:p w14:paraId="3C1B09B5">
                  <w:pPr>
                    <w:pStyle w:val="9"/>
                    <w:spacing w:line="240" w:lineRule="auto"/>
                    <w:ind w:left="0" w:firstLine="0"/>
                    <w:jc w:val="center"/>
                    <w:rPr>
                      <w:rFonts w:hint="default" w:eastAsia="宋体"/>
                      <w:sz w:val="21"/>
                      <w:szCs w:val="21"/>
                      <w:lang w:val="en-US" w:eastAsia="zh-CN"/>
                    </w:rPr>
                  </w:pPr>
                </w:p>
              </w:tc>
              <w:tc>
                <w:tcPr>
                  <w:tcW w:w="348" w:type="pct"/>
                  <w:vMerge w:val="continue"/>
                  <w:tcBorders>
                    <w:tl2br w:val="nil"/>
                    <w:tr2bl w:val="nil"/>
                  </w:tcBorders>
                  <w:vAlign w:val="center"/>
                </w:tcPr>
                <w:p w14:paraId="60DF4B23">
                  <w:pPr>
                    <w:pStyle w:val="9"/>
                    <w:spacing w:line="240" w:lineRule="auto"/>
                    <w:ind w:left="0" w:firstLine="0"/>
                    <w:jc w:val="center"/>
                    <w:rPr>
                      <w:rFonts w:hint="default" w:eastAsia="宋体"/>
                      <w:sz w:val="21"/>
                      <w:szCs w:val="21"/>
                      <w:lang w:val="en-US" w:eastAsia="zh-CN"/>
                    </w:rPr>
                  </w:pPr>
                </w:p>
              </w:tc>
              <w:tc>
                <w:tcPr>
                  <w:tcW w:w="361" w:type="pct"/>
                  <w:tcBorders>
                    <w:tl2br w:val="nil"/>
                    <w:tr2bl w:val="nil"/>
                  </w:tcBorders>
                  <w:vAlign w:val="center"/>
                </w:tcPr>
                <w:p w14:paraId="64F25DAF">
                  <w:pPr>
                    <w:pStyle w:val="9"/>
                    <w:spacing w:line="240" w:lineRule="auto"/>
                    <w:ind w:left="0" w:leftChars="0" w:firstLine="0" w:firstLineChars="0"/>
                    <w:jc w:val="center"/>
                    <w:rPr>
                      <w:rFonts w:hint="eastAsia"/>
                      <w:color w:val="FF0000"/>
                      <w:sz w:val="21"/>
                      <w:szCs w:val="21"/>
                      <w:lang w:val="en-US" w:eastAsia="zh-CN"/>
                    </w:rPr>
                  </w:pPr>
                  <w:r>
                    <w:rPr>
                      <w:rFonts w:hint="eastAsia"/>
                      <w:color w:val="FF0000"/>
                      <w:sz w:val="21"/>
                      <w:szCs w:val="21"/>
                      <w:lang w:val="en-US" w:eastAsia="zh-CN"/>
                    </w:rPr>
                    <w:t>硫酸盐</w:t>
                  </w:r>
                </w:p>
              </w:tc>
              <w:tc>
                <w:tcPr>
                  <w:tcW w:w="440" w:type="pct"/>
                  <w:vMerge w:val="continue"/>
                  <w:tcBorders>
                    <w:tl2br w:val="nil"/>
                    <w:tr2bl w:val="nil"/>
                  </w:tcBorders>
                  <w:vAlign w:val="center"/>
                </w:tcPr>
                <w:p w14:paraId="5807248A">
                  <w:pPr>
                    <w:pStyle w:val="9"/>
                    <w:spacing w:line="240" w:lineRule="auto"/>
                    <w:ind w:left="0" w:firstLine="0"/>
                    <w:jc w:val="center"/>
                    <w:rPr>
                      <w:rFonts w:hint="default" w:eastAsia="宋体"/>
                      <w:sz w:val="21"/>
                      <w:szCs w:val="21"/>
                      <w:lang w:val="en-US" w:eastAsia="zh-CN"/>
                    </w:rPr>
                  </w:pPr>
                </w:p>
              </w:tc>
              <w:tc>
                <w:tcPr>
                  <w:tcW w:w="432" w:type="pct"/>
                  <w:tcBorders>
                    <w:tl2br w:val="nil"/>
                    <w:tr2bl w:val="nil"/>
                  </w:tcBorders>
                  <w:vAlign w:val="center"/>
                </w:tcPr>
                <w:p w14:paraId="5ED31E89">
                  <w:pPr>
                    <w:pStyle w:val="9"/>
                    <w:spacing w:line="240" w:lineRule="auto"/>
                    <w:ind w:left="0" w:leftChars="0" w:firstLine="0" w:firstLineChars="0"/>
                    <w:jc w:val="center"/>
                    <w:rPr>
                      <w:rFonts w:hint="default"/>
                      <w:color w:val="FF0000"/>
                      <w:sz w:val="21"/>
                      <w:szCs w:val="21"/>
                      <w:lang w:val="en-US" w:eastAsia="zh-CN"/>
                    </w:rPr>
                  </w:pPr>
                  <w:r>
                    <w:rPr>
                      <w:rFonts w:hint="eastAsia"/>
                      <w:color w:val="FF0000"/>
                      <w:sz w:val="21"/>
                      <w:szCs w:val="21"/>
                      <w:lang w:val="en-US" w:eastAsia="zh-CN"/>
                    </w:rPr>
                    <w:t>400</w:t>
                  </w:r>
                </w:p>
              </w:tc>
              <w:tc>
                <w:tcPr>
                  <w:tcW w:w="351" w:type="pct"/>
                  <w:tcBorders>
                    <w:tl2br w:val="nil"/>
                    <w:tr2bl w:val="nil"/>
                  </w:tcBorders>
                  <w:vAlign w:val="center"/>
                </w:tcPr>
                <w:p w14:paraId="78798AF7">
                  <w:pPr>
                    <w:jc w:val="center"/>
                    <w:rPr>
                      <w:rFonts w:hint="default"/>
                      <w:color w:val="FF0000"/>
                      <w:sz w:val="21"/>
                      <w:szCs w:val="21"/>
                      <w:lang w:val="en-US" w:eastAsia="zh-CN"/>
                    </w:rPr>
                  </w:pPr>
                  <w:r>
                    <w:rPr>
                      <w:rFonts w:hint="eastAsia"/>
                      <w:color w:val="FF0000"/>
                      <w:sz w:val="21"/>
                      <w:szCs w:val="21"/>
                      <w:lang w:val="en-US" w:eastAsia="zh-CN"/>
                    </w:rPr>
                    <w:t>1.054</w:t>
                  </w:r>
                </w:p>
              </w:tc>
              <w:tc>
                <w:tcPr>
                  <w:tcW w:w="289" w:type="pct"/>
                  <w:vMerge w:val="continue"/>
                  <w:tcBorders>
                    <w:tl2br w:val="nil"/>
                    <w:tr2bl w:val="nil"/>
                  </w:tcBorders>
                  <w:vAlign w:val="center"/>
                </w:tcPr>
                <w:p w14:paraId="1799A975">
                  <w:pPr>
                    <w:pStyle w:val="9"/>
                    <w:spacing w:line="240" w:lineRule="auto"/>
                    <w:ind w:left="0" w:firstLine="0"/>
                    <w:jc w:val="center"/>
                    <w:rPr>
                      <w:rFonts w:hint="default" w:eastAsia="宋体"/>
                      <w:sz w:val="21"/>
                      <w:szCs w:val="21"/>
                      <w:lang w:val="en-US" w:eastAsia="zh-CN"/>
                    </w:rPr>
                  </w:pPr>
                </w:p>
              </w:tc>
              <w:tc>
                <w:tcPr>
                  <w:tcW w:w="384" w:type="pct"/>
                  <w:vMerge w:val="continue"/>
                  <w:tcBorders>
                    <w:tl2br w:val="nil"/>
                    <w:tr2bl w:val="nil"/>
                  </w:tcBorders>
                  <w:vAlign w:val="center"/>
                </w:tcPr>
                <w:p w14:paraId="0250937F">
                  <w:pPr>
                    <w:pStyle w:val="9"/>
                    <w:spacing w:line="240" w:lineRule="auto"/>
                    <w:ind w:left="0" w:leftChars="0" w:firstLine="0" w:firstLineChars="0"/>
                    <w:jc w:val="center"/>
                    <w:rPr>
                      <w:sz w:val="21"/>
                      <w:szCs w:val="21"/>
                    </w:rPr>
                  </w:pPr>
                </w:p>
              </w:tc>
              <w:tc>
                <w:tcPr>
                  <w:tcW w:w="282" w:type="pct"/>
                  <w:tcBorders>
                    <w:tl2br w:val="nil"/>
                    <w:tr2bl w:val="nil"/>
                  </w:tcBorders>
                  <w:vAlign w:val="center"/>
                </w:tcPr>
                <w:p w14:paraId="17056070">
                  <w:pPr>
                    <w:widowControl/>
                    <w:jc w:val="center"/>
                    <w:rPr>
                      <w:rFonts w:hint="default" w:eastAsia="宋体"/>
                      <w:sz w:val="21"/>
                      <w:szCs w:val="21"/>
                      <w:lang w:val="en-US" w:eastAsia="zh-CN"/>
                    </w:rPr>
                  </w:pPr>
                  <w:r>
                    <w:rPr>
                      <w:rFonts w:hint="eastAsia"/>
                      <w:sz w:val="21"/>
                      <w:szCs w:val="21"/>
                      <w:lang w:val="en-US" w:eastAsia="zh-CN"/>
                    </w:rPr>
                    <w:t>20</w:t>
                  </w:r>
                </w:p>
              </w:tc>
              <w:tc>
                <w:tcPr>
                  <w:tcW w:w="334" w:type="pct"/>
                  <w:vMerge w:val="continue"/>
                  <w:tcBorders>
                    <w:tl2br w:val="nil"/>
                    <w:tr2bl w:val="nil"/>
                  </w:tcBorders>
                  <w:vAlign w:val="center"/>
                </w:tcPr>
                <w:p w14:paraId="7DE123F6">
                  <w:pPr>
                    <w:pStyle w:val="9"/>
                    <w:spacing w:line="240" w:lineRule="auto"/>
                    <w:ind w:left="0" w:leftChars="0" w:firstLine="0" w:firstLineChars="0"/>
                    <w:jc w:val="center"/>
                    <w:rPr>
                      <w:sz w:val="21"/>
                      <w:szCs w:val="21"/>
                    </w:rPr>
                  </w:pPr>
                </w:p>
              </w:tc>
              <w:tc>
                <w:tcPr>
                  <w:tcW w:w="390" w:type="pct"/>
                  <w:vMerge w:val="continue"/>
                  <w:tcBorders>
                    <w:tl2br w:val="nil"/>
                    <w:tr2bl w:val="nil"/>
                  </w:tcBorders>
                  <w:vAlign w:val="center"/>
                </w:tcPr>
                <w:p w14:paraId="0EBD5E59">
                  <w:pPr>
                    <w:pStyle w:val="9"/>
                    <w:spacing w:line="240" w:lineRule="auto"/>
                    <w:ind w:left="0" w:leftChars="0" w:firstLine="0" w:firstLineChars="0"/>
                    <w:jc w:val="center"/>
                    <w:rPr>
                      <w:sz w:val="21"/>
                      <w:szCs w:val="21"/>
                    </w:rPr>
                  </w:pPr>
                </w:p>
              </w:tc>
              <w:tc>
                <w:tcPr>
                  <w:tcW w:w="432" w:type="pct"/>
                  <w:tcBorders>
                    <w:tl2br w:val="nil"/>
                    <w:tr2bl w:val="nil"/>
                  </w:tcBorders>
                  <w:vAlign w:val="center"/>
                </w:tcPr>
                <w:p w14:paraId="4A8D7DE8">
                  <w:pPr>
                    <w:pStyle w:val="9"/>
                    <w:spacing w:line="240" w:lineRule="auto"/>
                    <w:ind w:left="0" w:leftChars="0" w:firstLine="0" w:firstLineChars="0"/>
                    <w:jc w:val="center"/>
                    <w:rPr>
                      <w:rFonts w:hint="default"/>
                      <w:color w:val="FF0000"/>
                      <w:sz w:val="21"/>
                      <w:szCs w:val="21"/>
                      <w:lang w:val="en-US" w:eastAsia="zh-CN"/>
                    </w:rPr>
                  </w:pPr>
                  <w:r>
                    <w:rPr>
                      <w:rFonts w:hint="eastAsia"/>
                      <w:color w:val="FF0000"/>
                      <w:sz w:val="21"/>
                      <w:szCs w:val="21"/>
                      <w:lang w:val="en-US" w:eastAsia="zh-CN"/>
                    </w:rPr>
                    <w:t>320</w:t>
                  </w:r>
                </w:p>
              </w:tc>
              <w:tc>
                <w:tcPr>
                  <w:tcW w:w="340" w:type="pct"/>
                  <w:tcBorders>
                    <w:tl2br w:val="nil"/>
                    <w:tr2bl w:val="nil"/>
                  </w:tcBorders>
                  <w:vAlign w:val="center"/>
                </w:tcPr>
                <w:p w14:paraId="67BE9A5E">
                  <w:pPr>
                    <w:pStyle w:val="9"/>
                    <w:spacing w:line="240" w:lineRule="auto"/>
                    <w:ind w:left="0" w:leftChars="0" w:firstLine="0" w:firstLineChars="0"/>
                    <w:jc w:val="center"/>
                    <w:rPr>
                      <w:rFonts w:hint="default"/>
                      <w:color w:val="FF0000"/>
                      <w:sz w:val="21"/>
                      <w:szCs w:val="21"/>
                      <w:lang w:val="en-US" w:eastAsia="zh-CN"/>
                    </w:rPr>
                  </w:pPr>
                  <w:r>
                    <w:rPr>
                      <w:rFonts w:hint="eastAsia"/>
                      <w:color w:val="FF0000"/>
                      <w:sz w:val="21"/>
                      <w:szCs w:val="21"/>
                      <w:lang w:val="en-US" w:eastAsia="zh-CN"/>
                    </w:rPr>
                    <w:t>0.843</w:t>
                  </w:r>
                </w:p>
              </w:tc>
              <w:tc>
                <w:tcPr>
                  <w:tcW w:w="339" w:type="pct"/>
                  <w:tcBorders>
                    <w:tl2br w:val="nil"/>
                    <w:tr2bl w:val="nil"/>
                  </w:tcBorders>
                  <w:vAlign w:val="center"/>
                </w:tcPr>
                <w:p w14:paraId="5BDAD06E">
                  <w:pPr>
                    <w:pStyle w:val="9"/>
                    <w:spacing w:line="240" w:lineRule="auto"/>
                    <w:ind w:left="0" w:leftChars="0" w:firstLine="0" w:firstLineChars="0"/>
                    <w:jc w:val="center"/>
                    <w:rPr>
                      <w:rFonts w:hint="default" w:eastAsia="宋体"/>
                      <w:color w:val="FF0000"/>
                      <w:sz w:val="21"/>
                      <w:szCs w:val="21"/>
                      <w:lang w:val="en-US" w:eastAsia="zh-CN"/>
                    </w:rPr>
                  </w:pPr>
                  <w:r>
                    <w:rPr>
                      <w:rFonts w:hint="eastAsia"/>
                      <w:color w:val="FF0000"/>
                      <w:sz w:val="21"/>
                      <w:szCs w:val="21"/>
                      <w:lang w:val="en-US" w:eastAsia="zh-CN"/>
                    </w:rPr>
                    <w:t>600</w:t>
                  </w:r>
                </w:p>
              </w:tc>
            </w:tr>
          </w:tbl>
          <w:p w14:paraId="44A9884E">
            <w:pPr>
              <w:pStyle w:val="26"/>
            </w:pPr>
          </w:p>
        </w:tc>
      </w:tr>
    </w:tbl>
    <w:p w14:paraId="2C6FADEE">
      <w:pPr>
        <w:spacing w:line="360" w:lineRule="auto"/>
        <w:rPr>
          <w:sz w:val="24"/>
        </w:rPr>
        <w:sectPr>
          <w:pgSz w:w="16840" w:h="11907" w:orient="landscape"/>
          <w:pgMar w:top="1531" w:right="1701" w:bottom="1531" w:left="2127" w:header="851" w:footer="851" w:gutter="0"/>
          <w:pgBorders>
            <w:top w:val="none" w:sz="0" w:space="0"/>
            <w:left w:val="none" w:sz="0" w:space="0"/>
            <w:bottom w:val="none" w:sz="0" w:space="0"/>
            <w:right w:val="none" w:sz="0" w:space="0"/>
          </w:pgBorders>
          <w:pgNumType w:fmt="decimal"/>
          <w:cols w:space="720" w:num="1"/>
          <w:docGrid w:linePitch="312" w:charSpace="0"/>
        </w:sectPr>
      </w:pPr>
    </w:p>
    <w:tbl>
      <w:tblPr>
        <w:tblStyle w:val="27"/>
        <w:tblW w:w="898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8554"/>
      </w:tblGrid>
      <w:tr w14:paraId="4DA18F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676" w:hRule="atLeast"/>
          <w:jc w:val="center"/>
        </w:trPr>
        <w:tc>
          <w:tcPr>
            <w:tcW w:w="427" w:type="dxa"/>
            <w:tcMar>
              <w:left w:w="28" w:type="dxa"/>
              <w:right w:w="28" w:type="dxa"/>
            </w:tcMar>
            <w:vAlign w:val="center"/>
          </w:tcPr>
          <w:p w14:paraId="74232779">
            <w:pPr>
              <w:pStyle w:val="23"/>
              <w:spacing w:before="0" w:beforeAutospacing="0" w:after="0" w:afterAutospacing="0"/>
              <w:jc w:val="center"/>
              <w:rPr>
                <w:rFonts w:ascii="Times New Roman" w:hAnsi="Times New Roman"/>
                <w:b/>
                <w:bCs/>
                <w:sz w:val="21"/>
                <w:szCs w:val="21"/>
              </w:rPr>
            </w:pPr>
            <w:r>
              <w:rPr>
                <w:rFonts w:ascii="Times New Roman" w:hAnsi="Times New Roman"/>
                <w:b/>
                <w:bCs/>
                <w:sz w:val="21"/>
                <w:szCs w:val="21"/>
              </w:rPr>
              <w:t>运营期</w:t>
            </w:r>
          </w:p>
          <w:p w14:paraId="1D1EFFC4">
            <w:pPr>
              <w:pStyle w:val="23"/>
              <w:spacing w:before="0" w:beforeAutospacing="0" w:after="0" w:afterAutospacing="0"/>
              <w:jc w:val="center"/>
              <w:rPr>
                <w:rFonts w:ascii="Times New Roman" w:hAnsi="Times New Roman"/>
                <w:b/>
                <w:bCs/>
                <w:sz w:val="21"/>
                <w:szCs w:val="21"/>
              </w:rPr>
            </w:pPr>
            <w:r>
              <w:rPr>
                <w:rFonts w:ascii="Times New Roman" w:hAnsi="Times New Roman"/>
                <w:b/>
                <w:bCs/>
                <w:sz w:val="21"/>
                <w:szCs w:val="21"/>
              </w:rPr>
              <w:t>环</w:t>
            </w:r>
          </w:p>
          <w:p w14:paraId="16AA1DC0">
            <w:pPr>
              <w:pStyle w:val="23"/>
              <w:spacing w:before="0" w:beforeAutospacing="0" w:after="0" w:afterAutospacing="0"/>
              <w:jc w:val="center"/>
              <w:rPr>
                <w:rFonts w:ascii="Times New Roman" w:hAnsi="Times New Roman"/>
                <w:b/>
                <w:bCs/>
                <w:sz w:val="21"/>
                <w:szCs w:val="21"/>
              </w:rPr>
            </w:pPr>
            <w:r>
              <w:rPr>
                <w:rFonts w:ascii="Times New Roman" w:hAnsi="Times New Roman"/>
                <w:b/>
                <w:bCs/>
                <w:sz w:val="21"/>
                <w:szCs w:val="21"/>
              </w:rPr>
              <w:t>境</w:t>
            </w:r>
          </w:p>
          <w:p w14:paraId="55A832C5">
            <w:pPr>
              <w:pStyle w:val="23"/>
              <w:spacing w:before="0" w:beforeAutospacing="0" w:after="0" w:afterAutospacing="0"/>
              <w:jc w:val="center"/>
              <w:rPr>
                <w:rFonts w:ascii="Times New Roman" w:hAnsi="Times New Roman"/>
                <w:b/>
                <w:bCs/>
                <w:sz w:val="21"/>
                <w:szCs w:val="21"/>
              </w:rPr>
            </w:pPr>
            <w:r>
              <w:rPr>
                <w:rFonts w:ascii="Times New Roman" w:hAnsi="Times New Roman"/>
                <w:b/>
                <w:bCs/>
                <w:sz w:val="21"/>
                <w:szCs w:val="21"/>
              </w:rPr>
              <w:t>保</w:t>
            </w:r>
          </w:p>
          <w:p w14:paraId="767C856F">
            <w:pPr>
              <w:pStyle w:val="23"/>
              <w:spacing w:before="0" w:beforeAutospacing="0" w:after="0" w:afterAutospacing="0"/>
              <w:jc w:val="center"/>
              <w:rPr>
                <w:rFonts w:ascii="Times New Roman" w:hAnsi="Times New Roman"/>
                <w:b/>
                <w:bCs/>
                <w:sz w:val="21"/>
                <w:szCs w:val="21"/>
              </w:rPr>
            </w:pPr>
            <w:r>
              <w:rPr>
                <w:rFonts w:ascii="Times New Roman" w:hAnsi="Times New Roman"/>
                <w:b/>
                <w:bCs/>
                <w:sz w:val="21"/>
                <w:szCs w:val="21"/>
              </w:rPr>
              <w:t>护</w:t>
            </w:r>
          </w:p>
          <w:p w14:paraId="3233B045">
            <w:pPr>
              <w:pStyle w:val="23"/>
              <w:spacing w:before="0" w:beforeAutospacing="0" w:after="0" w:afterAutospacing="0"/>
              <w:jc w:val="center"/>
              <w:rPr>
                <w:rFonts w:ascii="Times New Roman" w:hAnsi="Times New Roman"/>
                <w:b/>
                <w:bCs/>
                <w:sz w:val="21"/>
                <w:szCs w:val="21"/>
              </w:rPr>
            </w:pPr>
            <w:r>
              <w:rPr>
                <w:rFonts w:ascii="Times New Roman" w:hAnsi="Times New Roman"/>
                <w:b/>
                <w:bCs/>
                <w:sz w:val="21"/>
                <w:szCs w:val="21"/>
              </w:rPr>
              <w:t>措</w:t>
            </w:r>
          </w:p>
          <w:p w14:paraId="799DF3E8">
            <w:pPr>
              <w:adjustRightInd w:val="0"/>
              <w:snapToGrid w:val="0"/>
              <w:jc w:val="center"/>
              <w:rPr>
                <w:rFonts w:ascii="宋体" w:hAnsi="宋体" w:cs="宋体"/>
                <w:bCs/>
                <w:szCs w:val="21"/>
              </w:rPr>
            </w:pPr>
            <w:r>
              <w:rPr>
                <w:b/>
                <w:bCs/>
                <w:szCs w:val="21"/>
              </w:rPr>
              <w:t>施</w:t>
            </w:r>
          </w:p>
        </w:tc>
        <w:tc>
          <w:tcPr>
            <w:tcW w:w="8554" w:type="dxa"/>
            <w:vAlign w:val="center"/>
          </w:tcPr>
          <w:p w14:paraId="7401E093">
            <w:pPr>
              <w:spacing w:line="360" w:lineRule="auto"/>
              <w:ind w:firstLine="480"/>
              <w:rPr>
                <w:b/>
                <w:bCs/>
                <w:sz w:val="24"/>
              </w:rPr>
            </w:pPr>
            <w:r>
              <w:rPr>
                <w:rFonts w:hint="eastAsia"/>
                <w:b/>
                <w:bCs/>
                <w:sz w:val="24"/>
                <w:lang w:val="en-US" w:eastAsia="zh-CN"/>
              </w:rPr>
              <w:t>2、</w:t>
            </w:r>
            <w:r>
              <w:rPr>
                <w:b/>
                <w:bCs/>
                <w:sz w:val="24"/>
              </w:rPr>
              <w:t>废水污染物源强核算过程</w:t>
            </w:r>
          </w:p>
          <w:p w14:paraId="5A3B6C0C">
            <w:pPr>
              <w:pStyle w:val="7"/>
              <w:pageBreakBefore w:val="0"/>
              <w:widowControl w:val="0"/>
              <w:numPr>
                <w:ilvl w:val="0"/>
                <w:numId w:val="0"/>
              </w:numPr>
              <w:kinsoku/>
              <w:wordWrap/>
              <w:overflowPunct/>
              <w:topLinePunct w:val="0"/>
              <w:autoSpaceDE/>
              <w:autoSpaceDN/>
              <w:bidi w:val="0"/>
              <w:adjustRightInd/>
              <w:snapToGrid/>
              <w:ind w:left="0" w:firstLine="480" w:firstLineChars="200"/>
              <w:jc w:val="both"/>
              <w:textAlignment w:val="auto"/>
              <w:rPr>
                <w:color w:val="auto"/>
                <w:sz w:val="24"/>
              </w:rPr>
            </w:pPr>
            <w:r>
              <w:rPr>
                <w:color w:val="auto"/>
                <w:sz w:val="24"/>
              </w:rPr>
              <w:t>本项目</w:t>
            </w:r>
            <w:r>
              <w:rPr>
                <w:rFonts w:hint="eastAsia"/>
                <w:color w:val="auto"/>
                <w:sz w:val="24"/>
                <w:lang w:val="en-US" w:eastAsia="zh-CN"/>
              </w:rPr>
              <w:t>为锅炉技改项目，</w:t>
            </w:r>
            <w:r>
              <w:rPr>
                <w:rFonts w:hint="default" w:ascii="Times New Roman" w:hAnsi="Times New Roman" w:cs="Times New Roman"/>
                <w:color w:val="auto"/>
                <w:sz w:val="24"/>
                <w:highlight w:val="none"/>
              </w:rPr>
              <w:t>本次技改无新增人员，无新增生活污水</w:t>
            </w:r>
            <w:r>
              <w:rPr>
                <w:rFonts w:hint="eastAsia" w:ascii="Times New Roman" w:hAnsi="Times New Roman" w:cs="Times New Roman"/>
                <w:color w:val="auto"/>
                <w:sz w:val="24"/>
                <w:highlight w:val="none"/>
                <w:lang w:eastAsia="zh-CN"/>
              </w:rPr>
              <w:t>，</w:t>
            </w:r>
            <w:r>
              <w:rPr>
                <w:rFonts w:hint="eastAsia" w:cs="Times New Roman"/>
                <w:color w:val="auto"/>
                <w:sz w:val="24"/>
                <w:highlight w:val="none"/>
                <w:lang w:val="en-US" w:eastAsia="zh-CN"/>
              </w:rPr>
              <w:t>建设用地依托现有建筑，不新增用地，无新增初期雨水。</w:t>
            </w:r>
            <w:r>
              <w:rPr>
                <w:rFonts w:hint="eastAsia" w:ascii="Times New Roman" w:hAnsi="Times New Roman" w:cs="Times New Roman"/>
                <w:color w:val="FF0000"/>
                <w:sz w:val="24"/>
                <w:highlight w:val="none"/>
                <w:lang w:val="en-US" w:eastAsia="zh-CN"/>
              </w:rPr>
              <w:t>项目建成后产生的废水主要为</w:t>
            </w:r>
            <w:r>
              <w:rPr>
                <w:rFonts w:hint="eastAsia"/>
                <w:color w:val="FF0000"/>
                <w:sz w:val="24"/>
                <w:szCs w:val="24"/>
                <w:lang w:val="en-US" w:eastAsia="zh-CN"/>
              </w:rPr>
              <w:t>树脂再生废水</w:t>
            </w:r>
            <w:r>
              <w:rPr>
                <w:rFonts w:hint="eastAsia" w:ascii="Times New Roman" w:hAnsi="Times New Roman" w:eastAsia="宋体" w:cs="Times New Roman"/>
                <w:color w:val="FF0000"/>
                <w:sz w:val="24"/>
                <w:szCs w:val="24"/>
                <w:lang w:val="en-US" w:eastAsia="zh-CN"/>
              </w:rPr>
              <w:t>，</w:t>
            </w:r>
            <w:r>
              <w:rPr>
                <w:rFonts w:hint="eastAsia" w:cs="Times New Roman"/>
                <w:color w:val="FF0000"/>
                <w:sz w:val="24"/>
                <w:szCs w:val="24"/>
                <w:lang w:val="en-US" w:eastAsia="zh-CN"/>
              </w:rPr>
              <w:t>整体项目</w:t>
            </w:r>
            <w:r>
              <w:rPr>
                <w:rFonts w:hint="eastAsia" w:ascii="Times New Roman" w:hAnsi="Times New Roman" w:eastAsia="宋体" w:cs="Times New Roman"/>
                <w:color w:val="FF0000"/>
                <w:sz w:val="24"/>
                <w:szCs w:val="24"/>
                <w:lang w:val="en-US" w:eastAsia="zh-CN"/>
              </w:rPr>
              <w:t>废水</w:t>
            </w:r>
            <w:r>
              <w:rPr>
                <w:rFonts w:hint="eastAsia" w:cs="Times New Roman"/>
                <w:color w:val="FF0000"/>
                <w:sz w:val="24"/>
                <w:szCs w:val="24"/>
                <w:lang w:val="en-US" w:eastAsia="zh-CN"/>
              </w:rPr>
              <w:t>产生量不发生增加</w:t>
            </w:r>
            <w:r>
              <w:rPr>
                <w:rFonts w:hint="eastAsia" w:cs="Times New Roman"/>
                <w:color w:val="auto"/>
                <w:sz w:val="24"/>
                <w:szCs w:val="24"/>
                <w:lang w:val="en-US" w:eastAsia="zh-CN"/>
              </w:rPr>
              <w:t>，废水</w:t>
            </w:r>
            <w:r>
              <w:rPr>
                <w:rFonts w:hint="eastAsia" w:ascii="Times New Roman" w:hAnsi="Times New Roman" w:eastAsia="宋体" w:cs="Times New Roman"/>
                <w:color w:val="auto"/>
                <w:sz w:val="24"/>
                <w:szCs w:val="24"/>
                <w:lang w:val="en-US" w:eastAsia="zh-CN"/>
              </w:rPr>
              <w:t>经厂内设施中和</w:t>
            </w:r>
            <w:r>
              <w:rPr>
                <w:rFonts w:hint="eastAsia" w:cs="Times New Roman"/>
                <w:color w:val="auto"/>
                <w:sz w:val="24"/>
                <w:szCs w:val="24"/>
                <w:lang w:val="en-US" w:eastAsia="zh-CN"/>
              </w:rPr>
              <w:t>沉淀</w:t>
            </w:r>
            <w:r>
              <w:rPr>
                <w:rFonts w:hint="eastAsia" w:ascii="Times New Roman" w:hAnsi="Times New Roman" w:eastAsia="宋体" w:cs="Times New Roman"/>
                <w:color w:val="auto"/>
                <w:sz w:val="24"/>
                <w:szCs w:val="24"/>
                <w:lang w:val="en-US" w:eastAsia="zh-CN"/>
              </w:rPr>
              <w:t>处理</w:t>
            </w:r>
            <w:r>
              <w:rPr>
                <w:rFonts w:hint="eastAsia" w:cs="Times New Roman"/>
                <w:color w:val="auto"/>
                <w:sz w:val="24"/>
                <w:szCs w:val="24"/>
                <w:lang w:val="en-US" w:eastAsia="zh-CN"/>
              </w:rPr>
              <w:t>达到</w:t>
            </w:r>
            <w:r>
              <w:rPr>
                <w:rFonts w:hint="eastAsia"/>
                <w:color w:val="auto"/>
                <w:sz w:val="24"/>
                <w:szCs w:val="24"/>
                <w:lang w:bidi="ar"/>
              </w:rPr>
              <w:t>《城市污水再生利用-工业用水水质标准》</w:t>
            </w:r>
            <w:r>
              <w:rPr>
                <w:rFonts w:hint="eastAsia"/>
                <w:color w:val="auto"/>
                <w:sz w:val="24"/>
                <w:szCs w:val="24"/>
                <w:lang w:eastAsia="zh-CN" w:bidi="ar"/>
              </w:rPr>
              <w:t>（</w:t>
            </w:r>
            <w:r>
              <w:rPr>
                <w:rFonts w:hint="eastAsia"/>
                <w:color w:val="auto"/>
                <w:sz w:val="24"/>
                <w:szCs w:val="24"/>
                <w:lang w:bidi="ar"/>
              </w:rPr>
              <w:t>GB/T19923-2024</w:t>
            </w:r>
            <w:r>
              <w:rPr>
                <w:rFonts w:hint="eastAsia"/>
                <w:color w:val="auto"/>
                <w:sz w:val="24"/>
                <w:szCs w:val="24"/>
                <w:lang w:eastAsia="zh-CN" w:bidi="ar"/>
              </w:rPr>
              <w:t>）</w:t>
            </w:r>
            <w:r>
              <w:rPr>
                <w:rFonts w:hint="eastAsia"/>
                <w:color w:val="auto"/>
                <w:sz w:val="24"/>
                <w:szCs w:val="24"/>
                <w:lang w:bidi="ar"/>
              </w:rPr>
              <w:t>表1中相关限值</w:t>
            </w:r>
            <w:r>
              <w:rPr>
                <w:rFonts w:hint="eastAsia" w:cs="Times New Roman"/>
                <w:color w:val="auto"/>
                <w:sz w:val="24"/>
                <w:szCs w:val="24"/>
                <w:lang w:val="en-US" w:eastAsia="zh-CN"/>
              </w:rPr>
              <w:t>后回用于厂内绿化、洒水冷却灰渣等。</w:t>
            </w:r>
          </w:p>
          <w:p w14:paraId="19B54365">
            <w:pPr>
              <w:pStyle w:val="6"/>
              <w:pageBreakBefore w:val="0"/>
              <w:widowControl w:val="0"/>
              <w:numPr>
                <w:ilvl w:val="3"/>
                <w:numId w:val="0"/>
              </w:numPr>
              <w:kinsoku/>
              <w:wordWrap/>
              <w:overflowPunct/>
              <w:topLinePunct w:val="0"/>
              <w:autoSpaceDE/>
              <w:autoSpaceDN/>
              <w:bidi w:val="0"/>
              <w:adjustRightInd/>
              <w:snapToGrid/>
              <w:ind w:left="0" w:leftChars="0" w:firstLine="480" w:firstLineChars="200"/>
              <w:jc w:val="both"/>
              <w:textAlignment w:val="auto"/>
              <w:rPr>
                <w:rFonts w:hint="eastAsia"/>
                <w:color w:val="FF0000"/>
                <w:sz w:val="24"/>
                <w:szCs w:val="24"/>
                <w:lang w:val="en-US" w:eastAsia="zh-CN"/>
              </w:rPr>
            </w:pPr>
            <w:r>
              <w:rPr>
                <w:rFonts w:hint="eastAsia" w:cs="Times New Roman"/>
                <w:b w:val="0"/>
                <w:bCs w:val="0"/>
                <w:color w:val="FF0000"/>
                <w:sz w:val="24"/>
                <w:szCs w:val="24"/>
                <w:highlight w:val="none"/>
                <w:lang w:val="en-US" w:eastAsia="zh-CN"/>
              </w:rPr>
              <w:t>项目技改后，新增1台6t/h生物质锅炉提供蒸汽，原有锅炉留作备用。锅炉年运行时长为4650h，锅炉负荷为85%，则蒸汽产生总量为23715</w:t>
            </w:r>
            <w:r>
              <w:rPr>
                <w:rFonts w:hint="default" w:ascii="Times New Roman" w:hAnsi="Times New Roman" w:eastAsia="宋体" w:cs="Times New Roman"/>
                <w:b w:val="0"/>
                <w:bCs/>
                <w:color w:val="FF0000"/>
                <w:sz w:val="24"/>
                <w:szCs w:val="24"/>
                <w:lang w:val="en-US" w:eastAsia="zh-CN"/>
              </w:rPr>
              <w:t>t/a</w:t>
            </w:r>
            <w:r>
              <w:rPr>
                <w:rFonts w:hint="eastAsia" w:ascii="Times New Roman" w:hAnsi="Times New Roman" w:eastAsia="宋体" w:cs="Times New Roman"/>
                <w:b w:val="0"/>
                <w:bCs/>
                <w:color w:val="FF0000"/>
                <w:sz w:val="24"/>
                <w:szCs w:val="24"/>
                <w:lang w:val="en-US" w:eastAsia="zh-CN"/>
              </w:rPr>
              <w:t>（</w:t>
            </w:r>
            <w:r>
              <w:rPr>
                <w:rFonts w:hint="eastAsia" w:cs="Times New Roman"/>
                <w:b w:val="0"/>
                <w:bCs/>
                <w:color w:val="FF0000"/>
                <w:sz w:val="24"/>
                <w:szCs w:val="24"/>
                <w:lang w:val="en-US" w:eastAsia="zh-CN"/>
              </w:rPr>
              <w:t>76.5t</w:t>
            </w:r>
            <w:r>
              <w:rPr>
                <w:rFonts w:hint="default" w:ascii="Times New Roman" w:hAnsi="Times New Roman" w:eastAsia="宋体" w:cs="Times New Roman"/>
                <w:b w:val="0"/>
                <w:bCs/>
                <w:color w:val="FF0000"/>
                <w:sz w:val="24"/>
                <w:szCs w:val="24"/>
                <w:lang w:val="en-US" w:eastAsia="zh-CN"/>
              </w:rPr>
              <w:t>/d</w:t>
            </w:r>
            <w:r>
              <w:rPr>
                <w:rFonts w:hint="eastAsia" w:ascii="Times New Roman" w:hAnsi="Times New Roman" w:eastAsia="宋体" w:cs="Times New Roman"/>
                <w:b w:val="0"/>
                <w:bCs/>
                <w:color w:val="FF0000"/>
                <w:sz w:val="24"/>
                <w:szCs w:val="24"/>
                <w:lang w:val="en-US" w:eastAsia="zh-CN"/>
              </w:rPr>
              <w:t>）</w:t>
            </w:r>
            <w:r>
              <w:rPr>
                <w:rFonts w:hint="eastAsia" w:cs="Times New Roman"/>
                <w:b w:val="0"/>
                <w:bCs/>
                <w:color w:val="FF0000"/>
                <w:sz w:val="24"/>
                <w:szCs w:val="24"/>
                <w:lang w:val="en-US" w:eastAsia="zh-CN"/>
              </w:rPr>
              <w:t>。</w:t>
            </w:r>
          </w:p>
          <w:p w14:paraId="43CFCFCD">
            <w:pPr>
              <w:pStyle w:val="114"/>
              <w:rPr>
                <w:rFonts w:hint="default" w:eastAsia="宋体"/>
                <w:color w:val="FF0000"/>
                <w:lang w:val="en-US" w:eastAsia="zh-CN"/>
              </w:rPr>
            </w:pPr>
            <w:r>
              <w:rPr>
                <w:rFonts w:hint="eastAsia" w:eastAsia="宋体"/>
                <w:color w:val="FF0000"/>
                <w:lang w:val="en-US" w:eastAsia="zh-CN"/>
              </w:rPr>
              <w:t>1）</w:t>
            </w:r>
            <w:r>
              <w:rPr>
                <w:rFonts w:hint="eastAsia" w:eastAsia="宋体"/>
                <w:color w:val="FF0000"/>
                <w:sz w:val="24"/>
                <w:szCs w:val="24"/>
                <w:lang w:val="en-US" w:eastAsia="zh-CN"/>
              </w:rPr>
              <w:t>树脂再生废水</w:t>
            </w:r>
          </w:p>
          <w:p w14:paraId="6C73CD73">
            <w:pPr>
              <w:pStyle w:val="114"/>
              <w:rPr>
                <w:rFonts w:hint="eastAsia" w:eastAsia="宋体"/>
                <w:color w:val="FF0000"/>
                <w:sz w:val="24"/>
                <w:szCs w:val="24"/>
                <w:lang w:val="en-US" w:eastAsia="zh-CN"/>
              </w:rPr>
            </w:pPr>
            <w:r>
              <w:rPr>
                <w:rFonts w:hint="eastAsia" w:eastAsia="宋体"/>
                <w:color w:val="FF0000"/>
                <w:lang w:val="en-US"/>
              </w:rPr>
              <w:t>锅炉用水为</w:t>
            </w:r>
            <w:r>
              <w:rPr>
                <w:rFonts w:hint="eastAsia" w:eastAsia="宋体"/>
                <w:color w:val="FF0000"/>
                <w:lang w:val="en-US" w:eastAsia="zh-CN"/>
              </w:rPr>
              <w:t>自来水</w:t>
            </w:r>
            <w:r>
              <w:rPr>
                <w:rFonts w:hint="eastAsia" w:eastAsia="宋体"/>
                <w:color w:val="FF0000"/>
                <w:lang w:val="en-US"/>
              </w:rPr>
              <w:t>制备后的软水，软水制备工艺采用</w:t>
            </w:r>
            <w:r>
              <w:rPr>
                <w:rFonts w:hint="eastAsia" w:eastAsia="宋体" w:cs="Times New Roman"/>
                <w:color w:val="FF0000"/>
                <w:sz w:val="24"/>
                <w:szCs w:val="24"/>
                <w:lang w:val="en-US" w:eastAsia="zh-CN"/>
              </w:rPr>
              <w:t>离子交换树脂法</w:t>
            </w:r>
            <w:r>
              <w:rPr>
                <w:rFonts w:hint="eastAsia" w:eastAsia="宋体"/>
                <w:color w:val="FF0000"/>
                <w:lang w:val="en-US"/>
              </w:rPr>
              <w:t>，根据业主提供资料，1吨的新鲜水</w:t>
            </w:r>
            <w:r>
              <w:rPr>
                <w:rFonts w:hint="eastAsia" w:eastAsia="宋体"/>
                <w:color w:val="FF0000"/>
                <w:lang w:val="en-US" w:eastAsia="zh-CN"/>
              </w:rPr>
              <w:t>可</w:t>
            </w:r>
            <w:r>
              <w:rPr>
                <w:rFonts w:hint="eastAsia" w:eastAsia="宋体"/>
                <w:color w:val="FF0000"/>
                <w:lang w:val="en-US"/>
              </w:rPr>
              <w:t>制备约0.</w:t>
            </w:r>
            <w:r>
              <w:rPr>
                <w:rFonts w:hint="eastAsia" w:eastAsia="宋体"/>
                <w:color w:val="FF0000"/>
                <w:lang w:val="en-US" w:eastAsia="zh-CN"/>
              </w:rPr>
              <w:t>9</w:t>
            </w:r>
            <w:r>
              <w:rPr>
                <w:rFonts w:hint="eastAsia" w:eastAsia="宋体"/>
                <w:color w:val="FF0000"/>
                <w:lang w:val="en-US"/>
              </w:rPr>
              <w:t>吨软水，</w:t>
            </w:r>
            <w:r>
              <w:rPr>
                <w:rFonts w:hint="eastAsia" w:eastAsia="宋体"/>
                <w:color w:val="FF0000"/>
                <w:lang w:val="en-US" w:eastAsia="zh-CN"/>
              </w:rPr>
              <w:t>产生</w:t>
            </w:r>
            <w:r>
              <w:rPr>
                <w:rFonts w:hint="eastAsia" w:eastAsia="宋体"/>
                <w:color w:val="FF0000"/>
                <w:lang w:val="en-US"/>
              </w:rPr>
              <w:t>0.</w:t>
            </w:r>
            <w:r>
              <w:rPr>
                <w:rFonts w:hint="eastAsia" w:eastAsia="宋体"/>
                <w:color w:val="FF0000"/>
                <w:lang w:val="en-US" w:eastAsia="zh-CN"/>
              </w:rPr>
              <w:t>1</w:t>
            </w:r>
            <w:r>
              <w:rPr>
                <w:rFonts w:hint="eastAsia" w:eastAsia="宋体"/>
                <w:color w:val="FF0000"/>
                <w:lang w:val="en-US"/>
              </w:rPr>
              <w:t>吨的</w:t>
            </w:r>
            <w:r>
              <w:rPr>
                <w:rFonts w:hint="eastAsia" w:eastAsia="宋体"/>
                <w:color w:val="FF0000"/>
                <w:lang w:val="en-US" w:eastAsia="zh-CN"/>
              </w:rPr>
              <w:t>树脂再生废水</w:t>
            </w:r>
            <w:r>
              <w:rPr>
                <w:rFonts w:hint="eastAsia" w:eastAsia="宋体"/>
                <w:color w:val="FF0000"/>
                <w:lang w:val="en-US"/>
              </w:rPr>
              <w:t>，</w:t>
            </w:r>
            <w:r>
              <w:rPr>
                <w:rFonts w:hint="eastAsia" w:ascii="Times New Roman" w:hAnsi="Times New Roman" w:eastAsia="宋体" w:cs="Times New Roman"/>
                <w:color w:val="FF0000"/>
                <w:sz w:val="24"/>
                <w:szCs w:val="24"/>
                <w:lang w:val="en-US" w:eastAsia="zh-CN"/>
              </w:rPr>
              <w:t>根据以上分析，项目软水使用量为</w:t>
            </w:r>
            <w:r>
              <w:rPr>
                <w:rFonts w:hint="eastAsia" w:cs="Times New Roman"/>
                <w:b w:val="0"/>
                <w:bCs w:val="0"/>
                <w:color w:val="FF0000"/>
                <w:sz w:val="24"/>
                <w:szCs w:val="24"/>
                <w:highlight w:val="none"/>
                <w:lang w:val="en-US" w:eastAsia="zh-CN"/>
              </w:rPr>
              <w:t>23715</w:t>
            </w:r>
            <w:r>
              <w:rPr>
                <w:rFonts w:hint="default" w:ascii="Times New Roman" w:hAnsi="Times New Roman" w:eastAsia="宋体" w:cs="Times New Roman"/>
                <w:b w:val="0"/>
                <w:bCs/>
                <w:color w:val="FF0000"/>
                <w:sz w:val="24"/>
                <w:szCs w:val="24"/>
                <w:lang w:val="en-US" w:eastAsia="zh-CN"/>
              </w:rPr>
              <w:t>t/a</w:t>
            </w:r>
            <w:r>
              <w:rPr>
                <w:rFonts w:hint="eastAsia" w:ascii="Times New Roman" w:hAnsi="Times New Roman" w:eastAsia="宋体" w:cs="Times New Roman"/>
                <w:b w:val="0"/>
                <w:bCs/>
                <w:color w:val="FF0000"/>
                <w:sz w:val="24"/>
                <w:szCs w:val="24"/>
                <w:lang w:val="en-US" w:eastAsia="zh-CN"/>
              </w:rPr>
              <w:t>（</w:t>
            </w:r>
            <w:r>
              <w:rPr>
                <w:rFonts w:hint="eastAsia" w:cs="Times New Roman"/>
                <w:b w:val="0"/>
                <w:bCs/>
                <w:color w:val="FF0000"/>
                <w:sz w:val="24"/>
                <w:szCs w:val="24"/>
                <w:lang w:val="en-US" w:eastAsia="zh-CN"/>
              </w:rPr>
              <w:t>76.5t</w:t>
            </w:r>
            <w:r>
              <w:rPr>
                <w:rFonts w:hint="default" w:ascii="Times New Roman" w:hAnsi="Times New Roman" w:eastAsia="宋体" w:cs="Times New Roman"/>
                <w:b w:val="0"/>
                <w:bCs/>
                <w:color w:val="FF0000"/>
                <w:sz w:val="24"/>
                <w:szCs w:val="24"/>
                <w:lang w:val="en-US" w:eastAsia="zh-CN"/>
              </w:rPr>
              <w:t>/d</w:t>
            </w:r>
            <w:r>
              <w:rPr>
                <w:rFonts w:hint="eastAsia" w:ascii="Times New Roman" w:hAnsi="Times New Roman" w:eastAsia="宋体" w:cs="Times New Roman"/>
                <w:b w:val="0"/>
                <w:bCs/>
                <w:color w:val="FF0000"/>
                <w:sz w:val="24"/>
                <w:szCs w:val="24"/>
                <w:lang w:val="en-US" w:eastAsia="zh-CN"/>
              </w:rPr>
              <w:t>）</w:t>
            </w:r>
            <w:r>
              <w:rPr>
                <w:rFonts w:hint="eastAsia" w:ascii="Times New Roman" w:hAnsi="Times New Roman" w:eastAsia="宋体" w:cs="Times New Roman"/>
                <w:color w:val="FF0000"/>
                <w:sz w:val="24"/>
                <w:szCs w:val="24"/>
                <w:lang w:val="en-US" w:eastAsia="zh-CN"/>
              </w:rPr>
              <w:t>，则</w:t>
            </w:r>
            <w:r>
              <w:rPr>
                <w:rFonts w:hint="eastAsia" w:eastAsia="宋体"/>
                <w:color w:val="FF0000"/>
                <w:lang w:val="en-US"/>
              </w:rPr>
              <w:t>软水制备</w:t>
            </w:r>
            <w:r>
              <w:rPr>
                <w:rFonts w:hint="eastAsia" w:eastAsia="宋体"/>
                <w:color w:val="FF0000"/>
                <w:lang w:val="en-US" w:eastAsia="zh-CN"/>
              </w:rPr>
              <w:t>所需</w:t>
            </w:r>
            <w:r>
              <w:rPr>
                <w:rFonts w:hint="eastAsia" w:eastAsia="宋体"/>
                <w:color w:val="FF0000"/>
                <w:lang w:val="en-US"/>
              </w:rPr>
              <w:t>新鲜水用量为</w:t>
            </w:r>
            <w:r>
              <w:rPr>
                <w:rFonts w:hint="eastAsia" w:eastAsia="宋体"/>
                <w:color w:val="FF0000"/>
                <w:lang w:val="en-US" w:eastAsia="zh-CN"/>
              </w:rPr>
              <w:t>26350</w:t>
            </w:r>
            <w:r>
              <w:rPr>
                <w:rFonts w:eastAsia="宋体"/>
                <w:color w:val="FF0000"/>
                <w:lang w:val="en-US"/>
              </w:rPr>
              <w:t>m</w:t>
            </w:r>
            <w:r>
              <w:rPr>
                <w:rFonts w:eastAsia="宋体"/>
                <w:color w:val="FF0000"/>
                <w:vertAlign w:val="superscript"/>
                <w:lang w:val="en-US"/>
              </w:rPr>
              <w:t>3</w:t>
            </w:r>
            <w:r>
              <w:rPr>
                <w:rFonts w:eastAsia="宋体"/>
                <w:color w:val="FF0000"/>
                <w:lang w:val="en-US"/>
              </w:rPr>
              <w:t>/a</w:t>
            </w:r>
            <w:r>
              <w:rPr>
                <w:rFonts w:hint="eastAsia" w:eastAsia="宋体"/>
                <w:color w:val="FF0000"/>
                <w:lang w:val="en-US" w:eastAsia="zh-CN"/>
              </w:rPr>
              <w:t>（85</w:t>
            </w:r>
            <w:r>
              <w:rPr>
                <w:rFonts w:eastAsia="宋体"/>
                <w:color w:val="FF0000"/>
                <w:lang w:val="en-US"/>
              </w:rPr>
              <w:t>m</w:t>
            </w:r>
            <w:r>
              <w:rPr>
                <w:rFonts w:eastAsia="宋体"/>
                <w:color w:val="FF0000"/>
                <w:vertAlign w:val="superscript"/>
                <w:lang w:val="en-US"/>
              </w:rPr>
              <w:t>3</w:t>
            </w:r>
            <w:r>
              <w:rPr>
                <w:rFonts w:eastAsia="宋体"/>
                <w:color w:val="FF0000"/>
                <w:lang w:val="en-US"/>
              </w:rPr>
              <w:t>/</w:t>
            </w:r>
            <w:r>
              <w:rPr>
                <w:rFonts w:hint="eastAsia" w:eastAsia="宋体"/>
                <w:color w:val="FF0000"/>
                <w:lang w:val="en-US" w:eastAsia="zh-CN"/>
              </w:rPr>
              <w:t>d）</w:t>
            </w:r>
            <w:r>
              <w:rPr>
                <w:rFonts w:hint="eastAsia" w:eastAsia="宋体"/>
                <w:color w:val="FF0000"/>
                <w:lang w:val="en-US"/>
              </w:rPr>
              <w:t>，</w:t>
            </w:r>
            <w:r>
              <w:rPr>
                <w:rFonts w:hint="eastAsia" w:eastAsia="宋体"/>
                <w:color w:val="FF0000"/>
                <w:lang w:val="en-US" w:eastAsia="zh-CN"/>
              </w:rPr>
              <w:t>树脂再生废水产生</w:t>
            </w:r>
            <w:r>
              <w:rPr>
                <w:rFonts w:hint="eastAsia" w:eastAsia="宋体"/>
                <w:color w:val="FF0000"/>
                <w:lang w:val="en-US"/>
              </w:rPr>
              <w:t>量为</w:t>
            </w:r>
            <w:r>
              <w:rPr>
                <w:rFonts w:hint="eastAsia" w:eastAsia="宋体"/>
                <w:color w:val="FF0000"/>
                <w:lang w:val="en-US" w:eastAsia="zh-CN"/>
              </w:rPr>
              <w:t>2635</w:t>
            </w:r>
            <w:r>
              <w:rPr>
                <w:rFonts w:eastAsia="宋体"/>
                <w:color w:val="FF0000"/>
                <w:lang w:val="en-US"/>
              </w:rPr>
              <w:t>m</w:t>
            </w:r>
            <w:r>
              <w:rPr>
                <w:rFonts w:eastAsia="宋体"/>
                <w:color w:val="FF0000"/>
                <w:vertAlign w:val="superscript"/>
                <w:lang w:val="en-US"/>
              </w:rPr>
              <w:t>3</w:t>
            </w:r>
            <w:r>
              <w:rPr>
                <w:rFonts w:eastAsia="宋体"/>
                <w:color w:val="FF0000"/>
                <w:lang w:val="en-US"/>
              </w:rPr>
              <w:t>/a</w:t>
            </w:r>
            <w:r>
              <w:rPr>
                <w:rFonts w:hint="eastAsia" w:eastAsia="宋体"/>
                <w:color w:val="FF0000"/>
                <w:lang w:val="en-US" w:eastAsia="zh-CN"/>
              </w:rPr>
              <w:t>（8.5</w:t>
            </w:r>
            <w:r>
              <w:rPr>
                <w:rFonts w:eastAsia="宋体"/>
                <w:color w:val="FF0000"/>
                <w:lang w:val="en-US"/>
              </w:rPr>
              <w:t>m</w:t>
            </w:r>
            <w:r>
              <w:rPr>
                <w:rFonts w:eastAsia="宋体"/>
                <w:color w:val="FF0000"/>
                <w:vertAlign w:val="superscript"/>
                <w:lang w:val="en-US"/>
              </w:rPr>
              <w:t>3</w:t>
            </w:r>
            <w:r>
              <w:rPr>
                <w:rFonts w:eastAsia="宋体"/>
                <w:color w:val="FF0000"/>
                <w:lang w:val="en-US"/>
              </w:rPr>
              <w:t>/</w:t>
            </w:r>
            <w:r>
              <w:rPr>
                <w:rFonts w:hint="eastAsia" w:eastAsia="宋体"/>
                <w:color w:val="FF0000"/>
                <w:lang w:val="en-US" w:eastAsia="zh-CN"/>
              </w:rPr>
              <w:t>d）。</w:t>
            </w:r>
          </w:p>
          <w:p w14:paraId="321436D8">
            <w:pPr>
              <w:keepNext w:val="0"/>
              <w:keepLines w:val="0"/>
              <w:suppressLineNumbers w:val="0"/>
              <w:adjustRightInd w:val="0"/>
              <w:snapToGrid w:val="0"/>
              <w:spacing w:before="0" w:beforeAutospacing="0" w:after="0" w:afterAutospacing="0" w:line="360" w:lineRule="auto"/>
              <w:ind w:left="0" w:leftChars="0" w:right="0" w:firstLine="480" w:firstLineChars="200"/>
              <w:jc w:val="left"/>
              <w:rPr>
                <w:rFonts w:hint="eastAsia"/>
                <w:b w:val="0"/>
                <w:bCs w:val="0"/>
                <w:color w:val="FF0000"/>
                <w:sz w:val="24"/>
                <w:szCs w:val="24"/>
              </w:rPr>
            </w:pPr>
            <w:r>
              <w:rPr>
                <w:rFonts w:hint="eastAsia" w:cs="Times New Roman"/>
                <w:bCs/>
                <w:color w:val="FF0000"/>
                <w:kern w:val="2"/>
                <w:sz w:val="24"/>
                <w:szCs w:val="24"/>
                <w:lang w:val="en-US" w:eastAsia="zh-CN" w:bidi="ar-SA"/>
              </w:rPr>
              <w:t>项目软水制备用水为自来水，</w:t>
            </w:r>
            <w:r>
              <w:rPr>
                <w:rFonts w:hint="eastAsia"/>
                <w:color w:val="FF0000"/>
                <w:sz w:val="24"/>
                <w:szCs w:val="24"/>
                <w:lang w:val="en-US" w:eastAsia="zh-CN"/>
              </w:rPr>
              <w:t>主要污染因子为CODcr、</w:t>
            </w:r>
            <w:r>
              <w:rPr>
                <w:rFonts w:hint="eastAsia"/>
                <w:color w:val="FF0000"/>
                <w:sz w:val="24"/>
                <w:szCs w:val="24"/>
                <w:vertAlign w:val="baseline"/>
                <w:lang w:val="en-US" w:eastAsia="zh-CN"/>
              </w:rPr>
              <w:t>SS、氯化物以及硫酸盐，</w:t>
            </w:r>
            <w:r>
              <w:rPr>
                <w:rFonts w:hint="default" w:ascii="Times New Roman" w:hAnsi="Times New Roman" w:eastAsia="宋体" w:cs="Times New Roman"/>
                <w:bCs/>
                <w:color w:val="FF0000"/>
                <w:kern w:val="2"/>
                <w:sz w:val="24"/>
                <w:szCs w:val="24"/>
                <w:lang w:val="en-US" w:eastAsia="zh-CN" w:bidi="ar-SA"/>
              </w:rPr>
              <w:t>产生浓度值参考</w:t>
            </w:r>
            <w:r>
              <w:rPr>
                <w:rFonts w:hint="eastAsia" w:ascii="Times New Roman" w:hAnsi="Times New Roman" w:eastAsia="宋体" w:cs="Times New Roman"/>
                <w:bCs/>
                <w:color w:val="FF0000"/>
                <w:kern w:val="2"/>
                <w:sz w:val="24"/>
                <w:szCs w:val="24"/>
                <w:lang w:val="en-US" w:eastAsia="zh-CN" w:bidi="ar-SA"/>
              </w:rPr>
              <w:t>同类型项目</w:t>
            </w:r>
            <w:r>
              <w:rPr>
                <w:rFonts w:hint="default" w:ascii="Times New Roman" w:hAnsi="Times New Roman" w:cs="Times New Roman"/>
                <w:bCs/>
                <w:color w:val="FF0000"/>
                <w:sz w:val="24"/>
                <w:szCs w:val="24"/>
                <w:lang w:val="en-US" w:eastAsia="zh-CN"/>
              </w:rPr>
              <w:t>，</w:t>
            </w:r>
            <w:r>
              <w:rPr>
                <w:rFonts w:hint="eastAsia" w:cs="Times New Roman"/>
                <w:bCs/>
                <w:color w:val="FF0000"/>
                <w:sz w:val="24"/>
                <w:szCs w:val="24"/>
                <w:lang w:val="en-US" w:eastAsia="zh-CN"/>
              </w:rPr>
              <w:t>污染物产生浓度</w:t>
            </w:r>
            <w:r>
              <w:rPr>
                <w:rFonts w:hint="eastAsia"/>
                <w:color w:val="FF0000"/>
                <w:sz w:val="24"/>
                <w:szCs w:val="24"/>
                <w:lang w:val="en-US" w:eastAsia="zh-CN"/>
              </w:rPr>
              <w:t>分别为CODcr浓度为50mg/m</w:t>
            </w:r>
            <w:r>
              <w:rPr>
                <w:rFonts w:hint="eastAsia"/>
                <w:color w:val="FF0000"/>
                <w:sz w:val="24"/>
                <w:szCs w:val="24"/>
                <w:vertAlign w:val="superscript"/>
                <w:lang w:val="en-US" w:eastAsia="zh-CN"/>
              </w:rPr>
              <w:t>3</w:t>
            </w:r>
            <w:r>
              <w:rPr>
                <w:rFonts w:hint="eastAsia"/>
                <w:color w:val="FF0000"/>
                <w:sz w:val="24"/>
                <w:szCs w:val="24"/>
                <w:vertAlign w:val="baseline"/>
                <w:lang w:val="en-US" w:eastAsia="zh-CN"/>
              </w:rPr>
              <w:t>、SS浓度为60</w:t>
            </w:r>
            <w:r>
              <w:rPr>
                <w:rFonts w:hint="eastAsia"/>
                <w:color w:val="FF0000"/>
                <w:sz w:val="24"/>
                <w:szCs w:val="24"/>
                <w:lang w:val="en-US" w:eastAsia="zh-CN"/>
              </w:rPr>
              <w:t>mg/m</w:t>
            </w:r>
            <w:r>
              <w:rPr>
                <w:rFonts w:hint="eastAsia"/>
                <w:color w:val="FF0000"/>
                <w:sz w:val="24"/>
                <w:szCs w:val="24"/>
                <w:vertAlign w:val="superscript"/>
                <w:lang w:val="en-US" w:eastAsia="zh-CN"/>
              </w:rPr>
              <w:t>3</w:t>
            </w:r>
            <w:r>
              <w:rPr>
                <w:rFonts w:hint="eastAsia"/>
                <w:color w:val="FF0000"/>
                <w:sz w:val="24"/>
                <w:szCs w:val="24"/>
                <w:vertAlign w:val="baseline"/>
                <w:lang w:val="en-US" w:eastAsia="zh-CN"/>
              </w:rPr>
              <w:t>、氯化物浓度为400</w:t>
            </w:r>
            <w:r>
              <w:rPr>
                <w:rFonts w:hint="eastAsia"/>
                <w:color w:val="FF0000"/>
                <w:sz w:val="24"/>
                <w:szCs w:val="24"/>
                <w:lang w:val="en-US" w:eastAsia="zh-CN"/>
              </w:rPr>
              <w:t>mg/m</w:t>
            </w:r>
            <w:r>
              <w:rPr>
                <w:rFonts w:hint="eastAsia"/>
                <w:color w:val="FF0000"/>
                <w:sz w:val="24"/>
                <w:szCs w:val="24"/>
                <w:vertAlign w:val="superscript"/>
                <w:lang w:val="en-US" w:eastAsia="zh-CN"/>
              </w:rPr>
              <w:t>3</w:t>
            </w:r>
            <w:r>
              <w:rPr>
                <w:rFonts w:hint="eastAsia"/>
                <w:color w:val="FF0000"/>
                <w:sz w:val="24"/>
                <w:szCs w:val="24"/>
                <w:vertAlign w:val="baseline"/>
                <w:lang w:val="en-US" w:eastAsia="zh-CN"/>
              </w:rPr>
              <w:t>、硫酸盐浓度为400</w:t>
            </w:r>
            <w:r>
              <w:rPr>
                <w:rFonts w:hint="eastAsia"/>
                <w:color w:val="FF0000"/>
                <w:sz w:val="24"/>
                <w:szCs w:val="24"/>
                <w:lang w:val="en-US" w:eastAsia="zh-CN"/>
              </w:rPr>
              <w:t>mg/m</w:t>
            </w:r>
            <w:r>
              <w:rPr>
                <w:rFonts w:hint="eastAsia"/>
                <w:color w:val="FF0000"/>
                <w:sz w:val="24"/>
                <w:szCs w:val="24"/>
                <w:vertAlign w:val="superscript"/>
                <w:lang w:val="en-US" w:eastAsia="zh-CN"/>
              </w:rPr>
              <w:t>3</w:t>
            </w:r>
            <w:r>
              <w:rPr>
                <w:rFonts w:hint="eastAsia"/>
                <w:color w:val="FF0000"/>
                <w:sz w:val="24"/>
                <w:szCs w:val="24"/>
                <w:vertAlign w:val="baseline"/>
                <w:lang w:val="en-US" w:eastAsia="zh-CN"/>
              </w:rPr>
              <w:t>。</w:t>
            </w:r>
            <w:r>
              <w:rPr>
                <w:rFonts w:ascii="Times New Roman" w:hAnsi="Times New Roman"/>
                <w:color w:val="FF0000"/>
                <w:sz w:val="24"/>
                <w:szCs w:val="24"/>
              </w:rPr>
              <w:t>产排情况见表4-</w:t>
            </w:r>
            <w:r>
              <w:rPr>
                <w:rFonts w:hint="eastAsia"/>
                <w:color w:val="FF0000"/>
                <w:sz w:val="24"/>
                <w:szCs w:val="24"/>
                <w:lang w:val="en-US" w:eastAsia="zh-CN"/>
              </w:rPr>
              <w:t>5</w:t>
            </w:r>
            <w:r>
              <w:rPr>
                <w:rFonts w:ascii="Times New Roman" w:hAnsi="Times New Roman"/>
                <w:color w:val="FF0000"/>
                <w:sz w:val="24"/>
                <w:szCs w:val="24"/>
              </w:rPr>
              <w:t>。</w:t>
            </w:r>
          </w:p>
          <w:p w14:paraId="64F2AC39">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b/>
                <w:bCs/>
                <w:sz w:val="24"/>
              </w:rPr>
            </w:pPr>
            <w:r>
              <w:rPr>
                <w:rFonts w:hint="eastAsia"/>
                <w:b/>
                <w:bCs/>
                <w:sz w:val="24"/>
                <w:lang w:val="en-US" w:eastAsia="zh-CN"/>
              </w:rPr>
              <w:t>3、依托软水制备系统</w:t>
            </w:r>
            <w:r>
              <w:rPr>
                <w:b/>
                <w:bCs/>
                <w:sz w:val="24"/>
              </w:rPr>
              <w:t>可行性分析</w:t>
            </w:r>
          </w:p>
          <w:p w14:paraId="647F8594">
            <w:pPr>
              <w:autoSpaceDE w:val="0"/>
              <w:autoSpaceDN w:val="0"/>
              <w:adjustRightInd w:val="0"/>
              <w:spacing w:line="360" w:lineRule="auto"/>
              <w:ind w:firstLine="480" w:firstLineChars="200"/>
              <w:jc w:val="left"/>
              <w:rPr>
                <w:rFonts w:hint="default" w:ascii="Times New Roman" w:hAnsi="Times New Roman" w:cs="Times New Roman"/>
                <w:color w:val="FF0000"/>
                <w:sz w:val="24"/>
                <w:szCs w:val="24"/>
                <w:lang w:val="en-US" w:eastAsia="zh-CN"/>
              </w:rPr>
            </w:pPr>
            <w:r>
              <w:rPr>
                <w:color w:val="FF0000"/>
                <w:sz w:val="24"/>
                <w:szCs w:val="24"/>
                <w:lang w:bidi="en-US"/>
              </w:rPr>
              <w:t>本</w:t>
            </w:r>
            <w:r>
              <w:rPr>
                <w:color w:val="FF0000"/>
                <w:sz w:val="24"/>
                <w:szCs w:val="24"/>
              </w:rPr>
              <w:t>项目</w:t>
            </w:r>
            <w:r>
              <w:rPr>
                <w:rFonts w:hint="eastAsia" w:eastAsia="宋体"/>
                <w:color w:val="FF0000"/>
                <w:sz w:val="24"/>
                <w:szCs w:val="24"/>
                <w:lang w:val="en-US"/>
              </w:rPr>
              <w:t>锅炉用水为</w:t>
            </w:r>
            <w:r>
              <w:rPr>
                <w:rFonts w:hint="eastAsia" w:eastAsia="宋体"/>
                <w:color w:val="FF0000"/>
                <w:sz w:val="24"/>
                <w:szCs w:val="24"/>
                <w:lang w:val="en-US" w:eastAsia="zh-CN"/>
              </w:rPr>
              <w:t>自来水</w:t>
            </w:r>
            <w:r>
              <w:rPr>
                <w:rFonts w:hint="eastAsia" w:eastAsia="宋体"/>
                <w:color w:val="FF0000"/>
                <w:sz w:val="24"/>
                <w:szCs w:val="24"/>
                <w:lang w:val="en-US"/>
              </w:rPr>
              <w:t>制备后的软水，</w:t>
            </w:r>
            <w:r>
              <w:rPr>
                <w:rFonts w:hint="eastAsia"/>
                <w:color w:val="FF0000"/>
                <w:sz w:val="24"/>
                <w:szCs w:val="24"/>
                <w:lang w:val="en-US" w:eastAsia="zh-CN"/>
              </w:rPr>
              <w:t>软水制备依托现有项目一套软水制备系统，</w:t>
            </w:r>
            <w:r>
              <w:rPr>
                <w:rFonts w:hint="eastAsia" w:eastAsia="宋体"/>
                <w:color w:val="FF0000"/>
                <w:sz w:val="24"/>
                <w:szCs w:val="24"/>
                <w:lang w:val="en-US"/>
              </w:rPr>
              <w:t>软水制备工艺采用</w:t>
            </w:r>
            <w:r>
              <w:rPr>
                <w:rFonts w:hint="eastAsia" w:eastAsia="宋体" w:cs="Times New Roman"/>
                <w:color w:val="FF0000"/>
                <w:sz w:val="24"/>
                <w:szCs w:val="24"/>
                <w:lang w:val="en-US" w:eastAsia="zh-CN"/>
              </w:rPr>
              <w:t>离子交换树脂法</w:t>
            </w:r>
            <w:r>
              <w:rPr>
                <w:rFonts w:hint="eastAsia" w:cs="Times New Roman"/>
                <w:color w:val="FF0000"/>
                <w:sz w:val="24"/>
                <w:szCs w:val="24"/>
                <w:lang w:val="en-US" w:eastAsia="zh-CN"/>
              </w:rPr>
              <w:t>，离子交换树脂法是通过树脂中的钠离子与水中钙、镁离子进行离子交换，从而去除水的硬度；采用</w:t>
            </w:r>
            <w:r>
              <w:rPr>
                <w:rFonts w:hint="eastAsia" w:eastAsia="宋体" w:cs="Times New Roman"/>
                <w:color w:val="FF0000"/>
                <w:sz w:val="24"/>
                <w:szCs w:val="24"/>
                <w:lang w:val="en-US" w:eastAsia="zh-CN"/>
              </w:rPr>
              <w:t>离子交换树脂法</w:t>
            </w:r>
            <w:r>
              <w:rPr>
                <w:rFonts w:hint="eastAsia" w:cs="Times New Roman"/>
                <w:color w:val="FF0000"/>
                <w:sz w:val="24"/>
                <w:szCs w:val="24"/>
                <w:lang w:val="en-US" w:eastAsia="zh-CN"/>
              </w:rPr>
              <w:t>制备的软水硬度通常可以降至50mg/L，可以符合锅炉给水、工业循环水及生活用水标准；本项目所依托软水制备系统最大出水量为12t/h，年最大软水出水量可达55800t，本项目锅炉运行过程中，所需软水用量为23715</w:t>
            </w:r>
            <w:r>
              <w:rPr>
                <w:rFonts w:eastAsia="宋体"/>
                <w:color w:val="FF0000"/>
                <w:lang w:val="en-US"/>
              </w:rPr>
              <w:t>m</w:t>
            </w:r>
            <w:r>
              <w:rPr>
                <w:rFonts w:eastAsia="宋体"/>
                <w:color w:val="FF0000"/>
                <w:vertAlign w:val="superscript"/>
                <w:lang w:val="en-US"/>
              </w:rPr>
              <w:t>3</w:t>
            </w:r>
            <w:r>
              <w:rPr>
                <w:rFonts w:hint="eastAsia" w:ascii="Times New Roman" w:hAnsi="Times New Roman" w:eastAsia="宋体" w:cs="Times New Roman"/>
                <w:color w:val="FF0000"/>
                <w:sz w:val="24"/>
                <w:szCs w:val="24"/>
                <w:lang w:val="en-US" w:eastAsia="zh-CN"/>
              </w:rPr>
              <w:t>/a</w:t>
            </w:r>
            <w:r>
              <w:rPr>
                <w:rFonts w:hint="eastAsia" w:cs="Times New Roman"/>
                <w:color w:val="FF0000"/>
                <w:sz w:val="24"/>
                <w:szCs w:val="24"/>
                <w:lang w:val="en-US" w:eastAsia="zh-CN"/>
              </w:rPr>
              <w:t>，故软水制备系统制备能力可以满足生产要求。</w:t>
            </w:r>
          </w:p>
          <w:p w14:paraId="0B8DFA4F">
            <w:pPr>
              <w:autoSpaceDE w:val="0"/>
              <w:autoSpaceDN w:val="0"/>
              <w:adjustRightInd w:val="0"/>
              <w:spacing w:line="360" w:lineRule="auto"/>
              <w:ind w:firstLine="480" w:firstLineChars="200"/>
              <w:jc w:val="left"/>
              <w:rPr>
                <w:rFonts w:hint="eastAsia"/>
                <w:b/>
                <w:bCs/>
                <w:color w:val="FF0000"/>
                <w:sz w:val="24"/>
                <w:lang w:val="en-US" w:eastAsia="zh-CN"/>
              </w:rPr>
            </w:pPr>
            <w:r>
              <w:rPr>
                <w:rFonts w:hint="eastAsia" w:ascii="Times New Roman" w:hAnsi="Times New Roman" w:cs="Times New Roman"/>
                <w:color w:val="FF0000"/>
                <w:sz w:val="24"/>
                <w:szCs w:val="24"/>
                <w:lang w:val="en-US" w:eastAsia="zh-CN"/>
              </w:rPr>
              <w:t>从所依托</w:t>
            </w:r>
            <w:r>
              <w:rPr>
                <w:rFonts w:hint="eastAsia" w:cs="Times New Roman"/>
                <w:color w:val="FF0000"/>
                <w:sz w:val="24"/>
                <w:szCs w:val="24"/>
                <w:lang w:val="en-US" w:eastAsia="zh-CN"/>
              </w:rPr>
              <w:t>软水制备系统制备</w:t>
            </w:r>
            <w:r>
              <w:rPr>
                <w:rFonts w:hint="eastAsia" w:ascii="Times New Roman" w:hAnsi="Times New Roman" w:cs="Times New Roman"/>
                <w:color w:val="FF0000"/>
                <w:sz w:val="24"/>
                <w:szCs w:val="24"/>
                <w:lang w:val="en-US" w:eastAsia="zh-CN"/>
              </w:rPr>
              <w:t>工艺、工艺效果、制备系统产能上看</w:t>
            </w:r>
            <w:r>
              <w:rPr>
                <w:rFonts w:hint="eastAsia"/>
                <w:color w:val="FF0000"/>
                <w:sz w:val="24"/>
                <w:szCs w:val="24"/>
                <w:lang w:eastAsia="zh-CN" w:bidi="ar"/>
              </w:rPr>
              <w:t>，</w:t>
            </w:r>
            <w:r>
              <w:rPr>
                <w:rFonts w:hint="eastAsia"/>
                <w:color w:val="FF0000"/>
                <w:sz w:val="24"/>
                <w:szCs w:val="24"/>
                <w:lang w:val="en-US" w:eastAsia="zh-CN" w:bidi="ar"/>
              </w:rPr>
              <w:t>本项目依托现有项目</w:t>
            </w:r>
            <w:r>
              <w:rPr>
                <w:rFonts w:hint="eastAsia" w:cs="Times New Roman"/>
                <w:color w:val="FF0000"/>
                <w:sz w:val="24"/>
                <w:szCs w:val="24"/>
                <w:lang w:val="en-US" w:eastAsia="zh-CN"/>
              </w:rPr>
              <w:t>软水制备系统制备软水</w:t>
            </w:r>
            <w:r>
              <w:rPr>
                <w:rFonts w:hint="eastAsia"/>
                <w:color w:val="FF0000"/>
                <w:sz w:val="24"/>
                <w:szCs w:val="24"/>
                <w:lang w:val="en-US" w:eastAsia="zh-CN" w:bidi="ar"/>
              </w:rPr>
              <w:t>是可行的。</w:t>
            </w:r>
          </w:p>
          <w:p w14:paraId="357C7351">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b/>
                <w:bCs/>
                <w:sz w:val="24"/>
              </w:rPr>
            </w:pPr>
            <w:r>
              <w:rPr>
                <w:rFonts w:hint="eastAsia"/>
                <w:b/>
                <w:bCs/>
                <w:sz w:val="24"/>
                <w:lang w:val="en-US" w:eastAsia="zh-CN"/>
              </w:rPr>
              <w:t>4、</w:t>
            </w:r>
            <w:r>
              <w:rPr>
                <w:b/>
                <w:bCs/>
                <w:sz w:val="24"/>
              </w:rPr>
              <w:t>废水治理设施技术可行性分析</w:t>
            </w:r>
          </w:p>
          <w:p w14:paraId="4AC4C3C8">
            <w:pPr>
              <w:autoSpaceDE w:val="0"/>
              <w:autoSpaceDN w:val="0"/>
              <w:adjustRightInd w:val="0"/>
              <w:spacing w:line="360" w:lineRule="auto"/>
              <w:ind w:firstLine="480" w:firstLineChars="200"/>
              <w:jc w:val="left"/>
              <w:rPr>
                <w:rFonts w:hint="eastAsia"/>
                <w:color w:val="FF0000"/>
                <w:sz w:val="24"/>
                <w:szCs w:val="24"/>
                <w:lang w:val="en-US" w:eastAsia="zh-CN" w:bidi="ar"/>
              </w:rPr>
            </w:pPr>
            <w:r>
              <w:rPr>
                <w:color w:val="FF0000"/>
                <w:sz w:val="24"/>
                <w:szCs w:val="24"/>
                <w:lang w:bidi="en-US"/>
              </w:rPr>
              <w:t>本</w:t>
            </w:r>
            <w:r>
              <w:rPr>
                <w:color w:val="FF0000"/>
                <w:sz w:val="24"/>
                <w:szCs w:val="24"/>
              </w:rPr>
              <w:t>项目</w:t>
            </w:r>
            <w:r>
              <w:rPr>
                <w:rFonts w:hint="eastAsia"/>
                <w:color w:val="FF0000"/>
                <w:sz w:val="24"/>
                <w:szCs w:val="24"/>
                <w:lang w:val="en-US" w:eastAsia="zh-CN"/>
              </w:rPr>
              <w:t>树脂再生废水依托现有项目一座中和沉淀池（调节+沉淀）处理达到</w:t>
            </w:r>
            <w:r>
              <w:rPr>
                <w:rFonts w:hint="eastAsia"/>
                <w:color w:val="FF0000"/>
                <w:sz w:val="24"/>
                <w:szCs w:val="24"/>
                <w:lang w:bidi="ar"/>
              </w:rPr>
              <w:t>《城市污水再生利用-工业用水水质标准》</w:t>
            </w:r>
            <w:r>
              <w:rPr>
                <w:rFonts w:hint="eastAsia"/>
                <w:color w:val="FF0000"/>
                <w:sz w:val="24"/>
                <w:szCs w:val="24"/>
                <w:lang w:eastAsia="zh-CN" w:bidi="ar"/>
              </w:rPr>
              <w:t>（</w:t>
            </w:r>
            <w:r>
              <w:rPr>
                <w:rFonts w:hint="eastAsia"/>
                <w:color w:val="FF0000"/>
                <w:sz w:val="24"/>
                <w:szCs w:val="24"/>
                <w:lang w:bidi="ar"/>
              </w:rPr>
              <w:t>GB/T19923-2024</w:t>
            </w:r>
            <w:r>
              <w:rPr>
                <w:rFonts w:hint="eastAsia"/>
                <w:color w:val="FF0000"/>
                <w:sz w:val="24"/>
                <w:szCs w:val="24"/>
                <w:lang w:eastAsia="zh-CN" w:bidi="ar"/>
              </w:rPr>
              <w:t>）</w:t>
            </w:r>
            <w:r>
              <w:rPr>
                <w:rFonts w:hint="eastAsia"/>
                <w:color w:val="FF0000"/>
                <w:sz w:val="24"/>
                <w:szCs w:val="24"/>
                <w:lang w:bidi="ar"/>
              </w:rPr>
              <w:t>表1中相关限值</w:t>
            </w:r>
            <w:r>
              <w:rPr>
                <w:rFonts w:hint="eastAsia"/>
                <w:color w:val="FF0000"/>
                <w:sz w:val="24"/>
                <w:szCs w:val="24"/>
                <w:lang w:val="en-US" w:eastAsia="zh-CN"/>
              </w:rPr>
              <w:t>后回用于厂区绿化、</w:t>
            </w:r>
            <w:r>
              <w:rPr>
                <w:rFonts w:hint="eastAsia" w:cs="Times New Roman"/>
                <w:color w:val="FF0000"/>
                <w:sz w:val="24"/>
                <w:szCs w:val="24"/>
                <w:lang w:val="en-US" w:eastAsia="zh-CN"/>
              </w:rPr>
              <w:t>洒水冷却灰渣等，废水经处理后可以达到</w:t>
            </w:r>
            <w:r>
              <w:rPr>
                <w:rFonts w:hint="eastAsia"/>
                <w:color w:val="FF0000"/>
                <w:sz w:val="24"/>
                <w:szCs w:val="24"/>
                <w:lang w:bidi="ar"/>
              </w:rPr>
              <w:t>《城市污水再生利用-工业用水水质标准》</w:t>
            </w:r>
            <w:r>
              <w:rPr>
                <w:rFonts w:hint="eastAsia"/>
                <w:color w:val="FF0000"/>
                <w:sz w:val="24"/>
                <w:szCs w:val="24"/>
                <w:lang w:eastAsia="zh-CN" w:bidi="ar"/>
              </w:rPr>
              <w:t>（</w:t>
            </w:r>
            <w:r>
              <w:rPr>
                <w:rFonts w:hint="eastAsia"/>
                <w:color w:val="FF0000"/>
                <w:sz w:val="24"/>
                <w:szCs w:val="24"/>
                <w:lang w:bidi="ar"/>
              </w:rPr>
              <w:t>GB/T19923-2024</w:t>
            </w:r>
            <w:r>
              <w:rPr>
                <w:rFonts w:hint="eastAsia"/>
                <w:color w:val="FF0000"/>
                <w:sz w:val="24"/>
                <w:szCs w:val="24"/>
                <w:lang w:eastAsia="zh-CN" w:bidi="ar"/>
              </w:rPr>
              <w:t>）</w:t>
            </w:r>
            <w:r>
              <w:rPr>
                <w:rFonts w:hint="eastAsia"/>
                <w:color w:val="FF0000"/>
                <w:sz w:val="24"/>
                <w:szCs w:val="24"/>
                <w:lang w:bidi="ar"/>
              </w:rPr>
              <w:t>表1中相关限值</w:t>
            </w:r>
            <w:r>
              <w:rPr>
                <w:rFonts w:hint="eastAsia"/>
                <w:color w:val="FF0000"/>
                <w:sz w:val="24"/>
                <w:szCs w:val="24"/>
                <w:lang w:eastAsia="zh-CN" w:bidi="ar"/>
              </w:rPr>
              <w:t>，</w:t>
            </w:r>
            <w:r>
              <w:rPr>
                <w:rFonts w:hint="eastAsia"/>
                <w:color w:val="FF0000"/>
                <w:sz w:val="24"/>
                <w:szCs w:val="24"/>
                <w:lang w:val="en-US" w:eastAsia="zh-CN" w:bidi="ar"/>
              </w:rPr>
              <w:t>故项目所依托废水治理设施是可行的。</w:t>
            </w:r>
          </w:p>
          <w:p w14:paraId="43A4B1FA">
            <w:pPr>
              <w:autoSpaceDE w:val="0"/>
              <w:autoSpaceDN w:val="0"/>
              <w:adjustRightInd w:val="0"/>
              <w:spacing w:line="360" w:lineRule="auto"/>
              <w:ind w:firstLine="482" w:firstLineChars="200"/>
              <w:jc w:val="left"/>
              <w:rPr>
                <w:rFonts w:hint="default" w:ascii="Times New Roman" w:hAnsi="Times New Roman" w:cs="Times New Roman"/>
                <w:b/>
                <w:bCs/>
                <w:color w:val="auto"/>
                <w:sz w:val="24"/>
                <w:szCs w:val="24"/>
              </w:rPr>
            </w:pPr>
            <w:r>
              <w:rPr>
                <w:rFonts w:hint="eastAsia" w:ascii="Times New Roman" w:hAnsi="Times New Roman" w:cs="Times New Roman"/>
                <w:b/>
                <w:bCs/>
                <w:color w:val="auto"/>
                <w:sz w:val="24"/>
                <w:szCs w:val="24"/>
                <w:lang w:val="en-US" w:eastAsia="zh-CN"/>
              </w:rPr>
              <w:t>5、</w:t>
            </w:r>
            <w:r>
              <w:rPr>
                <w:rFonts w:hint="default" w:ascii="Times New Roman" w:hAnsi="Times New Roman" w:cs="Times New Roman"/>
                <w:b/>
                <w:bCs/>
                <w:color w:val="auto"/>
                <w:sz w:val="24"/>
                <w:szCs w:val="24"/>
              </w:rPr>
              <w:t>依托污水处理设施</w:t>
            </w:r>
            <w:r>
              <w:rPr>
                <w:rFonts w:hint="eastAsia" w:cs="Times New Roman"/>
                <w:b/>
                <w:bCs/>
                <w:color w:val="auto"/>
                <w:sz w:val="24"/>
                <w:szCs w:val="24"/>
                <w:lang w:val="en-US" w:eastAsia="zh-CN"/>
              </w:rPr>
              <w:t>及废水处置方案</w:t>
            </w:r>
            <w:r>
              <w:rPr>
                <w:rFonts w:hint="default" w:ascii="Times New Roman" w:hAnsi="Times New Roman" w:cs="Times New Roman"/>
                <w:b/>
                <w:bCs/>
                <w:color w:val="auto"/>
                <w:sz w:val="24"/>
                <w:szCs w:val="24"/>
              </w:rPr>
              <w:t>可行性分析</w:t>
            </w:r>
          </w:p>
          <w:p w14:paraId="53D86A6C">
            <w:pPr>
              <w:pStyle w:val="95"/>
              <w:numPr>
                <w:ilvl w:val="0"/>
                <w:numId w:val="0"/>
              </w:numPr>
              <w:spacing w:line="360" w:lineRule="auto"/>
              <w:ind w:firstLine="480" w:firstLineChars="200"/>
              <w:rPr>
                <w:rFonts w:hint="default" w:ascii="Times New Roman" w:hAnsi="Times New Roman" w:cs="Times New Roman"/>
                <w:color w:val="FF0000"/>
                <w:sz w:val="24"/>
                <w:szCs w:val="24"/>
                <w:vertAlign w:val="baseline"/>
                <w:lang w:val="en-US" w:eastAsia="zh-CN" w:bidi="ar"/>
              </w:rPr>
            </w:pPr>
            <w:r>
              <w:rPr>
                <w:rFonts w:hint="default" w:ascii="Times New Roman" w:hAnsi="Times New Roman" w:cs="Times New Roman"/>
                <w:color w:val="FF0000"/>
                <w:sz w:val="24"/>
                <w:szCs w:val="24"/>
                <w:vertAlign w:val="baseline"/>
                <w:lang w:val="en-US" w:eastAsia="zh-CN" w:bidi="ar"/>
              </w:rPr>
              <w:t>项目</w:t>
            </w:r>
            <w:r>
              <w:rPr>
                <w:rFonts w:hint="eastAsia"/>
                <w:color w:val="FF0000"/>
                <w:sz w:val="24"/>
                <w:szCs w:val="24"/>
                <w:lang w:val="en-US" w:eastAsia="zh-CN"/>
              </w:rPr>
              <w:t>树脂再生废水</w:t>
            </w:r>
            <w:r>
              <w:rPr>
                <w:rFonts w:hint="default" w:ascii="Times New Roman" w:hAnsi="Times New Roman" w:cs="Times New Roman"/>
                <w:color w:val="FF0000"/>
                <w:sz w:val="24"/>
                <w:szCs w:val="24"/>
                <w:vertAlign w:val="baseline"/>
                <w:lang w:val="en-US" w:eastAsia="zh-CN" w:bidi="ar"/>
              </w:rPr>
              <w:t>依托</w:t>
            </w:r>
            <w:r>
              <w:rPr>
                <w:rFonts w:hint="default" w:ascii="Times New Roman" w:hAnsi="Times New Roman" w:cs="Times New Roman"/>
                <w:color w:val="FF0000"/>
                <w:sz w:val="24"/>
                <w:szCs w:val="24"/>
                <w:lang w:val="en-US" w:eastAsia="zh-CN"/>
              </w:rPr>
              <w:t>现有项目一座已建成的面积为50</w:t>
            </w:r>
            <w:r>
              <w:rPr>
                <w:rFonts w:hint="default" w:ascii="Times New Roman" w:hAnsi="Times New Roman" w:cs="Times New Roman"/>
                <w:color w:val="FF0000"/>
                <w:sz w:val="24"/>
                <w:szCs w:val="24"/>
                <w:vertAlign w:val="baseline"/>
                <w:lang w:val="en-US" w:eastAsia="zh-CN" w:bidi="ar"/>
              </w:rPr>
              <w:t>m</w:t>
            </w:r>
            <w:r>
              <w:rPr>
                <w:rFonts w:hint="default" w:ascii="Times New Roman" w:hAnsi="Times New Roman" w:cs="Times New Roman"/>
                <w:color w:val="FF0000"/>
                <w:sz w:val="24"/>
                <w:szCs w:val="24"/>
                <w:vertAlign w:val="superscript"/>
                <w:lang w:val="en-US" w:eastAsia="zh-CN" w:bidi="ar"/>
              </w:rPr>
              <w:t>2</w:t>
            </w:r>
            <w:r>
              <w:rPr>
                <w:rFonts w:hint="default" w:ascii="Times New Roman" w:hAnsi="Times New Roman" w:cs="Times New Roman"/>
                <w:color w:val="FF0000"/>
                <w:sz w:val="24"/>
                <w:szCs w:val="24"/>
                <w:vertAlign w:val="baseline"/>
                <w:lang w:val="en-US" w:eastAsia="zh-CN" w:bidi="ar"/>
              </w:rPr>
              <w:t>、容积为150m</w:t>
            </w:r>
            <w:r>
              <w:rPr>
                <w:rFonts w:hint="default" w:ascii="Times New Roman" w:hAnsi="Times New Roman" w:cs="Times New Roman"/>
                <w:color w:val="FF0000"/>
                <w:sz w:val="24"/>
                <w:szCs w:val="24"/>
                <w:vertAlign w:val="superscript"/>
                <w:lang w:val="en-US" w:eastAsia="zh-CN" w:bidi="ar"/>
              </w:rPr>
              <w:t>3</w:t>
            </w:r>
            <w:r>
              <w:rPr>
                <w:rFonts w:hint="default" w:ascii="Times New Roman" w:hAnsi="Times New Roman" w:cs="Times New Roman"/>
                <w:color w:val="FF0000"/>
                <w:sz w:val="24"/>
                <w:szCs w:val="24"/>
                <w:vertAlign w:val="baseline"/>
                <w:lang w:val="en-US" w:eastAsia="zh-CN" w:bidi="ar"/>
              </w:rPr>
              <w:t>、日处理能力为120t/d的中和</w:t>
            </w:r>
            <w:r>
              <w:rPr>
                <w:rFonts w:hint="eastAsia" w:ascii="Times New Roman" w:hAnsi="Times New Roman" w:cs="Times New Roman"/>
                <w:color w:val="FF0000"/>
                <w:sz w:val="24"/>
                <w:szCs w:val="24"/>
                <w:vertAlign w:val="baseline"/>
                <w:lang w:val="en-US" w:eastAsia="zh-CN" w:bidi="ar"/>
              </w:rPr>
              <w:t>沉淀</w:t>
            </w:r>
            <w:r>
              <w:rPr>
                <w:rFonts w:hint="default" w:ascii="Times New Roman" w:hAnsi="Times New Roman" w:cs="Times New Roman"/>
                <w:color w:val="FF0000"/>
                <w:sz w:val="24"/>
                <w:szCs w:val="24"/>
                <w:vertAlign w:val="baseline"/>
                <w:lang w:val="en-US" w:eastAsia="zh-CN" w:bidi="ar"/>
              </w:rPr>
              <w:t>池</w:t>
            </w:r>
            <w:r>
              <w:rPr>
                <w:rFonts w:hint="eastAsia" w:ascii="Times New Roman" w:hAnsi="Times New Roman" w:cs="Times New Roman"/>
                <w:color w:val="FF0000"/>
                <w:sz w:val="24"/>
                <w:szCs w:val="24"/>
                <w:vertAlign w:val="baseline"/>
                <w:lang w:val="en-US" w:eastAsia="zh-CN" w:bidi="ar"/>
              </w:rPr>
              <w:t>（</w:t>
            </w:r>
            <w:r>
              <w:rPr>
                <w:rFonts w:hint="eastAsia"/>
                <w:color w:val="FF0000"/>
                <w:sz w:val="24"/>
                <w:szCs w:val="24"/>
                <w:lang w:val="en-US" w:eastAsia="zh-CN"/>
              </w:rPr>
              <w:t>调节+沉淀</w:t>
            </w:r>
            <w:r>
              <w:rPr>
                <w:rFonts w:hint="eastAsia" w:ascii="Times New Roman" w:hAnsi="Times New Roman" w:cs="Times New Roman"/>
                <w:color w:val="FF0000"/>
                <w:sz w:val="24"/>
                <w:szCs w:val="24"/>
                <w:vertAlign w:val="baseline"/>
                <w:lang w:val="en-US" w:eastAsia="zh-CN" w:bidi="ar"/>
              </w:rPr>
              <w:t>）</w:t>
            </w:r>
            <w:r>
              <w:rPr>
                <w:rFonts w:hint="default" w:ascii="Times New Roman" w:hAnsi="Times New Roman" w:cs="Times New Roman"/>
                <w:color w:val="FF0000"/>
                <w:sz w:val="24"/>
                <w:szCs w:val="24"/>
                <w:vertAlign w:val="baseline"/>
                <w:lang w:val="en-US" w:eastAsia="zh-CN" w:bidi="ar"/>
              </w:rPr>
              <w:t>进行处理。</w:t>
            </w:r>
            <w:r>
              <w:rPr>
                <w:rFonts w:hint="eastAsia" w:ascii="Times New Roman" w:hAnsi="Times New Roman" w:cs="Times New Roman"/>
                <w:color w:val="FF0000"/>
                <w:sz w:val="24"/>
                <w:szCs w:val="24"/>
                <w:lang w:val="en-US" w:eastAsia="zh-CN"/>
              </w:rPr>
              <w:t>树脂再生废水</w:t>
            </w:r>
            <w:r>
              <w:rPr>
                <w:rFonts w:hint="default" w:ascii="Times New Roman" w:hAnsi="Times New Roman" w:cs="Times New Roman"/>
                <w:color w:val="FF0000"/>
                <w:sz w:val="24"/>
                <w:szCs w:val="24"/>
                <w:lang w:val="en-US" w:eastAsia="zh-CN"/>
              </w:rPr>
              <w:t>成分简单，依托现有项目</w:t>
            </w:r>
            <w:r>
              <w:rPr>
                <w:rFonts w:hint="default" w:ascii="Times New Roman" w:hAnsi="Times New Roman" w:cs="Times New Roman"/>
                <w:color w:val="FF0000"/>
                <w:sz w:val="24"/>
                <w:szCs w:val="24"/>
                <w:vertAlign w:val="baseline"/>
                <w:lang w:val="en-US" w:eastAsia="zh-CN" w:bidi="ar"/>
              </w:rPr>
              <w:t>中和沉淀池（</w:t>
            </w:r>
            <w:r>
              <w:rPr>
                <w:rFonts w:hint="default" w:ascii="Times New Roman" w:hAnsi="Times New Roman" w:cs="Times New Roman"/>
                <w:color w:val="FF0000"/>
                <w:sz w:val="24"/>
                <w:szCs w:val="24"/>
                <w:lang w:val="en-US" w:eastAsia="zh-CN"/>
              </w:rPr>
              <w:t>调节+沉淀</w:t>
            </w:r>
            <w:r>
              <w:rPr>
                <w:rFonts w:hint="default" w:ascii="Times New Roman" w:hAnsi="Times New Roman" w:cs="Times New Roman"/>
                <w:color w:val="FF0000"/>
                <w:sz w:val="24"/>
                <w:szCs w:val="24"/>
                <w:vertAlign w:val="baseline"/>
                <w:lang w:val="en-US" w:eastAsia="zh-CN" w:bidi="ar"/>
              </w:rPr>
              <w:t>）处理后</w:t>
            </w:r>
            <w:r>
              <w:rPr>
                <w:rFonts w:hint="default" w:ascii="Times New Roman" w:hAnsi="Times New Roman" w:cs="Times New Roman"/>
                <w:color w:val="FF0000"/>
                <w:sz w:val="24"/>
                <w:szCs w:val="24"/>
                <w:lang w:val="en-US" w:eastAsia="zh-CN"/>
              </w:rPr>
              <w:t>可以达到</w:t>
            </w:r>
            <w:r>
              <w:rPr>
                <w:rFonts w:hint="default" w:ascii="Times New Roman" w:hAnsi="Times New Roman" w:cs="Times New Roman"/>
                <w:color w:val="FF0000"/>
                <w:sz w:val="24"/>
                <w:szCs w:val="24"/>
                <w:lang w:bidi="ar"/>
              </w:rPr>
              <w:t>《城市污水再生利用-工业用水水质标准》</w:t>
            </w:r>
            <w:r>
              <w:rPr>
                <w:rFonts w:hint="default" w:ascii="Times New Roman" w:hAnsi="Times New Roman" w:cs="Times New Roman"/>
                <w:color w:val="FF0000"/>
                <w:sz w:val="24"/>
                <w:szCs w:val="24"/>
                <w:lang w:eastAsia="zh-CN" w:bidi="ar"/>
              </w:rPr>
              <w:t>（</w:t>
            </w:r>
            <w:r>
              <w:rPr>
                <w:rFonts w:hint="default" w:ascii="Times New Roman" w:hAnsi="Times New Roman" w:cs="Times New Roman"/>
                <w:color w:val="FF0000"/>
                <w:sz w:val="24"/>
                <w:szCs w:val="24"/>
                <w:lang w:bidi="ar"/>
              </w:rPr>
              <w:t>GB/T19923-2024</w:t>
            </w:r>
            <w:r>
              <w:rPr>
                <w:rFonts w:hint="default" w:ascii="Times New Roman" w:hAnsi="Times New Roman" w:cs="Times New Roman"/>
                <w:color w:val="FF0000"/>
                <w:sz w:val="24"/>
                <w:szCs w:val="24"/>
                <w:lang w:eastAsia="zh-CN" w:bidi="ar"/>
              </w:rPr>
              <w:t>）</w:t>
            </w:r>
            <w:r>
              <w:rPr>
                <w:rFonts w:hint="default" w:ascii="Times New Roman" w:hAnsi="Times New Roman" w:cs="Times New Roman"/>
                <w:color w:val="FF0000"/>
                <w:sz w:val="24"/>
                <w:szCs w:val="24"/>
                <w:lang w:bidi="ar"/>
              </w:rPr>
              <w:t>表1中相关限值</w:t>
            </w:r>
            <w:r>
              <w:rPr>
                <w:rFonts w:hint="eastAsia"/>
                <w:color w:val="FF0000"/>
                <w:sz w:val="24"/>
                <w:szCs w:val="24"/>
                <w:lang w:eastAsia="zh-CN" w:bidi="ar"/>
              </w:rPr>
              <w:t>。</w:t>
            </w:r>
            <w:r>
              <w:rPr>
                <w:rFonts w:hint="eastAsia" w:ascii="Times New Roman" w:hAnsi="Times New Roman" w:cs="Times New Roman"/>
                <w:color w:val="FF0000"/>
                <w:sz w:val="24"/>
                <w:szCs w:val="24"/>
                <w:vertAlign w:val="baseline"/>
                <w:lang w:val="en-US" w:eastAsia="zh-CN" w:bidi="ar"/>
              </w:rPr>
              <w:t>本项目属于锅炉技改项目，</w:t>
            </w:r>
            <w:r>
              <w:rPr>
                <w:rFonts w:hint="eastAsia" w:cs="Times New Roman"/>
                <w:color w:val="FF0000"/>
                <w:sz w:val="24"/>
                <w:szCs w:val="24"/>
                <w:lang w:val="en-US" w:eastAsia="zh-CN" w:bidi="ar"/>
              </w:rPr>
              <w:t>此次技改项目</w:t>
            </w:r>
            <w:r>
              <w:rPr>
                <w:rFonts w:hint="eastAsia" w:cs="Times New Roman"/>
                <w:color w:val="FF0000"/>
                <w:sz w:val="24"/>
                <w:szCs w:val="24"/>
                <w:lang w:val="en-US" w:eastAsia="zh-CN"/>
              </w:rPr>
              <w:t>在</w:t>
            </w:r>
            <w:r>
              <w:rPr>
                <w:rFonts w:hint="default" w:ascii="Times New Roman" w:hAnsi="Times New Roman" w:eastAsia="宋体" w:cs="Times New Roman"/>
                <w:color w:val="FF0000"/>
                <w:sz w:val="24"/>
                <w:szCs w:val="24"/>
                <w:lang w:val="en-US" w:eastAsia="zh-CN"/>
              </w:rPr>
              <w:t>原有一台6t/h生物质锅炉基础上申请增加一台6t/h生物质锅炉</w:t>
            </w:r>
            <w:r>
              <w:rPr>
                <w:rFonts w:hint="default" w:ascii="Times New Roman" w:hAnsi="Times New Roman" w:cs="Times New Roman"/>
                <w:color w:val="FF0000"/>
                <w:sz w:val="24"/>
                <w:szCs w:val="24"/>
                <w:lang w:val="en-US" w:eastAsia="zh-CN"/>
              </w:rPr>
              <w:t>，</w:t>
            </w:r>
            <w:r>
              <w:rPr>
                <w:rFonts w:hint="eastAsia" w:ascii="Times New Roman" w:hAnsi="Times New Roman" w:cs="Times New Roman"/>
                <w:color w:val="FF0000"/>
                <w:sz w:val="24"/>
                <w:szCs w:val="24"/>
                <w:lang w:val="en-US" w:eastAsia="zh-CN"/>
              </w:rPr>
              <w:t>原有</w:t>
            </w:r>
            <w:r>
              <w:rPr>
                <w:rFonts w:hint="default" w:ascii="Times New Roman" w:hAnsi="Times New Roman" w:cs="Times New Roman"/>
                <w:color w:val="FF0000"/>
                <w:sz w:val="24"/>
                <w:szCs w:val="24"/>
                <w:lang w:val="en-US" w:eastAsia="zh-CN"/>
              </w:rPr>
              <w:t>锅炉</w:t>
            </w:r>
            <w:r>
              <w:rPr>
                <w:rFonts w:hint="eastAsia" w:cs="Times New Roman"/>
                <w:color w:val="FF0000"/>
                <w:sz w:val="24"/>
                <w:szCs w:val="24"/>
                <w:lang w:val="en-US" w:eastAsia="zh-CN"/>
              </w:rPr>
              <w:t>作为</w:t>
            </w:r>
            <w:r>
              <w:rPr>
                <w:rFonts w:hint="default" w:ascii="Times New Roman" w:hAnsi="Times New Roman" w:cs="Times New Roman"/>
                <w:color w:val="FF0000"/>
                <w:sz w:val="24"/>
                <w:szCs w:val="24"/>
                <w:lang w:val="en-US" w:eastAsia="zh-CN"/>
              </w:rPr>
              <w:t>备用锅炉使用，2台锅炉不同时运行，锅炉年总运行时长</w:t>
            </w:r>
            <w:r>
              <w:rPr>
                <w:rFonts w:hint="eastAsia" w:ascii="Times New Roman" w:hAnsi="Times New Roman" w:cs="Times New Roman"/>
                <w:color w:val="FF0000"/>
                <w:sz w:val="24"/>
                <w:szCs w:val="24"/>
                <w:lang w:val="en-US" w:eastAsia="zh-CN"/>
              </w:rPr>
              <w:t>为4650h/a，运行时长</w:t>
            </w:r>
            <w:r>
              <w:rPr>
                <w:rFonts w:hint="default" w:ascii="Times New Roman" w:hAnsi="Times New Roman" w:cs="Times New Roman"/>
                <w:color w:val="FF0000"/>
                <w:sz w:val="24"/>
                <w:szCs w:val="24"/>
                <w:lang w:val="en-US" w:eastAsia="zh-CN"/>
              </w:rPr>
              <w:t>不变，故废水产生量不发生增加，不会超出</w:t>
            </w:r>
            <w:r>
              <w:rPr>
                <w:rFonts w:hint="default" w:ascii="Times New Roman" w:hAnsi="Times New Roman" w:cs="Times New Roman"/>
                <w:color w:val="FF0000"/>
                <w:sz w:val="24"/>
                <w:szCs w:val="24"/>
                <w:vertAlign w:val="baseline"/>
                <w:lang w:val="en-US" w:eastAsia="zh-CN" w:bidi="ar"/>
              </w:rPr>
              <w:t>现有项目中和沉淀池处理范围。</w:t>
            </w:r>
          </w:p>
          <w:p w14:paraId="4EC62E43">
            <w:pPr>
              <w:pStyle w:val="95"/>
              <w:numPr>
                <w:ilvl w:val="0"/>
                <w:numId w:val="0"/>
              </w:numPr>
              <w:spacing w:line="360" w:lineRule="auto"/>
              <w:ind w:firstLine="480" w:firstLineChars="200"/>
              <w:rPr>
                <w:rFonts w:hint="default" w:ascii="Times New Roman" w:hAnsi="Times New Roman" w:eastAsia="宋体" w:cs="Times New Roman"/>
                <w:color w:val="FF0000"/>
                <w:sz w:val="24"/>
                <w:szCs w:val="24"/>
                <w:vertAlign w:val="baseline"/>
                <w:lang w:val="en-US" w:eastAsia="zh-CN"/>
              </w:rPr>
            </w:pPr>
            <w:r>
              <w:rPr>
                <w:rFonts w:hint="default" w:ascii="Times New Roman" w:hAnsi="Times New Roman" w:eastAsia="宋体" w:cs="Times New Roman"/>
                <w:color w:val="FF0000"/>
                <w:sz w:val="24"/>
                <w:szCs w:val="24"/>
                <w:vertAlign w:val="baseline"/>
                <w:lang w:val="en-US" w:eastAsia="zh-CN" w:bidi="ar"/>
              </w:rPr>
              <w:t>根据现有项目环评批复及企业实际废水处置方案，</w:t>
            </w:r>
            <w:r>
              <w:rPr>
                <w:rFonts w:hint="eastAsia" w:ascii="Times New Roman" w:hAnsi="Times New Roman" w:cs="Times New Roman"/>
                <w:color w:val="FF0000"/>
                <w:sz w:val="24"/>
                <w:szCs w:val="24"/>
                <w:lang w:val="en-US" w:eastAsia="zh-CN"/>
              </w:rPr>
              <w:t>树脂再生废水</w:t>
            </w:r>
            <w:r>
              <w:rPr>
                <w:rFonts w:hint="default" w:ascii="Times New Roman" w:hAnsi="Times New Roman" w:eastAsia="宋体" w:cs="Times New Roman"/>
                <w:color w:val="FF0000"/>
                <w:sz w:val="24"/>
                <w:szCs w:val="24"/>
                <w:lang w:val="en-US" w:eastAsia="zh-CN"/>
              </w:rPr>
              <w:t>经处理后回用于厂区绿化、洒水冷却灰渣等，现有项目为饲料加工项目，年产量为24万吨，厂区总占地面积35300m</w:t>
            </w:r>
            <w:r>
              <w:rPr>
                <w:rFonts w:hint="default" w:ascii="Times New Roman" w:hAnsi="Times New Roman" w:eastAsia="宋体" w:cs="Times New Roman"/>
                <w:color w:val="FF0000"/>
                <w:sz w:val="24"/>
                <w:szCs w:val="24"/>
                <w:vertAlign w:val="superscript"/>
                <w:lang w:val="en-US" w:eastAsia="zh-CN"/>
              </w:rPr>
              <w:t>2</w:t>
            </w:r>
            <w:r>
              <w:rPr>
                <w:rFonts w:hint="default" w:ascii="Times New Roman" w:hAnsi="Times New Roman" w:eastAsia="宋体" w:cs="Times New Roman"/>
                <w:color w:val="FF0000"/>
                <w:sz w:val="24"/>
                <w:szCs w:val="24"/>
                <w:vertAlign w:val="baseline"/>
                <w:lang w:val="en-US" w:eastAsia="zh-CN"/>
              </w:rPr>
              <w:t>，绿化面积约占厂区总面积的</w:t>
            </w:r>
            <w:r>
              <w:rPr>
                <w:rFonts w:hint="eastAsia" w:ascii="Times New Roman" w:hAnsi="Times New Roman" w:cs="Times New Roman"/>
                <w:color w:val="FF0000"/>
                <w:sz w:val="24"/>
                <w:szCs w:val="24"/>
                <w:vertAlign w:val="baseline"/>
                <w:lang w:val="en-US" w:eastAsia="zh-CN"/>
              </w:rPr>
              <w:t>20</w:t>
            </w:r>
            <w:r>
              <w:rPr>
                <w:rFonts w:hint="default" w:ascii="Times New Roman" w:hAnsi="Times New Roman" w:eastAsia="宋体" w:cs="Times New Roman"/>
                <w:color w:val="FF0000"/>
                <w:sz w:val="24"/>
                <w:szCs w:val="24"/>
                <w:vertAlign w:val="baseline"/>
                <w:lang w:val="en-US" w:eastAsia="zh-CN"/>
              </w:rPr>
              <w:t>%（即</w:t>
            </w:r>
            <w:r>
              <w:rPr>
                <w:rFonts w:hint="eastAsia" w:ascii="Times New Roman" w:hAnsi="Times New Roman" w:cs="Times New Roman"/>
                <w:color w:val="FF0000"/>
                <w:sz w:val="24"/>
                <w:szCs w:val="24"/>
                <w:vertAlign w:val="baseline"/>
                <w:lang w:val="en-US" w:eastAsia="zh-CN"/>
              </w:rPr>
              <w:t>7060</w:t>
            </w:r>
            <w:r>
              <w:rPr>
                <w:rFonts w:hint="default" w:ascii="Times New Roman" w:hAnsi="Times New Roman" w:eastAsia="宋体" w:cs="Times New Roman"/>
                <w:color w:val="FF0000"/>
                <w:sz w:val="24"/>
                <w:szCs w:val="24"/>
                <w:lang w:val="en-US" w:eastAsia="zh-CN"/>
              </w:rPr>
              <w:t>m</w:t>
            </w:r>
            <w:r>
              <w:rPr>
                <w:rFonts w:hint="default" w:ascii="Times New Roman" w:hAnsi="Times New Roman" w:eastAsia="宋体" w:cs="Times New Roman"/>
                <w:color w:val="FF0000"/>
                <w:sz w:val="24"/>
                <w:szCs w:val="24"/>
                <w:vertAlign w:val="superscript"/>
                <w:lang w:val="en-US" w:eastAsia="zh-CN"/>
              </w:rPr>
              <w:t>2</w:t>
            </w:r>
            <w:r>
              <w:rPr>
                <w:rFonts w:hint="default" w:ascii="Times New Roman" w:hAnsi="Times New Roman" w:eastAsia="宋体" w:cs="Times New Roman"/>
                <w:color w:val="FF0000"/>
                <w:sz w:val="24"/>
                <w:szCs w:val="24"/>
                <w:vertAlign w:val="baseline"/>
                <w:lang w:val="en-US" w:eastAsia="zh-CN"/>
              </w:rPr>
              <w:t>），根据《</w:t>
            </w:r>
            <w:r>
              <w:rPr>
                <w:rFonts w:hint="default" w:ascii="Times New Roman" w:hAnsi="Times New Roman" w:eastAsia="宋体" w:cs="Times New Roman"/>
                <w:i w:val="0"/>
                <w:iCs w:val="0"/>
                <w:caps w:val="0"/>
                <w:color w:val="FF0000"/>
                <w:spacing w:val="0"/>
                <w:sz w:val="24"/>
                <w:szCs w:val="24"/>
                <w:shd w:val="clear" w:fill="FFFFFF"/>
              </w:rPr>
              <w:t>民用建筑节水设计标准</w:t>
            </w:r>
            <w:r>
              <w:rPr>
                <w:rFonts w:hint="default" w:ascii="Times New Roman" w:hAnsi="Times New Roman" w:eastAsia="宋体" w:cs="Times New Roman"/>
                <w:color w:val="FF0000"/>
                <w:sz w:val="24"/>
                <w:szCs w:val="24"/>
                <w:vertAlign w:val="baseline"/>
                <w:lang w:val="en-US" w:eastAsia="zh-CN"/>
              </w:rPr>
              <w:t>》表3.1.6中浇洒草坪、绿化年均灌水定额为0.94m</w:t>
            </w:r>
            <w:r>
              <w:rPr>
                <w:rFonts w:hint="default" w:ascii="Times New Roman" w:hAnsi="Times New Roman" w:eastAsia="宋体" w:cs="Times New Roman"/>
                <w:color w:val="FF0000"/>
                <w:sz w:val="24"/>
                <w:szCs w:val="24"/>
                <w:vertAlign w:val="superscript"/>
                <w:lang w:val="en-US" w:eastAsia="zh-CN"/>
              </w:rPr>
              <w:t>3</w:t>
            </w:r>
            <w:r>
              <w:rPr>
                <w:rFonts w:hint="default" w:ascii="Times New Roman" w:hAnsi="Times New Roman" w:eastAsia="宋体" w:cs="Times New Roman"/>
                <w:color w:val="FF0000"/>
                <w:sz w:val="24"/>
                <w:szCs w:val="24"/>
                <w:vertAlign w:val="baseline"/>
                <w:lang w:val="en-US" w:eastAsia="zh-CN"/>
              </w:rPr>
              <w:t>/m</w:t>
            </w:r>
            <w:r>
              <w:rPr>
                <w:rFonts w:hint="default" w:ascii="Times New Roman" w:hAnsi="Times New Roman" w:eastAsia="宋体" w:cs="Times New Roman"/>
                <w:color w:val="FF0000"/>
                <w:sz w:val="24"/>
                <w:szCs w:val="24"/>
                <w:vertAlign w:val="superscript"/>
                <w:lang w:val="en-US" w:eastAsia="zh-CN"/>
              </w:rPr>
              <w:t>2</w:t>
            </w:r>
            <w:r>
              <w:rPr>
                <w:rFonts w:hint="default" w:ascii="Times New Roman" w:hAnsi="Times New Roman" w:eastAsia="宋体" w:cs="Times New Roman"/>
                <w:color w:val="FF0000"/>
                <w:sz w:val="24"/>
                <w:szCs w:val="24"/>
                <w:vertAlign w:val="baseline"/>
                <w:lang w:val="en-US" w:eastAsia="zh-CN"/>
              </w:rPr>
              <w:t>·a，则绿化用水量为</w:t>
            </w:r>
            <w:r>
              <w:rPr>
                <w:rFonts w:hint="eastAsia" w:ascii="Times New Roman" w:hAnsi="Times New Roman" w:cs="Times New Roman"/>
                <w:color w:val="FF0000"/>
                <w:sz w:val="24"/>
                <w:szCs w:val="24"/>
                <w:vertAlign w:val="baseline"/>
                <w:lang w:val="en-US" w:eastAsia="zh-CN"/>
              </w:rPr>
              <w:t>6636.4</w:t>
            </w:r>
            <w:r>
              <w:rPr>
                <w:rFonts w:hint="default" w:ascii="Times New Roman" w:hAnsi="Times New Roman" w:eastAsia="宋体" w:cs="Times New Roman"/>
                <w:color w:val="FF0000"/>
                <w:sz w:val="24"/>
                <w:szCs w:val="24"/>
                <w:vertAlign w:val="baseline"/>
                <w:lang w:val="en-US" w:eastAsia="zh-CN"/>
              </w:rPr>
              <w:t>m</w:t>
            </w:r>
            <w:r>
              <w:rPr>
                <w:rFonts w:hint="default" w:ascii="Times New Roman" w:hAnsi="Times New Roman" w:eastAsia="宋体" w:cs="Times New Roman"/>
                <w:color w:val="FF0000"/>
                <w:sz w:val="24"/>
                <w:szCs w:val="24"/>
                <w:vertAlign w:val="superscript"/>
                <w:lang w:val="en-US" w:eastAsia="zh-CN"/>
              </w:rPr>
              <w:t>3</w:t>
            </w:r>
            <w:r>
              <w:rPr>
                <w:rFonts w:hint="default" w:ascii="Times New Roman" w:hAnsi="Times New Roman" w:eastAsia="宋体" w:cs="Times New Roman"/>
                <w:color w:val="FF0000"/>
                <w:sz w:val="24"/>
                <w:szCs w:val="24"/>
                <w:vertAlign w:val="baseline"/>
                <w:lang w:val="en-US" w:eastAsia="zh-CN"/>
              </w:rPr>
              <w:t>/a；根据企业提供的资料，冷却1吨锅炉灰渣的用水量约为0.</w:t>
            </w:r>
            <w:r>
              <w:rPr>
                <w:rFonts w:hint="eastAsia" w:ascii="Times New Roman" w:hAnsi="Times New Roman" w:cs="Times New Roman"/>
                <w:color w:val="FF0000"/>
                <w:sz w:val="24"/>
                <w:szCs w:val="24"/>
                <w:vertAlign w:val="baseline"/>
                <w:lang w:val="en-US" w:eastAsia="zh-CN"/>
              </w:rPr>
              <w:t>3</w:t>
            </w:r>
            <w:r>
              <w:rPr>
                <w:rFonts w:hint="default" w:ascii="Times New Roman" w:hAnsi="Times New Roman" w:eastAsia="宋体" w:cs="Times New Roman"/>
                <w:color w:val="FF0000"/>
                <w:sz w:val="24"/>
                <w:szCs w:val="24"/>
                <w:vertAlign w:val="baseline"/>
                <w:lang w:val="en-US" w:eastAsia="zh-CN"/>
              </w:rPr>
              <w:t>m</w:t>
            </w:r>
            <w:r>
              <w:rPr>
                <w:rFonts w:hint="default" w:ascii="Times New Roman" w:hAnsi="Times New Roman" w:eastAsia="宋体" w:cs="Times New Roman"/>
                <w:color w:val="FF0000"/>
                <w:sz w:val="24"/>
                <w:szCs w:val="24"/>
                <w:vertAlign w:val="superscript"/>
                <w:lang w:val="en-US" w:eastAsia="zh-CN"/>
              </w:rPr>
              <w:t>3</w:t>
            </w:r>
            <w:r>
              <w:rPr>
                <w:rFonts w:hint="default" w:ascii="Times New Roman" w:hAnsi="Times New Roman" w:eastAsia="宋体" w:cs="Times New Roman"/>
                <w:color w:val="FF0000"/>
                <w:sz w:val="24"/>
                <w:szCs w:val="24"/>
                <w:vertAlign w:val="baseline"/>
                <w:lang w:val="en-US" w:eastAsia="zh-CN"/>
              </w:rPr>
              <w:t>，现有项目锅炉灰渣产生量为800t/a，则锅炉灰渣冷却用水量为</w:t>
            </w:r>
            <w:r>
              <w:rPr>
                <w:rFonts w:hint="eastAsia" w:ascii="Times New Roman" w:hAnsi="Times New Roman" w:cs="Times New Roman"/>
                <w:color w:val="FF0000"/>
                <w:sz w:val="24"/>
                <w:szCs w:val="24"/>
                <w:vertAlign w:val="baseline"/>
                <w:lang w:val="en-US" w:eastAsia="zh-CN"/>
              </w:rPr>
              <w:t>24</w:t>
            </w:r>
            <w:r>
              <w:rPr>
                <w:rFonts w:hint="default" w:ascii="Times New Roman" w:hAnsi="Times New Roman" w:eastAsia="宋体" w:cs="Times New Roman"/>
                <w:color w:val="FF0000"/>
                <w:sz w:val="24"/>
                <w:szCs w:val="24"/>
                <w:vertAlign w:val="baseline"/>
                <w:lang w:val="en-US" w:eastAsia="zh-CN"/>
              </w:rPr>
              <w:t>0m</w:t>
            </w:r>
            <w:r>
              <w:rPr>
                <w:rFonts w:hint="default" w:ascii="Times New Roman" w:hAnsi="Times New Roman" w:eastAsia="宋体" w:cs="Times New Roman"/>
                <w:color w:val="FF0000"/>
                <w:sz w:val="24"/>
                <w:szCs w:val="24"/>
                <w:vertAlign w:val="superscript"/>
                <w:lang w:val="en-US" w:eastAsia="zh-CN"/>
              </w:rPr>
              <w:t>3</w:t>
            </w:r>
            <w:r>
              <w:rPr>
                <w:rFonts w:hint="default" w:ascii="Times New Roman" w:hAnsi="Times New Roman" w:eastAsia="宋体" w:cs="Times New Roman"/>
                <w:color w:val="FF0000"/>
                <w:sz w:val="24"/>
                <w:szCs w:val="24"/>
                <w:vertAlign w:val="baseline"/>
                <w:lang w:val="en-US" w:eastAsia="zh-CN"/>
              </w:rPr>
              <w:t>/a。</w:t>
            </w:r>
          </w:p>
          <w:p w14:paraId="469E70D2">
            <w:pPr>
              <w:pStyle w:val="95"/>
              <w:numPr>
                <w:ilvl w:val="0"/>
                <w:numId w:val="0"/>
              </w:numPr>
              <w:spacing w:line="360" w:lineRule="auto"/>
              <w:ind w:firstLine="480" w:firstLineChars="200"/>
              <w:rPr>
                <w:rFonts w:hint="default" w:ascii="Times New Roman" w:hAnsi="Times New Roman" w:eastAsia="宋体" w:cs="Times New Roman"/>
                <w:color w:val="FF0000"/>
                <w:spacing w:val="4"/>
                <w:sz w:val="24"/>
                <w:szCs w:val="24"/>
              </w:rPr>
            </w:pPr>
            <w:r>
              <w:rPr>
                <w:rFonts w:hint="default" w:ascii="Times New Roman" w:hAnsi="Times New Roman" w:eastAsia="宋体" w:cs="Times New Roman"/>
                <w:color w:val="FF0000"/>
                <w:sz w:val="24"/>
                <w:szCs w:val="24"/>
                <w:vertAlign w:val="baseline"/>
                <w:lang w:val="en-US" w:eastAsia="zh-CN"/>
              </w:rPr>
              <w:t>综上，</w:t>
            </w:r>
            <w:r>
              <w:rPr>
                <w:rFonts w:hint="default" w:ascii="Times New Roman" w:hAnsi="Times New Roman" w:eastAsia="宋体" w:cs="Times New Roman"/>
                <w:color w:val="FF0000"/>
                <w:sz w:val="24"/>
                <w:szCs w:val="24"/>
                <w:lang w:val="en-US" w:eastAsia="zh-CN"/>
              </w:rPr>
              <w:t>厂区绿化、洒水冷却灰渣最大用水量为</w:t>
            </w:r>
            <w:r>
              <w:rPr>
                <w:rFonts w:hint="eastAsia" w:ascii="Times New Roman" w:hAnsi="Times New Roman" w:cs="Times New Roman"/>
                <w:color w:val="FF0000"/>
                <w:sz w:val="24"/>
                <w:szCs w:val="24"/>
                <w:lang w:val="en-US" w:eastAsia="zh-CN"/>
              </w:rPr>
              <w:t>6876.4</w:t>
            </w:r>
            <w:r>
              <w:rPr>
                <w:rFonts w:hint="default" w:ascii="Times New Roman" w:hAnsi="Times New Roman" w:eastAsia="宋体" w:cs="Times New Roman"/>
                <w:color w:val="FF0000"/>
                <w:sz w:val="24"/>
                <w:szCs w:val="24"/>
                <w:vertAlign w:val="baseline"/>
                <w:lang w:val="en-US" w:eastAsia="zh-CN"/>
              </w:rPr>
              <w:t>m</w:t>
            </w:r>
            <w:r>
              <w:rPr>
                <w:rFonts w:hint="default" w:ascii="Times New Roman" w:hAnsi="Times New Roman" w:eastAsia="宋体" w:cs="Times New Roman"/>
                <w:color w:val="FF0000"/>
                <w:sz w:val="24"/>
                <w:szCs w:val="24"/>
                <w:vertAlign w:val="superscript"/>
                <w:lang w:val="en-US" w:eastAsia="zh-CN"/>
              </w:rPr>
              <w:t>3</w:t>
            </w:r>
            <w:r>
              <w:rPr>
                <w:rFonts w:hint="default" w:ascii="Times New Roman" w:hAnsi="Times New Roman" w:eastAsia="宋体" w:cs="Times New Roman"/>
                <w:color w:val="FF0000"/>
                <w:sz w:val="24"/>
                <w:szCs w:val="24"/>
                <w:vertAlign w:val="baseline"/>
                <w:lang w:val="en-US" w:eastAsia="zh-CN"/>
              </w:rPr>
              <w:t>/a，而</w:t>
            </w:r>
            <w:r>
              <w:rPr>
                <w:rFonts w:hint="eastAsia" w:ascii="Times New Roman" w:hAnsi="Times New Roman" w:cs="Times New Roman"/>
                <w:color w:val="FF0000"/>
                <w:sz w:val="24"/>
                <w:szCs w:val="24"/>
                <w:vertAlign w:val="baseline"/>
                <w:lang w:val="en-US" w:eastAsia="zh-CN"/>
              </w:rPr>
              <w:t>本次项目</w:t>
            </w:r>
            <w:r>
              <w:rPr>
                <w:rFonts w:hint="eastAsia" w:ascii="Times New Roman" w:hAnsi="Times New Roman" w:cs="Times New Roman"/>
                <w:color w:val="FF0000"/>
                <w:sz w:val="24"/>
                <w:szCs w:val="24"/>
                <w:lang w:val="en-US" w:eastAsia="zh-CN"/>
              </w:rPr>
              <w:t>树脂再生废水</w:t>
            </w:r>
            <w:r>
              <w:rPr>
                <w:rFonts w:hint="default" w:ascii="Times New Roman" w:hAnsi="Times New Roman" w:eastAsia="宋体" w:cs="Times New Roman"/>
                <w:color w:val="FF0000"/>
                <w:sz w:val="24"/>
                <w:szCs w:val="24"/>
                <w:lang w:val="en-US" w:eastAsia="zh-CN"/>
              </w:rPr>
              <w:t>最大产生量为</w:t>
            </w:r>
            <w:r>
              <w:rPr>
                <w:rFonts w:hint="eastAsia" w:ascii="Times New Roman" w:hAnsi="Times New Roman" w:cs="Times New Roman"/>
                <w:color w:val="FF0000"/>
                <w:sz w:val="24"/>
                <w:szCs w:val="24"/>
                <w:lang w:val="en-US" w:eastAsia="zh-CN"/>
              </w:rPr>
              <w:t>2635</w:t>
            </w:r>
            <w:r>
              <w:rPr>
                <w:rFonts w:hint="default" w:ascii="Times New Roman" w:hAnsi="Times New Roman" w:eastAsia="宋体" w:cs="Times New Roman"/>
                <w:color w:val="FF0000"/>
                <w:sz w:val="24"/>
                <w:szCs w:val="24"/>
                <w:vertAlign w:val="baseline"/>
                <w:lang w:val="en-US" w:eastAsia="zh-CN"/>
              </w:rPr>
              <w:t>m</w:t>
            </w:r>
            <w:r>
              <w:rPr>
                <w:rFonts w:hint="default" w:ascii="Times New Roman" w:hAnsi="Times New Roman" w:eastAsia="宋体" w:cs="Times New Roman"/>
                <w:color w:val="FF0000"/>
                <w:sz w:val="24"/>
                <w:szCs w:val="24"/>
                <w:vertAlign w:val="superscript"/>
                <w:lang w:val="en-US" w:eastAsia="zh-CN"/>
              </w:rPr>
              <w:t>3</w:t>
            </w:r>
            <w:r>
              <w:rPr>
                <w:rFonts w:hint="default" w:ascii="Times New Roman" w:hAnsi="Times New Roman" w:eastAsia="宋体" w:cs="Times New Roman"/>
                <w:color w:val="FF0000"/>
                <w:sz w:val="24"/>
                <w:szCs w:val="24"/>
                <w:vertAlign w:val="baseline"/>
                <w:lang w:val="en-US" w:eastAsia="zh-CN"/>
              </w:rPr>
              <w:t>/a，</w:t>
            </w:r>
            <w:r>
              <w:rPr>
                <w:rFonts w:hint="default" w:ascii="Times New Roman" w:hAnsi="Times New Roman" w:eastAsia="宋体" w:cs="Times New Roman"/>
                <w:color w:val="FF0000"/>
                <w:spacing w:val="4"/>
                <w:sz w:val="24"/>
                <w:szCs w:val="24"/>
              </w:rPr>
              <w:t>因此，</w:t>
            </w:r>
            <w:r>
              <w:rPr>
                <w:rFonts w:hint="default" w:ascii="Times New Roman" w:hAnsi="Times New Roman" w:eastAsia="宋体" w:cs="Times New Roman"/>
                <w:color w:val="FF0000"/>
                <w:spacing w:val="4"/>
                <w:sz w:val="24"/>
                <w:szCs w:val="24"/>
                <w:lang w:val="en-US" w:eastAsia="zh-CN"/>
              </w:rPr>
              <w:t>本</w:t>
            </w:r>
            <w:r>
              <w:rPr>
                <w:rFonts w:hint="default" w:ascii="Times New Roman" w:hAnsi="Times New Roman" w:eastAsia="宋体" w:cs="Times New Roman"/>
                <w:color w:val="FF0000"/>
                <w:spacing w:val="4"/>
                <w:sz w:val="24"/>
                <w:szCs w:val="24"/>
              </w:rPr>
              <w:t>项目产生的</w:t>
            </w:r>
            <w:r>
              <w:rPr>
                <w:rFonts w:hint="eastAsia" w:ascii="Times New Roman" w:hAnsi="Times New Roman" w:cs="Times New Roman"/>
                <w:color w:val="FF0000"/>
                <w:sz w:val="24"/>
                <w:szCs w:val="24"/>
                <w:lang w:val="en-US" w:eastAsia="zh-CN"/>
              </w:rPr>
              <w:t>树脂再生废水</w:t>
            </w:r>
            <w:r>
              <w:rPr>
                <w:rFonts w:hint="default" w:ascii="Times New Roman" w:hAnsi="Times New Roman" w:eastAsia="宋体" w:cs="Times New Roman"/>
                <w:color w:val="FF0000"/>
                <w:spacing w:val="4"/>
                <w:sz w:val="24"/>
                <w:szCs w:val="24"/>
              </w:rPr>
              <w:t>依托原有项目</w:t>
            </w:r>
            <w:r>
              <w:rPr>
                <w:rFonts w:hint="default" w:ascii="Times New Roman" w:hAnsi="Times New Roman" w:eastAsia="宋体" w:cs="Times New Roman"/>
                <w:color w:val="FF0000"/>
                <w:spacing w:val="4"/>
                <w:sz w:val="24"/>
                <w:szCs w:val="24"/>
                <w:lang w:val="en-US" w:eastAsia="zh-CN"/>
              </w:rPr>
              <w:t>中和沉淀池</w:t>
            </w:r>
            <w:r>
              <w:rPr>
                <w:rFonts w:hint="default" w:ascii="Times New Roman" w:hAnsi="Times New Roman" w:eastAsia="宋体" w:cs="Times New Roman"/>
                <w:color w:val="FF0000"/>
                <w:spacing w:val="4"/>
                <w:sz w:val="24"/>
                <w:szCs w:val="24"/>
              </w:rPr>
              <w:t>处理</w:t>
            </w:r>
            <w:r>
              <w:rPr>
                <w:rFonts w:hint="default" w:ascii="Times New Roman" w:hAnsi="Times New Roman" w:eastAsia="宋体" w:cs="Times New Roman"/>
                <w:color w:val="FF0000"/>
                <w:spacing w:val="4"/>
                <w:sz w:val="24"/>
                <w:szCs w:val="24"/>
                <w:lang w:val="en-US" w:eastAsia="zh-CN"/>
              </w:rPr>
              <w:t>及处理后回用于厂区</w:t>
            </w:r>
            <w:r>
              <w:rPr>
                <w:rFonts w:hint="default" w:ascii="Times New Roman" w:hAnsi="Times New Roman" w:eastAsia="宋体" w:cs="Times New Roman"/>
                <w:color w:val="FF0000"/>
                <w:sz w:val="24"/>
                <w:szCs w:val="24"/>
                <w:lang w:val="en-US" w:eastAsia="zh-CN"/>
              </w:rPr>
              <w:t>绿化、洒水冷却灰渣是可行的</w:t>
            </w:r>
            <w:r>
              <w:rPr>
                <w:rFonts w:hint="default" w:ascii="Times New Roman" w:hAnsi="Times New Roman" w:eastAsia="宋体" w:cs="Times New Roman"/>
                <w:color w:val="FF0000"/>
                <w:spacing w:val="4"/>
                <w:sz w:val="24"/>
                <w:szCs w:val="24"/>
              </w:rPr>
              <w:t>。</w:t>
            </w:r>
          </w:p>
          <w:p w14:paraId="0F2DF673">
            <w:pPr>
              <w:pStyle w:val="95"/>
              <w:spacing w:line="360" w:lineRule="auto"/>
              <w:ind w:firstLine="482" w:firstLineChars="200"/>
              <w:rPr>
                <w:rFonts w:ascii="Times New Roman" w:hAnsi="Times New Roman" w:cs="Times New Roman"/>
                <w:b/>
                <w:bCs/>
                <w:color w:val="auto"/>
                <w:sz w:val="24"/>
                <w:szCs w:val="24"/>
                <w:lang w:val="en-US" w:eastAsia="zh-CN" w:bidi="en-US"/>
              </w:rPr>
            </w:pPr>
            <w:r>
              <w:rPr>
                <w:rFonts w:hint="eastAsia" w:ascii="Times New Roman" w:hAnsi="Times New Roman" w:cs="Times New Roman"/>
                <w:b/>
                <w:bCs/>
                <w:color w:val="auto"/>
                <w:sz w:val="24"/>
                <w:szCs w:val="24"/>
                <w:lang w:val="en-US" w:eastAsia="zh-CN" w:bidi="en-US"/>
              </w:rPr>
              <w:t>5</w:t>
            </w:r>
            <w:r>
              <w:rPr>
                <w:rFonts w:ascii="Times New Roman" w:hAnsi="Times New Roman" w:cs="Times New Roman"/>
                <w:b/>
                <w:bCs/>
                <w:color w:val="auto"/>
                <w:sz w:val="24"/>
                <w:szCs w:val="24"/>
                <w:lang w:val="en-US" w:eastAsia="zh-CN" w:bidi="en-US"/>
              </w:rPr>
              <w:t>、废水监测要求</w:t>
            </w:r>
          </w:p>
          <w:p w14:paraId="19AEE1E5">
            <w:pPr>
              <w:pStyle w:val="55"/>
              <w:spacing w:line="360" w:lineRule="auto"/>
              <w:ind w:firstLine="480"/>
              <w:rPr>
                <w:color w:val="auto"/>
                <w:szCs w:val="24"/>
                <w:lang w:val="en-US" w:bidi="en-US"/>
              </w:rPr>
            </w:pPr>
            <w:r>
              <w:rPr>
                <w:rFonts w:hint="eastAsia"/>
                <w:color w:val="auto"/>
                <w:lang w:val="en-US" w:eastAsia="zh-CN" w:bidi="en-US"/>
              </w:rPr>
              <w:t>本项目无废水排放，故不设置废水监测计划</w:t>
            </w:r>
            <w:r>
              <w:rPr>
                <w:color w:val="auto"/>
                <w:lang w:bidi="en-US"/>
              </w:rPr>
              <w:t>。</w:t>
            </w:r>
          </w:p>
          <w:p w14:paraId="29942041">
            <w:pPr>
              <w:spacing w:line="360" w:lineRule="auto"/>
              <w:ind w:firstLine="482"/>
              <w:rPr>
                <w:b/>
                <w:bCs/>
                <w:sz w:val="24"/>
              </w:rPr>
            </w:pPr>
            <w:r>
              <w:rPr>
                <w:rFonts w:hint="eastAsia"/>
                <w:b/>
                <w:bCs/>
                <w:sz w:val="24"/>
                <w:lang w:val="en-US" w:eastAsia="zh-CN"/>
              </w:rPr>
              <w:t>三</w:t>
            </w:r>
            <w:r>
              <w:rPr>
                <w:b/>
                <w:bCs/>
                <w:sz w:val="24"/>
              </w:rPr>
              <w:t>、噪声</w:t>
            </w:r>
          </w:p>
          <w:p w14:paraId="3F87A9D0">
            <w:pPr>
              <w:pStyle w:val="58"/>
              <w:adjustRightInd w:val="0"/>
              <w:snapToGrid w:val="0"/>
              <w:ind w:firstLine="482"/>
              <w:rPr>
                <w:b/>
                <w:bCs/>
                <w:szCs w:val="24"/>
              </w:rPr>
            </w:pPr>
            <w:r>
              <w:rPr>
                <w:rFonts w:hint="eastAsia"/>
                <w:b/>
                <w:bCs/>
                <w:szCs w:val="24"/>
                <w:lang w:val="en-US" w:eastAsia="zh-CN"/>
              </w:rPr>
              <w:t>1</w:t>
            </w:r>
            <w:r>
              <w:rPr>
                <w:rFonts w:hint="eastAsia"/>
                <w:b/>
                <w:bCs/>
                <w:szCs w:val="24"/>
                <w:lang w:eastAsia="zh-CN"/>
              </w:rPr>
              <w:t>、</w:t>
            </w:r>
            <w:r>
              <w:rPr>
                <w:b/>
                <w:bCs/>
                <w:szCs w:val="24"/>
              </w:rPr>
              <w:t>噪声污染源情况</w:t>
            </w:r>
          </w:p>
          <w:p w14:paraId="7EDF545A">
            <w:pPr>
              <w:spacing w:line="360" w:lineRule="auto"/>
              <w:ind w:firstLine="480"/>
              <w:jc w:val="left"/>
              <w:rPr>
                <w:rFonts w:hint="default"/>
                <w:color w:val="auto"/>
                <w:sz w:val="24"/>
                <w:lang w:val="en-US"/>
              </w:rPr>
            </w:pPr>
            <w:r>
              <w:rPr>
                <w:color w:val="auto"/>
                <w:sz w:val="24"/>
              </w:rPr>
              <w:t>本项目</w:t>
            </w:r>
            <w:r>
              <w:rPr>
                <w:rFonts w:hint="eastAsia"/>
                <w:color w:val="auto"/>
                <w:sz w:val="24"/>
                <w:lang w:val="en-US" w:eastAsia="zh-CN"/>
              </w:rPr>
              <w:t>为锅炉技改项目，</w:t>
            </w:r>
            <w:r>
              <w:rPr>
                <w:rFonts w:hint="eastAsia" w:cs="Times New Roman"/>
                <w:color w:val="auto"/>
                <w:sz w:val="24"/>
                <w:szCs w:val="24"/>
                <w:lang w:val="en-US" w:eastAsia="zh-CN"/>
              </w:rPr>
              <w:t>在</w:t>
            </w:r>
            <w:r>
              <w:rPr>
                <w:rFonts w:hint="eastAsia" w:ascii="Times New Roman" w:hAnsi="Times New Roman" w:eastAsia="宋体" w:cs="Times New Roman"/>
                <w:color w:val="auto"/>
                <w:sz w:val="24"/>
                <w:szCs w:val="24"/>
                <w:lang w:val="en-US" w:eastAsia="zh-CN"/>
              </w:rPr>
              <w:t>原有一台6t/h生物质锅炉基础上申请增加一台6t/h生物质锅炉</w:t>
            </w:r>
            <w:r>
              <w:rPr>
                <w:rFonts w:hint="eastAsia" w:cs="Times New Roman"/>
                <w:color w:val="auto"/>
                <w:sz w:val="24"/>
                <w:szCs w:val="24"/>
                <w:lang w:val="en-US" w:eastAsia="zh-CN"/>
              </w:rPr>
              <w:t>及其配套设施，原有锅炉作</w:t>
            </w:r>
            <w:r>
              <w:rPr>
                <w:rFonts w:hint="eastAsia" w:ascii="Times New Roman" w:hAnsi="Times New Roman" w:eastAsia="宋体" w:cs="Times New Roman"/>
                <w:color w:val="auto"/>
                <w:sz w:val="24"/>
                <w:szCs w:val="24"/>
                <w:lang w:val="en-US" w:eastAsia="zh-CN"/>
              </w:rPr>
              <w:t>为</w:t>
            </w:r>
            <w:r>
              <w:rPr>
                <w:rFonts w:hint="eastAsia" w:cs="Times New Roman"/>
                <w:color w:val="auto"/>
                <w:sz w:val="24"/>
                <w:szCs w:val="24"/>
                <w:lang w:val="en-US" w:eastAsia="zh-CN"/>
              </w:rPr>
              <w:t>备用锅炉使用，此外不新增其它设备。</w:t>
            </w:r>
          </w:p>
          <w:p w14:paraId="5865672A">
            <w:pPr>
              <w:spacing w:line="360" w:lineRule="auto"/>
              <w:ind w:firstLine="480"/>
              <w:jc w:val="left"/>
              <w:rPr>
                <w:color w:val="auto"/>
                <w:sz w:val="24"/>
              </w:rPr>
            </w:pPr>
            <w:r>
              <w:rPr>
                <w:rFonts w:hint="eastAsia"/>
                <w:color w:val="auto"/>
                <w:sz w:val="24"/>
                <w:lang w:val="en-US" w:eastAsia="zh-CN"/>
              </w:rPr>
              <w:t>室内</w:t>
            </w:r>
            <w:r>
              <w:rPr>
                <w:color w:val="auto"/>
                <w:sz w:val="24"/>
              </w:rPr>
              <w:t>噪声源主要为</w:t>
            </w:r>
            <w:r>
              <w:rPr>
                <w:rFonts w:hint="eastAsia"/>
                <w:bCs/>
                <w:color w:val="auto"/>
                <w:sz w:val="24"/>
                <w:lang w:val="en-US" w:eastAsia="zh-CN"/>
              </w:rPr>
              <w:t>一台</w:t>
            </w:r>
            <w:r>
              <w:rPr>
                <w:rFonts w:hint="eastAsia" w:ascii="Times New Roman" w:hAnsi="Times New Roman" w:eastAsia="宋体" w:cs="Times New Roman"/>
                <w:color w:val="auto"/>
                <w:sz w:val="24"/>
                <w:szCs w:val="24"/>
                <w:lang w:val="en-US" w:eastAsia="zh-CN"/>
              </w:rPr>
              <w:t>6t/h生物质锅炉</w:t>
            </w:r>
            <w:r>
              <w:rPr>
                <w:rFonts w:hint="eastAsia" w:cs="Times New Roman"/>
                <w:color w:val="auto"/>
                <w:sz w:val="24"/>
                <w:szCs w:val="24"/>
                <w:lang w:val="en-US" w:eastAsia="zh-CN"/>
              </w:rPr>
              <w:t>和一台鼓风机</w:t>
            </w:r>
            <w:r>
              <w:rPr>
                <w:rFonts w:hint="eastAsia" w:ascii="Times New Roman" w:hAnsi="Times New Roman" w:eastAsia="宋体" w:cs="Times New Roman"/>
                <w:color w:val="auto"/>
                <w:sz w:val="24"/>
                <w:szCs w:val="24"/>
                <w:lang w:val="en-US" w:eastAsia="zh-CN"/>
              </w:rPr>
              <w:t>，</w:t>
            </w:r>
            <w:r>
              <w:rPr>
                <w:rFonts w:hint="eastAsia" w:cs="Times New Roman"/>
                <w:color w:val="auto"/>
                <w:sz w:val="24"/>
                <w:szCs w:val="24"/>
                <w:lang w:val="en-US" w:eastAsia="zh-CN"/>
              </w:rPr>
              <w:t>室外噪声源主要为一台引风机、</w:t>
            </w:r>
            <w:r>
              <w:rPr>
                <w:rFonts w:hint="eastAsia" w:cs="Times New Roman"/>
                <w:color w:val="FF0000"/>
                <w:sz w:val="24"/>
                <w:szCs w:val="24"/>
                <w:lang w:val="en-US" w:eastAsia="zh-CN"/>
              </w:rPr>
              <w:t>一台空压机（主要用于为布袋提供压缩空气），</w:t>
            </w:r>
            <w:r>
              <w:rPr>
                <w:color w:val="auto"/>
                <w:sz w:val="24"/>
              </w:rPr>
              <w:t>其等效声级值范围</w:t>
            </w:r>
            <w:r>
              <w:rPr>
                <w:rFonts w:hint="eastAsia"/>
                <w:color w:val="auto"/>
                <w:sz w:val="24"/>
                <w:lang w:val="en-US" w:eastAsia="zh-CN"/>
              </w:rPr>
              <w:t>80</w:t>
            </w:r>
            <w:r>
              <w:rPr>
                <w:color w:val="auto"/>
                <w:sz w:val="24"/>
              </w:rPr>
              <w:t>~</w:t>
            </w:r>
            <w:r>
              <w:rPr>
                <w:rFonts w:hint="eastAsia"/>
                <w:color w:val="auto"/>
                <w:sz w:val="24"/>
                <w:lang w:val="en-US" w:eastAsia="zh-CN"/>
              </w:rPr>
              <w:t>8</w:t>
            </w:r>
            <w:r>
              <w:rPr>
                <w:rFonts w:hint="eastAsia"/>
                <w:color w:val="auto"/>
                <w:sz w:val="24"/>
              </w:rPr>
              <w:t>5</w:t>
            </w:r>
            <w:r>
              <w:rPr>
                <w:color w:val="auto"/>
                <w:sz w:val="24"/>
              </w:rPr>
              <w:t>dB（A）。通过对所用高噪声设备进行基础减振、以及合理布置噪声源等有效降噪措施后，噪声源强在</w:t>
            </w:r>
            <w:r>
              <w:rPr>
                <w:rFonts w:hint="eastAsia"/>
                <w:color w:val="auto"/>
                <w:sz w:val="24"/>
                <w:lang w:val="en-US" w:eastAsia="zh-CN"/>
              </w:rPr>
              <w:t>30</w:t>
            </w:r>
            <w:r>
              <w:rPr>
                <w:sz w:val="24"/>
              </w:rPr>
              <w:t>-</w:t>
            </w:r>
            <w:r>
              <w:rPr>
                <w:rFonts w:hint="eastAsia"/>
                <w:sz w:val="24"/>
                <w:lang w:val="en-US" w:eastAsia="zh-CN"/>
              </w:rPr>
              <w:t>46</w:t>
            </w:r>
            <w:r>
              <w:rPr>
                <w:color w:val="auto"/>
                <w:sz w:val="24"/>
              </w:rPr>
              <w:t>dB（A）。</w:t>
            </w:r>
          </w:p>
          <w:p w14:paraId="13371AC4">
            <w:pPr>
              <w:spacing w:line="360" w:lineRule="auto"/>
              <w:ind w:firstLine="480"/>
              <w:jc w:val="left"/>
              <w:rPr>
                <w:color w:val="auto"/>
                <w:sz w:val="24"/>
              </w:rPr>
            </w:pPr>
            <w:r>
              <w:rPr>
                <w:rFonts w:hint="eastAsia"/>
                <w:color w:val="auto"/>
                <w:sz w:val="24"/>
                <w:lang w:val="en-US" w:eastAsia="zh-CN"/>
              </w:rPr>
              <w:t>本项目</w:t>
            </w:r>
            <w:r>
              <w:rPr>
                <w:color w:val="auto"/>
                <w:sz w:val="24"/>
              </w:rPr>
              <w:t>主要噪声源分布及相关参数见表4-</w:t>
            </w:r>
            <w:r>
              <w:rPr>
                <w:rFonts w:hint="eastAsia"/>
                <w:color w:val="auto"/>
                <w:sz w:val="24"/>
                <w:lang w:val="en-US" w:eastAsia="zh-CN"/>
              </w:rPr>
              <w:t>6</w:t>
            </w:r>
            <w:r>
              <w:rPr>
                <w:color w:val="auto"/>
                <w:sz w:val="24"/>
              </w:rPr>
              <w:t>；本次以</w:t>
            </w:r>
            <w:r>
              <w:rPr>
                <w:rFonts w:hint="eastAsia"/>
                <w:color w:val="auto"/>
                <w:sz w:val="24"/>
                <w:lang w:val="en-US" w:eastAsia="zh-CN"/>
              </w:rPr>
              <w:t>所依托锅炉房中心点</w:t>
            </w:r>
            <w:r>
              <w:rPr>
                <w:color w:val="auto"/>
                <w:sz w:val="24"/>
              </w:rPr>
              <w:t>为坐标原点</w:t>
            </w:r>
            <w:r>
              <w:rPr>
                <w:rFonts w:hint="eastAsia"/>
                <w:color w:val="auto"/>
                <w:sz w:val="24"/>
                <w:lang w:eastAsia="zh-CN"/>
              </w:rPr>
              <w:t>（</w:t>
            </w:r>
            <w:r>
              <w:rPr>
                <w:rFonts w:hint="default" w:ascii="Times New Roman" w:hAnsi="Times New Roman" w:eastAsia="宋体" w:cs="Times New Roman"/>
                <w:b w:val="0"/>
                <w:bCs w:val="0"/>
                <w:color w:val="auto"/>
                <w:sz w:val="24"/>
                <w:szCs w:val="24"/>
              </w:rPr>
              <w:t>E115°30′15.915″N28°8′46.666″</w:t>
            </w:r>
            <w:r>
              <w:rPr>
                <w:rFonts w:hint="eastAsia"/>
                <w:color w:val="auto"/>
                <w:sz w:val="24"/>
                <w:lang w:eastAsia="zh-CN"/>
              </w:rPr>
              <w:t>）</w:t>
            </w:r>
            <w:r>
              <w:rPr>
                <w:color w:val="auto"/>
                <w:sz w:val="24"/>
              </w:rPr>
              <w:t>，厂界东侧围墙为X轴正方向，沿厂界北侧围墙为Y轴正方向。</w:t>
            </w:r>
          </w:p>
          <w:p w14:paraId="24428D81">
            <w:pPr>
              <w:adjustRightInd w:val="0"/>
              <w:snapToGrid w:val="0"/>
              <w:spacing w:line="360" w:lineRule="auto"/>
              <w:jc w:val="center"/>
              <w:rPr>
                <w:b/>
                <w:bCs/>
                <w:sz w:val="24"/>
              </w:rPr>
            </w:pPr>
            <w:r>
              <w:rPr>
                <w:b/>
                <w:bCs/>
                <w:sz w:val="24"/>
                <w:lang w:val="en-GB"/>
              </w:rPr>
              <w:t>表4-</w:t>
            </w:r>
            <w:r>
              <w:rPr>
                <w:rFonts w:hint="eastAsia"/>
                <w:b/>
                <w:bCs/>
                <w:sz w:val="24"/>
                <w:lang w:val="en-US" w:eastAsia="zh-CN"/>
              </w:rPr>
              <w:t>6</w:t>
            </w:r>
            <w:r>
              <w:rPr>
                <w:b/>
                <w:bCs/>
                <w:sz w:val="24"/>
              </w:rPr>
              <w:t xml:space="preserve">  </w:t>
            </w:r>
            <w:r>
              <w:rPr>
                <w:b/>
                <w:bCs/>
                <w:color w:val="000000"/>
                <w:sz w:val="24"/>
              </w:rPr>
              <w:t>项目主要噪声源强调查清单</w:t>
            </w:r>
            <w:r>
              <w:rPr>
                <w:b/>
                <w:bCs/>
                <w:kern w:val="0"/>
                <w:sz w:val="24"/>
              </w:rPr>
              <w:t>（室内声源）</w:t>
            </w:r>
          </w:p>
          <w:p w14:paraId="13990540">
            <w:pPr>
              <w:pStyle w:val="7"/>
              <w:ind w:firstLine="0" w:firstLineChars="0"/>
            </w:pPr>
          </w:p>
          <w:p w14:paraId="0B39B3DC">
            <w:pPr>
              <w:pStyle w:val="58"/>
              <w:adjustRightInd w:val="0"/>
              <w:snapToGrid w:val="0"/>
              <w:ind w:firstLine="480"/>
            </w:pPr>
          </w:p>
        </w:tc>
      </w:tr>
    </w:tbl>
    <w:p w14:paraId="506F3CB0">
      <w:pPr>
        <w:spacing w:line="360" w:lineRule="auto"/>
        <w:ind w:firstLine="482"/>
        <w:rPr>
          <w:b/>
          <w:bCs/>
          <w:sz w:val="24"/>
        </w:rPr>
        <w:sectPr>
          <w:pgSz w:w="11907" w:h="16840"/>
          <w:pgMar w:top="1701" w:right="1531" w:bottom="2127" w:left="1531" w:header="851" w:footer="851" w:gutter="0"/>
          <w:pgBorders>
            <w:top w:val="none" w:sz="0" w:space="0"/>
            <w:left w:val="none" w:sz="0" w:space="0"/>
            <w:bottom w:val="none" w:sz="0" w:space="0"/>
            <w:right w:val="none" w:sz="0" w:space="0"/>
          </w:pgBorders>
          <w:pgNumType w:fmt="decimal"/>
          <w:cols w:space="720" w:num="1"/>
          <w:docGrid w:linePitch="312" w:charSpace="0"/>
        </w:sectPr>
      </w:pPr>
    </w:p>
    <w:tbl>
      <w:tblPr>
        <w:tblStyle w:val="27"/>
        <w:tblW w:w="130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4"/>
        <w:gridCol w:w="12685"/>
      </w:tblGrid>
      <w:tr w14:paraId="09706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6" w:hRule="atLeast"/>
          <w:jc w:val="center"/>
        </w:trPr>
        <w:tc>
          <w:tcPr>
            <w:tcW w:w="414" w:type="dxa"/>
            <w:vAlign w:val="center"/>
          </w:tcPr>
          <w:p w14:paraId="47CB9D32">
            <w:pPr>
              <w:spacing w:line="360" w:lineRule="auto"/>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运营</w:t>
            </w:r>
          </w:p>
          <w:p w14:paraId="6962DB72">
            <w:pPr>
              <w:spacing w:line="360" w:lineRule="auto"/>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期环</w:t>
            </w:r>
          </w:p>
          <w:p w14:paraId="31FFB870">
            <w:pPr>
              <w:spacing w:line="360" w:lineRule="auto"/>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境影</w:t>
            </w:r>
          </w:p>
          <w:p w14:paraId="188A170A">
            <w:pPr>
              <w:spacing w:line="360" w:lineRule="auto"/>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响和</w:t>
            </w:r>
          </w:p>
          <w:p w14:paraId="7665952C">
            <w:pPr>
              <w:spacing w:line="360" w:lineRule="auto"/>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保护</w:t>
            </w:r>
          </w:p>
          <w:p w14:paraId="16FF10EE">
            <w:pPr>
              <w:spacing w:line="360" w:lineRule="auto"/>
              <w:jc w:val="center"/>
              <w:rPr>
                <w:rFonts w:hint="default" w:ascii="Times New Roman" w:hAnsi="Times New Roman" w:eastAsia="宋体" w:cs="Times New Roman"/>
                <w:snapToGrid w:val="0"/>
                <w:color w:val="auto"/>
                <w:sz w:val="30"/>
                <w:szCs w:val="30"/>
              </w:rPr>
            </w:pPr>
            <w:r>
              <w:rPr>
                <w:rFonts w:hint="default" w:ascii="Times New Roman" w:hAnsi="Times New Roman" w:eastAsia="宋体" w:cs="Times New Roman"/>
                <w:b/>
                <w:bCs/>
                <w:color w:val="auto"/>
                <w:szCs w:val="21"/>
              </w:rPr>
              <w:t>措施</w:t>
            </w:r>
          </w:p>
        </w:tc>
        <w:tc>
          <w:tcPr>
            <w:tcW w:w="12685" w:type="dxa"/>
          </w:tcPr>
          <w:tbl>
            <w:tblPr>
              <w:tblStyle w:val="2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5"/>
              <w:gridCol w:w="581"/>
              <w:gridCol w:w="524"/>
              <w:gridCol w:w="616"/>
              <w:gridCol w:w="564"/>
              <w:gridCol w:w="601"/>
              <w:gridCol w:w="447"/>
              <w:gridCol w:w="447"/>
              <w:gridCol w:w="447"/>
              <w:gridCol w:w="384"/>
              <w:gridCol w:w="447"/>
              <w:gridCol w:w="447"/>
              <w:gridCol w:w="447"/>
              <w:gridCol w:w="454"/>
              <w:gridCol w:w="514"/>
              <w:gridCol w:w="514"/>
              <w:gridCol w:w="514"/>
              <w:gridCol w:w="519"/>
              <w:gridCol w:w="549"/>
              <w:gridCol w:w="601"/>
              <w:gridCol w:w="514"/>
              <w:gridCol w:w="514"/>
              <w:gridCol w:w="514"/>
              <w:gridCol w:w="516"/>
              <w:gridCol w:w="369"/>
            </w:tblGrid>
            <w:tr w14:paraId="68259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 w:type="pct"/>
                  <w:vMerge w:val="restart"/>
                  <w:vAlign w:val="center"/>
                </w:tcPr>
                <w:p w14:paraId="6B073A35">
                  <w:pPr>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序号</w:t>
                  </w:r>
                </w:p>
              </w:tc>
              <w:tc>
                <w:tcPr>
                  <w:tcW w:w="233" w:type="pct"/>
                  <w:vMerge w:val="restart"/>
                  <w:vAlign w:val="center"/>
                </w:tcPr>
                <w:p w14:paraId="64D18B1A">
                  <w:pPr>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建筑物名称</w:t>
                  </w:r>
                </w:p>
              </w:tc>
              <w:tc>
                <w:tcPr>
                  <w:tcW w:w="210" w:type="pct"/>
                  <w:vMerge w:val="restart"/>
                  <w:vAlign w:val="center"/>
                </w:tcPr>
                <w:p w14:paraId="22713DB1">
                  <w:pPr>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声源名称</w:t>
                  </w:r>
                </w:p>
              </w:tc>
              <w:tc>
                <w:tcPr>
                  <w:tcW w:w="247" w:type="pct"/>
                  <w:vMerge w:val="restart"/>
                  <w:vAlign w:val="center"/>
                </w:tcPr>
                <w:p w14:paraId="29305E12">
                  <w:pPr>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数量（台）</w:t>
                  </w:r>
                </w:p>
              </w:tc>
              <w:tc>
                <w:tcPr>
                  <w:tcW w:w="226" w:type="pct"/>
                  <w:vMerge w:val="restart"/>
                  <w:vAlign w:val="center"/>
                </w:tcPr>
                <w:p w14:paraId="0E663586">
                  <w:pPr>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单台声功率级dB(A)</w:t>
                  </w:r>
                </w:p>
              </w:tc>
              <w:tc>
                <w:tcPr>
                  <w:tcW w:w="241" w:type="pct"/>
                  <w:vMerge w:val="restart"/>
                  <w:vAlign w:val="center"/>
                </w:tcPr>
                <w:p w14:paraId="3914C785">
                  <w:pPr>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叠加后声功率级/dB(A)</w:t>
                  </w:r>
                </w:p>
              </w:tc>
              <w:tc>
                <w:tcPr>
                  <w:tcW w:w="179" w:type="pct"/>
                  <w:vMerge w:val="restart"/>
                  <w:vAlign w:val="center"/>
                </w:tcPr>
                <w:p w14:paraId="68964329">
                  <w:pPr>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声源控制措施</w:t>
                  </w:r>
                </w:p>
              </w:tc>
              <w:tc>
                <w:tcPr>
                  <w:tcW w:w="512" w:type="pct"/>
                  <w:gridSpan w:val="3"/>
                  <w:vAlign w:val="center"/>
                </w:tcPr>
                <w:p w14:paraId="389548F5">
                  <w:pPr>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空间相对位置/m</w:t>
                  </w:r>
                </w:p>
              </w:tc>
              <w:tc>
                <w:tcPr>
                  <w:tcW w:w="720" w:type="pct"/>
                  <w:gridSpan w:val="4"/>
                  <w:vAlign w:val="center"/>
                </w:tcPr>
                <w:p w14:paraId="583F2AF0">
                  <w:pPr>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距室内边界距离/m</w:t>
                  </w:r>
                </w:p>
              </w:tc>
              <w:tc>
                <w:tcPr>
                  <w:tcW w:w="827" w:type="pct"/>
                  <w:gridSpan w:val="4"/>
                  <w:vAlign w:val="center"/>
                </w:tcPr>
                <w:p w14:paraId="4B20C632">
                  <w:pPr>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室内边界声级/dB(A)</w:t>
                  </w:r>
                </w:p>
              </w:tc>
              <w:tc>
                <w:tcPr>
                  <w:tcW w:w="220" w:type="pct"/>
                  <w:vMerge w:val="restart"/>
                  <w:vAlign w:val="center"/>
                </w:tcPr>
                <w:p w14:paraId="66ED3DED">
                  <w:pPr>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运行时段</w:t>
                  </w:r>
                </w:p>
              </w:tc>
              <w:tc>
                <w:tcPr>
                  <w:tcW w:w="241" w:type="pct"/>
                  <w:vMerge w:val="restart"/>
                  <w:vAlign w:val="center"/>
                </w:tcPr>
                <w:p w14:paraId="3A1F20A5">
                  <w:pPr>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建筑物插入损失/dB(A)</w:t>
                  </w:r>
                </w:p>
              </w:tc>
              <w:tc>
                <w:tcPr>
                  <w:tcW w:w="973" w:type="pct"/>
                  <w:gridSpan w:val="5"/>
                  <w:vAlign w:val="center"/>
                </w:tcPr>
                <w:p w14:paraId="15E2F07D">
                  <w:pPr>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建筑物外噪声声压级/dB(A)</w:t>
                  </w:r>
                </w:p>
              </w:tc>
            </w:tr>
            <w:tr w14:paraId="2A26E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 w:type="pct"/>
                  <w:vMerge w:val="continue"/>
                  <w:vAlign w:val="center"/>
                </w:tcPr>
                <w:p w14:paraId="4F1A0BE3">
                  <w:pPr>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zCs w:val="21"/>
                    </w:rPr>
                  </w:pPr>
                </w:p>
              </w:tc>
              <w:tc>
                <w:tcPr>
                  <w:tcW w:w="233" w:type="pct"/>
                  <w:vMerge w:val="continue"/>
                  <w:vAlign w:val="center"/>
                </w:tcPr>
                <w:p w14:paraId="34B64217">
                  <w:pPr>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zCs w:val="21"/>
                    </w:rPr>
                  </w:pPr>
                </w:p>
              </w:tc>
              <w:tc>
                <w:tcPr>
                  <w:tcW w:w="210" w:type="pct"/>
                  <w:vMerge w:val="continue"/>
                  <w:vAlign w:val="center"/>
                </w:tcPr>
                <w:p w14:paraId="0E3357C1">
                  <w:pPr>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zCs w:val="21"/>
                    </w:rPr>
                  </w:pPr>
                </w:p>
              </w:tc>
              <w:tc>
                <w:tcPr>
                  <w:tcW w:w="247" w:type="pct"/>
                  <w:vMerge w:val="continue"/>
                  <w:vAlign w:val="center"/>
                </w:tcPr>
                <w:p w14:paraId="42DD9849">
                  <w:pPr>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zCs w:val="21"/>
                    </w:rPr>
                  </w:pPr>
                </w:p>
              </w:tc>
              <w:tc>
                <w:tcPr>
                  <w:tcW w:w="226" w:type="pct"/>
                  <w:vMerge w:val="continue"/>
                  <w:vAlign w:val="center"/>
                </w:tcPr>
                <w:p w14:paraId="31503222">
                  <w:pPr>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zCs w:val="21"/>
                    </w:rPr>
                  </w:pPr>
                </w:p>
              </w:tc>
              <w:tc>
                <w:tcPr>
                  <w:tcW w:w="241" w:type="pct"/>
                  <w:vMerge w:val="continue"/>
                  <w:vAlign w:val="center"/>
                </w:tcPr>
                <w:p w14:paraId="6E87FA80">
                  <w:pPr>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zCs w:val="21"/>
                    </w:rPr>
                  </w:pPr>
                </w:p>
              </w:tc>
              <w:tc>
                <w:tcPr>
                  <w:tcW w:w="179" w:type="pct"/>
                  <w:vMerge w:val="continue"/>
                  <w:vAlign w:val="center"/>
                </w:tcPr>
                <w:p w14:paraId="27D38B0C">
                  <w:pPr>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zCs w:val="21"/>
                    </w:rPr>
                  </w:pPr>
                </w:p>
              </w:tc>
              <w:tc>
                <w:tcPr>
                  <w:tcW w:w="179" w:type="pct"/>
                  <w:vAlign w:val="center"/>
                </w:tcPr>
                <w:p w14:paraId="7D3C62E4">
                  <w:pPr>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X</w:t>
                  </w:r>
                </w:p>
              </w:tc>
              <w:tc>
                <w:tcPr>
                  <w:tcW w:w="179" w:type="pct"/>
                  <w:vAlign w:val="center"/>
                </w:tcPr>
                <w:p w14:paraId="6605F502">
                  <w:pPr>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Y</w:t>
                  </w:r>
                </w:p>
              </w:tc>
              <w:tc>
                <w:tcPr>
                  <w:tcW w:w="154" w:type="pct"/>
                  <w:vAlign w:val="center"/>
                </w:tcPr>
                <w:p w14:paraId="74D64FAB">
                  <w:pPr>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Z</w:t>
                  </w:r>
                </w:p>
              </w:tc>
              <w:tc>
                <w:tcPr>
                  <w:tcW w:w="179" w:type="pct"/>
                  <w:vAlign w:val="center"/>
                </w:tcPr>
                <w:p w14:paraId="5224E46C">
                  <w:pPr>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东</w:t>
                  </w:r>
                </w:p>
              </w:tc>
              <w:tc>
                <w:tcPr>
                  <w:tcW w:w="179" w:type="pct"/>
                  <w:vAlign w:val="center"/>
                </w:tcPr>
                <w:p w14:paraId="49C805B5">
                  <w:pPr>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南</w:t>
                  </w:r>
                </w:p>
              </w:tc>
              <w:tc>
                <w:tcPr>
                  <w:tcW w:w="179" w:type="pct"/>
                  <w:vAlign w:val="center"/>
                </w:tcPr>
                <w:p w14:paraId="21D1CAC6">
                  <w:pPr>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西</w:t>
                  </w:r>
                </w:p>
              </w:tc>
              <w:tc>
                <w:tcPr>
                  <w:tcW w:w="182" w:type="pct"/>
                  <w:vAlign w:val="center"/>
                </w:tcPr>
                <w:p w14:paraId="4F30D80E">
                  <w:pPr>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北</w:t>
                  </w:r>
                </w:p>
              </w:tc>
              <w:tc>
                <w:tcPr>
                  <w:tcW w:w="206" w:type="pct"/>
                  <w:vAlign w:val="center"/>
                </w:tcPr>
                <w:p w14:paraId="79C207C1">
                  <w:pPr>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zCs w:val="21"/>
                      <w:lang w:bidi="ar"/>
                    </w:rPr>
                  </w:pPr>
                  <w:r>
                    <w:rPr>
                      <w:rFonts w:hint="default" w:ascii="Times New Roman" w:hAnsi="Times New Roman" w:eastAsia="宋体" w:cs="Times New Roman"/>
                      <w:b/>
                      <w:bCs/>
                      <w:color w:val="auto"/>
                      <w:szCs w:val="21"/>
                      <w:lang w:bidi="ar"/>
                    </w:rPr>
                    <w:t>东</w:t>
                  </w:r>
                </w:p>
              </w:tc>
              <w:tc>
                <w:tcPr>
                  <w:tcW w:w="206" w:type="pct"/>
                  <w:vAlign w:val="center"/>
                </w:tcPr>
                <w:p w14:paraId="36A8F13D">
                  <w:pPr>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zCs w:val="21"/>
                      <w:lang w:bidi="ar"/>
                    </w:rPr>
                  </w:pPr>
                  <w:r>
                    <w:rPr>
                      <w:rFonts w:hint="default" w:ascii="Times New Roman" w:hAnsi="Times New Roman" w:eastAsia="宋体" w:cs="Times New Roman"/>
                      <w:b/>
                      <w:bCs/>
                      <w:color w:val="auto"/>
                      <w:szCs w:val="21"/>
                      <w:lang w:bidi="ar"/>
                    </w:rPr>
                    <w:t>南</w:t>
                  </w:r>
                </w:p>
              </w:tc>
              <w:tc>
                <w:tcPr>
                  <w:tcW w:w="206" w:type="pct"/>
                  <w:vAlign w:val="center"/>
                </w:tcPr>
                <w:p w14:paraId="414149C3">
                  <w:pPr>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zCs w:val="21"/>
                      <w:lang w:bidi="ar"/>
                    </w:rPr>
                  </w:pPr>
                  <w:r>
                    <w:rPr>
                      <w:rFonts w:hint="default" w:ascii="Times New Roman" w:hAnsi="Times New Roman" w:eastAsia="宋体" w:cs="Times New Roman"/>
                      <w:b/>
                      <w:bCs/>
                      <w:color w:val="auto"/>
                      <w:szCs w:val="21"/>
                      <w:lang w:bidi="ar"/>
                    </w:rPr>
                    <w:t>西</w:t>
                  </w:r>
                </w:p>
              </w:tc>
              <w:tc>
                <w:tcPr>
                  <w:tcW w:w="208" w:type="pct"/>
                  <w:vAlign w:val="center"/>
                </w:tcPr>
                <w:p w14:paraId="09934976">
                  <w:pPr>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zCs w:val="21"/>
                      <w:lang w:bidi="ar"/>
                    </w:rPr>
                  </w:pPr>
                  <w:r>
                    <w:rPr>
                      <w:rFonts w:hint="default" w:ascii="Times New Roman" w:hAnsi="Times New Roman" w:eastAsia="宋体" w:cs="Times New Roman"/>
                      <w:b/>
                      <w:bCs/>
                      <w:color w:val="auto"/>
                      <w:szCs w:val="21"/>
                      <w:lang w:bidi="ar"/>
                    </w:rPr>
                    <w:t>北</w:t>
                  </w:r>
                </w:p>
              </w:tc>
              <w:tc>
                <w:tcPr>
                  <w:tcW w:w="220" w:type="pct"/>
                  <w:vMerge w:val="continue"/>
                  <w:vAlign w:val="center"/>
                </w:tcPr>
                <w:p w14:paraId="6BC454D6">
                  <w:pPr>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zCs w:val="21"/>
                    </w:rPr>
                  </w:pPr>
                </w:p>
              </w:tc>
              <w:tc>
                <w:tcPr>
                  <w:tcW w:w="241" w:type="pct"/>
                  <w:vMerge w:val="continue"/>
                  <w:vAlign w:val="center"/>
                </w:tcPr>
                <w:p w14:paraId="1F74481C">
                  <w:pPr>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zCs w:val="21"/>
                    </w:rPr>
                  </w:pPr>
                </w:p>
              </w:tc>
              <w:tc>
                <w:tcPr>
                  <w:tcW w:w="206" w:type="pct"/>
                  <w:vAlign w:val="center"/>
                </w:tcPr>
                <w:p w14:paraId="1BB26328">
                  <w:pPr>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lang w:bidi="ar"/>
                    </w:rPr>
                    <w:t>东</w:t>
                  </w:r>
                </w:p>
              </w:tc>
              <w:tc>
                <w:tcPr>
                  <w:tcW w:w="206" w:type="pct"/>
                  <w:vAlign w:val="center"/>
                </w:tcPr>
                <w:p w14:paraId="384FD070">
                  <w:pPr>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lang w:bidi="ar"/>
                    </w:rPr>
                    <w:t>南</w:t>
                  </w:r>
                </w:p>
              </w:tc>
              <w:tc>
                <w:tcPr>
                  <w:tcW w:w="206" w:type="pct"/>
                  <w:vAlign w:val="center"/>
                </w:tcPr>
                <w:p w14:paraId="78CC77A3">
                  <w:pPr>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lang w:bidi="ar"/>
                    </w:rPr>
                    <w:t>西</w:t>
                  </w:r>
                </w:p>
              </w:tc>
              <w:tc>
                <w:tcPr>
                  <w:tcW w:w="207" w:type="pct"/>
                  <w:vAlign w:val="center"/>
                </w:tcPr>
                <w:p w14:paraId="20F18B7A">
                  <w:pPr>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lang w:bidi="ar"/>
                    </w:rPr>
                    <w:t>北</w:t>
                  </w:r>
                </w:p>
              </w:tc>
              <w:tc>
                <w:tcPr>
                  <w:tcW w:w="148" w:type="pct"/>
                  <w:vAlign w:val="center"/>
                </w:tcPr>
                <w:p w14:paraId="15B27C8B">
                  <w:pPr>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建筑物外距离/m</w:t>
                  </w:r>
                </w:p>
              </w:tc>
            </w:tr>
            <w:tr w14:paraId="4D516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 w:type="pct"/>
                  <w:vAlign w:val="center"/>
                </w:tcPr>
                <w:p w14:paraId="78A49F1E">
                  <w:pPr>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233" w:type="pct"/>
                  <w:vMerge w:val="restart"/>
                  <w:vAlign w:val="center"/>
                </w:tcPr>
                <w:p w14:paraId="307EA45E">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锅炉房</w:t>
                  </w:r>
                </w:p>
              </w:tc>
              <w:tc>
                <w:tcPr>
                  <w:tcW w:w="210" w:type="pct"/>
                  <w:vAlign w:val="center"/>
                </w:tcPr>
                <w:p w14:paraId="1A27BA81">
                  <w:pPr>
                    <w:keepNext w:val="0"/>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zCs w:val="21"/>
                      <w:lang w:val="en-US"/>
                    </w:rPr>
                  </w:pPr>
                  <w:r>
                    <w:rPr>
                      <w:rFonts w:hint="eastAsia" w:cs="Times New Roman"/>
                      <w:color w:val="000000"/>
                      <w:sz w:val="21"/>
                      <w:szCs w:val="21"/>
                      <w:lang w:val="en-US" w:eastAsia="zh-CN"/>
                    </w:rPr>
                    <w:t>生物质锅炉</w:t>
                  </w:r>
                </w:p>
              </w:tc>
              <w:tc>
                <w:tcPr>
                  <w:tcW w:w="247" w:type="pct"/>
                  <w:vAlign w:val="center"/>
                </w:tcPr>
                <w:p w14:paraId="2A8B25E8">
                  <w:pPr>
                    <w:keepNext w:val="0"/>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000000"/>
                      <w:sz w:val="21"/>
                      <w:szCs w:val="21"/>
                    </w:rPr>
                    <w:t>1</w:t>
                  </w:r>
                </w:p>
              </w:tc>
              <w:tc>
                <w:tcPr>
                  <w:tcW w:w="226" w:type="pct"/>
                  <w:vAlign w:val="center"/>
                </w:tcPr>
                <w:p w14:paraId="602C3DE5">
                  <w:pPr>
                    <w:keepNext w:val="0"/>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80</w:t>
                  </w:r>
                </w:p>
              </w:tc>
              <w:tc>
                <w:tcPr>
                  <w:tcW w:w="241" w:type="pct"/>
                  <w:vAlign w:val="center"/>
                </w:tcPr>
                <w:p w14:paraId="41D95C27">
                  <w:pPr>
                    <w:keepNext w:val="0"/>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zCs w:val="21"/>
                      <w:lang w:val="en-US" w:eastAsia="zh-CN"/>
                    </w:rPr>
                  </w:pPr>
                  <w:r>
                    <w:rPr>
                      <w:rFonts w:hint="eastAsia" w:cs="Times New Roman"/>
                      <w:sz w:val="21"/>
                      <w:szCs w:val="21"/>
                      <w:lang w:val="en-US" w:eastAsia="zh-CN"/>
                    </w:rPr>
                    <w:t>80</w:t>
                  </w:r>
                </w:p>
              </w:tc>
              <w:tc>
                <w:tcPr>
                  <w:tcW w:w="179" w:type="pct"/>
                  <w:vMerge w:val="restart"/>
                  <w:vAlign w:val="center"/>
                </w:tcPr>
                <w:p w14:paraId="66544330">
                  <w:pPr>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color w:val="auto"/>
                      <w:szCs w:val="21"/>
                    </w:rPr>
                  </w:pPr>
                  <w:r>
                    <w:rPr>
                      <w:rFonts w:hint="default" w:ascii="Times New Roman" w:hAnsi="Times New Roman" w:eastAsia="宋体" w:cs="Times New Roman"/>
                      <w:spacing w:val="-14"/>
                      <w:sz w:val="21"/>
                      <w:szCs w:val="21"/>
                    </w:rPr>
                    <w:t>减震、</w:t>
                  </w:r>
                  <w:r>
                    <w:rPr>
                      <w:rFonts w:hint="default" w:ascii="Times New Roman" w:hAnsi="Times New Roman" w:eastAsia="宋体" w:cs="Times New Roman"/>
                      <w:sz w:val="21"/>
                      <w:szCs w:val="21"/>
                    </w:rPr>
                    <w:t xml:space="preserve"> </w:t>
                  </w:r>
                  <w:r>
                    <w:rPr>
                      <w:rFonts w:hint="default" w:ascii="Times New Roman" w:hAnsi="Times New Roman" w:eastAsia="宋体" w:cs="Times New Roman"/>
                      <w:spacing w:val="-20"/>
                      <w:sz w:val="21"/>
                      <w:szCs w:val="21"/>
                    </w:rPr>
                    <w:t>降噪、</w:t>
                  </w:r>
                  <w:r>
                    <w:rPr>
                      <w:rFonts w:hint="default" w:ascii="Times New Roman" w:hAnsi="Times New Roman" w:eastAsia="宋体" w:cs="Times New Roman"/>
                      <w:spacing w:val="1"/>
                      <w:sz w:val="21"/>
                      <w:szCs w:val="21"/>
                    </w:rPr>
                    <w:t xml:space="preserve"> 隔</w:t>
                  </w:r>
                  <w:r>
                    <w:rPr>
                      <w:rFonts w:hint="default" w:ascii="Times New Roman" w:hAnsi="Times New Roman" w:eastAsia="宋体" w:cs="Times New Roman"/>
                      <w:spacing w:val="19"/>
                      <w:sz w:val="21"/>
                      <w:szCs w:val="21"/>
                    </w:rPr>
                    <w:t>声</w:t>
                  </w:r>
                </w:p>
              </w:tc>
              <w:tc>
                <w:tcPr>
                  <w:tcW w:w="179" w:type="pct"/>
                  <w:vAlign w:val="center"/>
                </w:tcPr>
                <w:p w14:paraId="41B9B88F">
                  <w:pPr>
                    <w:keepNext w:val="0"/>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3.2</w:t>
                  </w:r>
                </w:p>
              </w:tc>
              <w:tc>
                <w:tcPr>
                  <w:tcW w:w="179" w:type="pct"/>
                  <w:vAlign w:val="center"/>
                </w:tcPr>
                <w:p w14:paraId="70F41860">
                  <w:pPr>
                    <w:keepNext w:val="0"/>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zCs w:val="21"/>
                      <w:lang w:val="en-US" w:eastAsia="zh-CN"/>
                    </w:rPr>
                  </w:pPr>
                  <w:r>
                    <w:rPr>
                      <w:rFonts w:hint="eastAsia" w:cs="Times New Roman"/>
                      <w:color w:val="000000"/>
                      <w:sz w:val="21"/>
                      <w:szCs w:val="21"/>
                      <w:lang w:val="en-US" w:eastAsia="zh-CN"/>
                    </w:rPr>
                    <w:t>2.3</w:t>
                  </w:r>
                </w:p>
              </w:tc>
              <w:tc>
                <w:tcPr>
                  <w:tcW w:w="154" w:type="pct"/>
                  <w:vAlign w:val="center"/>
                </w:tcPr>
                <w:p w14:paraId="03A8EAF5">
                  <w:pPr>
                    <w:keepNext w:val="0"/>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zCs w:val="21"/>
                      <w:lang w:val="en-US"/>
                    </w:rPr>
                  </w:pPr>
                  <w:r>
                    <w:rPr>
                      <w:rFonts w:hint="eastAsia" w:cs="Times New Roman"/>
                      <w:sz w:val="21"/>
                      <w:szCs w:val="21"/>
                      <w:lang w:val="en-US" w:eastAsia="zh-CN"/>
                    </w:rPr>
                    <w:t>3.2</w:t>
                  </w:r>
                </w:p>
              </w:tc>
              <w:tc>
                <w:tcPr>
                  <w:tcW w:w="179" w:type="pct"/>
                  <w:vAlign w:val="center"/>
                </w:tcPr>
                <w:p w14:paraId="37B59C72">
                  <w:pPr>
                    <w:keepNext w:val="0"/>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zCs w:val="21"/>
                      <w:lang w:val="en-US" w:eastAsia="zh-CN"/>
                    </w:rPr>
                  </w:pPr>
                  <w:r>
                    <w:rPr>
                      <w:rFonts w:hint="eastAsia" w:cs="Times New Roman"/>
                      <w:color w:val="auto"/>
                      <w:sz w:val="21"/>
                      <w:szCs w:val="21"/>
                      <w:lang w:val="en-US" w:eastAsia="zh-CN"/>
                    </w:rPr>
                    <w:t>8.1</w:t>
                  </w:r>
                </w:p>
              </w:tc>
              <w:tc>
                <w:tcPr>
                  <w:tcW w:w="179" w:type="pct"/>
                  <w:vAlign w:val="center"/>
                </w:tcPr>
                <w:p w14:paraId="37AEF200">
                  <w:pPr>
                    <w:keepNext w:val="0"/>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zCs w:val="21"/>
                      <w:lang w:val="en-US" w:eastAsia="zh-CN"/>
                    </w:rPr>
                  </w:pPr>
                  <w:r>
                    <w:rPr>
                      <w:rFonts w:hint="eastAsia" w:cs="Times New Roman"/>
                      <w:color w:val="auto"/>
                      <w:sz w:val="21"/>
                      <w:szCs w:val="21"/>
                      <w:lang w:val="en-US" w:eastAsia="zh-CN"/>
                    </w:rPr>
                    <w:t>11.1</w:t>
                  </w:r>
                </w:p>
              </w:tc>
              <w:tc>
                <w:tcPr>
                  <w:tcW w:w="179" w:type="pct"/>
                  <w:vAlign w:val="center"/>
                </w:tcPr>
                <w:p w14:paraId="0ADB85C5">
                  <w:pPr>
                    <w:keepNext w:val="0"/>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zCs w:val="21"/>
                      <w:lang w:val="en-US" w:eastAsia="zh-CN"/>
                    </w:rPr>
                  </w:pPr>
                  <w:r>
                    <w:rPr>
                      <w:rFonts w:hint="eastAsia" w:cs="Times New Roman"/>
                      <w:color w:val="auto"/>
                      <w:sz w:val="21"/>
                      <w:szCs w:val="21"/>
                      <w:lang w:val="en-US" w:eastAsia="zh-CN"/>
                    </w:rPr>
                    <w:t>12.2</w:t>
                  </w:r>
                </w:p>
              </w:tc>
              <w:tc>
                <w:tcPr>
                  <w:tcW w:w="182" w:type="pct"/>
                  <w:vAlign w:val="center"/>
                </w:tcPr>
                <w:p w14:paraId="131B49CA">
                  <w:pPr>
                    <w:keepNext w:val="0"/>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zCs w:val="21"/>
                      <w:lang w:val="en-US" w:eastAsia="zh-CN"/>
                    </w:rPr>
                  </w:pPr>
                  <w:r>
                    <w:rPr>
                      <w:rFonts w:hint="eastAsia" w:cs="Times New Roman"/>
                      <w:color w:val="auto"/>
                      <w:sz w:val="21"/>
                      <w:szCs w:val="21"/>
                      <w:lang w:val="en-US" w:eastAsia="zh-CN"/>
                    </w:rPr>
                    <w:t>8.1</w:t>
                  </w:r>
                </w:p>
              </w:tc>
              <w:tc>
                <w:tcPr>
                  <w:tcW w:w="206" w:type="pct"/>
                  <w:vAlign w:val="center"/>
                </w:tcPr>
                <w:p w14:paraId="4E5CB40D">
                  <w:pPr>
                    <w:keepNext w:val="0"/>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zCs w:val="21"/>
                      <w:lang w:val="en-US" w:eastAsia="zh-CN" w:bidi="ar"/>
                    </w:rPr>
                  </w:pPr>
                  <w:r>
                    <w:rPr>
                      <w:rFonts w:hint="eastAsia" w:cs="Times New Roman"/>
                      <w:color w:val="auto"/>
                      <w:sz w:val="21"/>
                      <w:szCs w:val="21"/>
                      <w:lang w:val="en-US" w:eastAsia="zh-CN" w:bidi="ar"/>
                    </w:rPr>
                    <w:t>53.08</w:t>
                  </w:r>
                </w:p>
              </w:tc>
              <w:tc>
                <w:tcPr>
                  <w:tcW w:w="206" w:type="pct"/>
                  <w:vAlign w:val="center"/>
                </w:tcPr>
                <w:p w14:paraId="70AA3806">
                  <w:pPr>
                    <w:keepNext w:val="0"/>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zCs w:val="21"/>
                      <w:lang w:val="en-US" w:eastAsia="zh-CN" w:bidi="ar"/>
                    </w:rPr>
                  </w:pPr>
                  <w:r>
                    <w:rPr>
                      <w:rFonts w:hint="eastAsia" w:cs="Times New Roman"/>
                      <w:color w:val="auto"/>
                      <w:sz w:val="21"/>
                      <w:szCs w:val="21"/>
                      <w:lang w:val="en-US" w:eastAsia="zh-CN" w:bidi="ar"/>
                    </w:rPr>
                    <w:t>50.65</w:t>
                  </w:r>
                </w:p>
              </w:tc>
              <w:tc>
                <w:tcPr>
                  <w:tcW w:w="206" w:type="pct"/>
                  <w:vAlign w:val="center"/>
                </w:tcPr>
                <w:p w14:paraId="715CE275">
                  <w:pPr>
                    <w:keepNext w:val="0"/>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zCs w:val="21"/>
                      <w:lang w:val="en-US" w:eastAsia="zh-CN" w:bidi="ar"/>
                    </w:rPr>
                  </w:pPr>
                  <w:r>
                    <w:rPr>
                      <w:rFonts w:hint="eastAsia" w:cs="Times New Roman"/>
                      <w:color w:val="auto"/>
                      <w:sz w:val="21"/>
                      <w:szCs w:val="21"/>
                      <w:lang w:val="en-US" w:eastAsia="zh-CN" w:bidi="ar"/>
                    </w:rPr>
                    <w:t>49.9</w:t>
                  </w:r>
                </w:p>
              </w:tc>
              <w:tc>
                <w:tcPr>
                  <w:tcW w:w="208" w:type="pct"/>
                  <w:vAlign w:val="center"/>
                </w:tcPr>
                <w:p w14:paraId="265F9F5B">
                  <w:pPr>
                    <w:keepNext w:val="0"/>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zCs w:val="21"/>
                      <w:lang w:val="en-US" w:eastAsia="zh-CN" w:bidi="ar"/>
                    </w:rPr>
                  </w:pPr>
                  <w:r>
                    <w:rPr>
                      <w:rFonts w:hint="eastAsia" w:cs="Times New Roman"/>
                      <w:color w:val="auto"/>
                      <w:sz w:val="21"/>
                      <w:szCs w:val="21"/>
                      <w:lang w:val="en-US" w:eastAsia="zh-CN" w:bidi="ar"/>
                    </w:rPr>
                    <w:t>53.08</w:t>
                  </w:r>
                </w:p>
              </w:tc>
              <w:tc>
                <w:tcPr>
                  <w:tcW w:w="220" w:type="pct"/>
                  <w:vMerge w:val="restart"/>
                  <w:vAlign w:val="center"/>
                </w:tcPr>
                <w:p w14:paraId="51B374B3">
                  <w:pPr>
                    <w:keepNext w:val="0"/>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zCs w:val="21"/>
                      <w:lang w:val="en-US" w:eastAsia="zh-CN"/>
                    </w:rPr>
                  </w:pPr>
                  <w:r>
                    <w:rPr>
                      <w:rFonts w:hint="eastAsia" w:cs="Times New Roman"/>
                      <w:color w:val="000000"/>
                      <w:sz w:val="21"/>
                      <w:szCs w:val="21"/>
                      <w:lang w:val="en-US" w:eastAsia="zh-CN"/>
                    </w:rPr>
                    <w:t>4650</w:t>
                  </w:r>
                  <w:r>
                    <w:rPr>
                      <w:rFonts w:hint="default" w:ascii="Times New Roman" w:hAnsi="Times New Roman" w:eastAsia="宋体" w:cs="Times New Roman"/>
                      <w:color w:val="000000"/>
                      <w:sz w:val="21"/>
                      <w:szCs w:val="21"/>
                    </w:rPr>
                    <w:t>h</w:t>
                  </w:r>
                </w:p>
              </w:tc>
              <w:tc>
                <w:tcPr>
                  <w:tcW w:w="241" w:type="pct"/>
                  <w:vAlign w:val="center"/>
                </w:tcPr>
                <w:p w14:paraId="7F868C97">
                  <w:pPr>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15</w:t>
                  </w:r>
                </w:p>
              </w:tc>
              <w:tc>
                <w:tcPr>
                  <w:tcW w:w="206" w:type="pct"/>
                  <w:vAlign w:val="center"/>
                </w:tcPr>
                <w:p w14:paraId="04837548">
                  <w:pPr>
                    <w:keepNext w:val="0"/>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zCs w:val="21"/>
                      <w:lang w:val="en-US" w:eastAsia="zh-CN" w:bidi="ar"/>
                    </w:rPr>
                  </w:pPr>
                  <w:r>
                    <w:rPr>
                      <w:rFonts w:hint="eastAsia" w:cs="Times New Roman"/>
                      <w:color w:val="000000"/>
                      <w:sz w:val="21"/>
                      <w:szCs w:val="21"/>
                      <w:lang w:val="en-US" w:eastAsia="zh-CN" w:bidi="ar"/>
                    </w:rPr>
                    <w:t>36.08</w:t>
                  </w:r>
                </w:p>
              </w:tc>
              <w:tc>
                <w:tcPr>
                  <w:tcW w:w="206" w:type="pct"/>
                  <w:vAlign w:val="center"/>
                </w:tcPr>
                <w:p w14:paraId="6D06B9EA">
                  <w:pPr>
                    <w:keepNext w:val="0"/>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zCs w:val="21"/>
                      <w:lang w:val="en-US" w:eastAsia="zh-CN" w:bidi="ar"/>
                    </w:rPr>
                  </w:pPr>
                  <w:r>
                    <w:rPr>
                      <w:rFonts w:hint="eastAsia" w:cs="Times New Roman"/>
                      <w:color w:val="000000"/>
                      <w:sz w:val="21"/>
                      <w:szCs w:val="21"/>
                      <w:lang w:val="en-US" w:eastAsia="zh-CN" w:bidi="ar"/>
                    </w:rPr>
                    <w:t>35.65</w:t>
                  </w:r>
                </w:p>
              </w:tc>
              <w:tc>
                <w:tcPr>
                  <w:tcW w:w="206" w:type="pct"/>
                  <w:vAlign w:val="center"/>
                </w:tcPr>
                <w:p w14:paraId="4DE5CDD6">
                  <w:pPr>
                    <w:keepNext w:val="0"/>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zCs w:val="21"/>
                      <w:lang w:val="en-US" w:eastAsia="zh-CN" w:bidi="ar"/>
                    </w:rPr>
                  </w:pPr>
                  <w:r>
                    <w:rPr>
                      <w:rFonts w:hint="eastAsia" w:cs="Times New Roman"/>
                      <w:color w:val="000000"/>
                      <w:sz w:val="21"/>
                      <w:szCs w:val="21"/>
                      <w:lang w:val="en-US" w:eastAsia="zh-CN" w:bidi="ar"/>
                    </w:rPr>
                    <w:t>34.9</w:t>
                  </w:r>
                </w:p>
              </w:tc>
              <w:tc>
                <w:tcPr>
                  <w:tcW w:w="207" w:type="pct"/>
                  <w:vAlign w:val="center"/>
                </w:tcPr>
                <w:p w14:paraId="1382FEB3">
                  <w:pPr>
                    <w:keepNext w:val="0"/>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auto"/>
                      <w:szCs w:val="21"/>
                      <w:lang w:val="en-US" w:eastAsia="zh-CN" w:bidi="ar"/>
                    </w:rPr>
                  </w:pPr>
                  <w:r>
                    <w:rPr>
                      <w:rFonts w:hint="eastAsia" w:cs="Times New Roman"/>
                      <w:color w:val="auto"/>
                      <w:szCs w:val="21"/>
                      <w:lang w:val="en-US" w:eastAsia="zh-CN" w:bidi="ar"/>
                    </w:rPr>
                    <w:t>38.08</w:t>
                  </w:r>
                </w:p>
              </w:tc>
              <w:tc>
                <w:tcPr>
                  <w:tcW w:w="148" w:type="pct"/>
                  <w:vAlign w:val="center"/>
                </w:tcPr>
                <w:p w14:paraId="732B24A0">
                  <w:pPr>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r>
            <w:tr w14:paraId="6CA6E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 w:type="pct"/>
                  <w:vAlign w:val="center"/>
                </w:tcPr>
                <w:p w14:paraId="6727EC6B">
                  <w:pPr>
                    <w:keepNext w:val="0"/>
                    <w:keepLines w:val="0"/>
                    <w:pageBreakBefore w:val="0"/>
                    <w:widowControl w:val="0"/>
                    <w:kinsoku/>
                    <w:wordWrap/>
                    <w:overflowPunct/>
                    <w:topLinePunct w:val="0"/>
                    <w:bidi w:val="0"/>
                    <w:snapToGrid/>
                    <w:spacing w:line="240" w:lineRule="auto"/>
                    <w:jc w:val="center"/>
                    <w:rPr>
                      <w:rFonts w:hint="default" w:cs="Times New Roman"/>
                      <w:color w:val="FF0000"/>
                      <w:szCs w:val="21"/>
                      <w:lang w:val="en-US" w:eastAsia="zh-CN"/>
                    </w:rPr>
                  </w:pPr>
                  <w:r>
                    <w:rPr>
                      <w:rFonts w:hint="eastAsia" w:cs="Times New Roman"/>
                      <w:color w:val="FF0000"/>
                      <w:szCs w:val="21"/>
                      <w:lang w:val="en-US" w:eastAsia="zh-CN"/>
                    </w:rPr>
                    <w:t>2</w:t>
                  </w:r>
                </w:p>
              </w:tc>
              <w:tc>
                <w:tcPr>
                  <w:tcW w:w="233" w:type="pct"/>
                  <w:vMerge w:val="continue"/>
                  <w:vAlign w:val="center"/>
                </w:tcPr>
                <w:p w14:paraId="1854F68C">
                  <w:pPr>
                    <w:pStyle w:val="9"/>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baseline"/>
                    <w:rPr>
                      <w:rFonts w:hint="eastAsia" w:cs="Times New Roman"/>
                      <w:color w:val="FF0000"/>
                      <w:szCs w:val="21"/>
                      <w:lang w:val="en-US" w:eastAsia="zh-CN"/>
                    </w:rPr>
                  </w:pPr>
                </w:p>
              </w:tc>
              <w:tc>
                <w:tcPr>
                  <w:tcW w:w="210" w:type="pct"/>
                  <w:vAlign w:val="center"/>
                </w:tcPr>
                <w:p w14:paraId="2FD7973A">
                  <w:pPr>
                    <w:keepNext w:val="0"/>
                    <w:keepLines w:val="0"/>
                    <w:pageBreakBefore w:val="0"/>
                    <w:widowControl w:val="0"/>
                    <w:kinsoku/>
                    <w:wordWrap/>
                    <w:overflowPunct/>
                    <w:topLinePunct w:val="0"/>
                    <w:bidi w:val="0"/>
                    <w:snapToGrid/>
                    <w:spacing w:line="240" w:lineRule="auto"/>
                    <w:ind w:firstLine="0" w:firstLineChars="0"/>
                    <w:jc w:val="center"/>
                    <w:rPr>
                      <w:rFonts w:hint="default" w:cs="Times New Roman"/>
                      <w:color w:val="FF0000"/>
                      <w:sz w:val="21"/>
                      <w:szCs w:val="21"/>
                      <w:lang w:val="en-US" w:eastAsia="zh-CN"/>
                    </w:rPr>
                  </w:pPr>
                  <w:r>
                    <w:rPr>
                      <w:rFonts w:hint="eastAsia" w:cs="Times New Roman"/>
                      <w:color w:val="FF0000"/>
                      <w:sz w:val="21"/>
                      <w:szCs w:val="21"/>
                      <w:lang w:val="en-US" w:eastAsia="zh-CN"/>
                    </w:rPr>
                    <w:t>鼓风机</w:t>
                  </w:r>
                </w:p>
              </w:tc>
              <w:tc>
                <w:tcPr>
                  <w:tcW w:w="247" w:type="pct"/>
                  <w:vAlign w:val="center"/>
                </w:tcPr>
                <w:p w14:paraId="3BC0B4BB">
                  <w:pPr>
                    <w:keepNext w:val="0"/>
                    <w:keepLines w:val="0"/>
                    <w:pageBreakBefore w:val="0"/>
                    <w:widowControl w:val="0"/>
                    <w:kinsoku/>
                    <w:wordWrap/>
                    <w:overflowPunct/>
                    <w:topLinePunct w:val="0"/>
                    <w:bidi w:val="0"/>
                    <w:snapToGrid/>
                    <w:spacing w:line="240" w:lineRule="auto"/>
                    <w:ind w:firstLine="0" w:firstLineChars="0"/>
                    <w:jc w:val="center"/>
                    <w:rPr>
                      <w:rFonts w:hint="default" w:cs="Times New Roman"/>
                      <w:color w:val="FF0000"/>
                      <w:sz w:val="21"/>
                      <w:szCs w:val="21"/>
                      <w:lang w:val="en-US" w:eastAsia="zh-CN"/>
                    </w:rPr>
                  </w:pPr>
                  <w:r>
                    <w:rPr>
                      <w:rFonts w:hint="eastAsia" w:cs="Times New Roman"/>
                      <w:color w:val="FF0000"/>
                      <w:sz w:val="21"/>
                      <w:szCs w:val="21"/>
                      <w:lang w:val="en-US" w:eastAsia="zh-CN"/>
                    </w:rPr>
                    <w:t>1</w:t>
                  </w:r>
                </w:p>
              </w:tc>
              <w:tc>
                <w:tcPr>
                  <w:tcW w:w="226" w:type="pct"/>
                  <w:vAlign w:val="center"/>
                </w:tcPr>
                <w:p w14:paraId="5DB389ED">
                  <w:pPr>
                    <w:keepNext w:val="0"/>
                    <w:keepLines w:val="0"/>
                    <w:pageBreakBefore w:val="0"/>
                    <w:widowControl w:val="0"/>
                    <w:kinsoku/>
                    <w:wordWrap/>
                    <w:overflowPunct/>
                    <w:topLinePunct w:val="0"/>
                    <w:bidi w:val="0"/>
                    <w:snapToGrid/>
                    <w:spacing w:line="240" w:lineRule="auto"/>
                    <w:ind w:firstLine="0" w:firstLineChars="0"/>
                    <w:jc w:val="center"/>
                    <w:rPr>
                      <w:rFonts w:hint="default" w:cs="Times New Roman"/>
                      <w:color w:val="FF0000"/>
                      <w:szCs w:val="21"/>
                      <w:lang w:val="en-US" w:eastAsia="zh-CN"/>
                    </w:rPr>
                  </w:pPr>
                  <w:r>
                    <w:rPr>
                      <w:rFonts w:hint="eastAsia" w:cs="Times New Roman"/>
                      <w:color w:val="FF0000"/>
                      <w:szCs w:val="21"/>
                      <w:lang w:val="en-US" w:eastAsia="zh-CN"/>
                    </w:rPr>
                    <w:t>80</w:t>
                  </w:r>
                </w:p>
              </w:tc>
              <w:tc>
                <w:tcPr>
                  <w:tcW w:w="241" w:type="pct"/>
                  <w:vAlign w:val="center"/>
                </w:tcPr>
                <w:p w14:paraId="0CDF7043">
                  <w:pPr>
                    <w:keepNext w:val="0"/>
                    <w:keepLines w:val="0"/>
                    <w:pageBreakBefore w:val="0"/>
                    <w:widowControl w:val="0"/>
                    <w:kinsoku/>
                    <w:wordWrap/>
                    <w:overflowPunct/>
                    <w:topLinePunct w:val="0"/>
                    <w:bidi w:val="0"/>
                    <w:snapToGrid/>
                    <w:spacing w:line="240" w:lineRule="auto"/>
                    <w:ind w:firstLine="0" w:firstLineChars="0"/>
                    <w:jc w:val="center"/>
                    <w:rPr>
                      <w:rFonts w:hint="default" w:cs="Times New Roman"/>
                      <w:color w:val="FF0000"/>
                      <w:sz w:val="21"/>
                      <w:szCs w:val="21"/>
                      <w:lang w:val="en-US" w:eastAsia="zh-CN"/>
                    </w:rPr>
                  </w:pPr>
                  <w:r>
                    <w:rPr>
                      <w:rFonts w:hint="eastAsia" w:cs="Times New Roman"/>
                      <w:color w:val="FF0000"/>
                      <w:sz w:val="21"/>
                      <w:szCs w:val="21"/>
                      <w:lang w:val="en-US" w:eastAsia="zh-CN"/>
                    </w:rPr>
                    <w:t>80</w:t>
                  </w:r>
                </w:p>
              </w:tc>
              <w:tc>
                <w:tcPr>
                  <w:tcW w:w="179" w:type="pct"/>
                  <w:vMerge w:val="continue"/>
                  <w:vAlign w:val="center"/>
                </w:tcPr>
                <w:p w14:paraId="0CE34C69">
                  <w:pPr>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color w:val="FF0000"/>
                      <w:spacing w:val="-14"/>
                      <w:sz w:val="21"/>
                      <w:szCs w:val="21"/>
                    </w:rPr>
                  </w:pPr>
                </w:p>
              </w:tc>
              <w:tc>
                <w:tcPr>
                  <w:tcW w:w="179" w:type="pct"/>
                  <w:vAlign w:val="center"/>
                </w:tcPr>
                <w:p w14:paraId="10C7395A">
                  <w:pPr>
                    <w:keepNext w:val="0"/>
                    <w:keepLines w:val="0"/>
                    <w:pageBreakBefore w:val="0"/>
                    <w:widowControl w:val="0"/>
                    <w:kinsoku/>
                    <w:wordWrap/>
                    <w:overflowPunct/>
                    <w:topLinePunct w:val="0"/>
                    <w:bidi w:val="0"/>
                    <w:snapToGrid/>
                    <w:spacing w:line="240" w:lineRule="auto"/>
                    <w:ind w:firstLine="0" w:firstLineChars="0"/>
                    <w:jc w:val="center"/>
                    <w:rPr>
                      <w:rFonts w:hint="default" w:cs="Times New Roman"/>
                      <w:color w:val="FF0000"/>
                      <w:szCs w:val="21"/>
                      <w:lang w:val="en-US" w:eastAsia="zh-CN"/>
                    </w:rPr>
                  </w:pPr>
                  <w:r>
                    <w:rPr>
                      <w:rFonts w:hint="eastAsia" w:cs="Times New Roman"/>
                      <w:color w:val="FF0000"/>
                      <w:szCs w:val="21"/>
                      <w:lang w:val="en-US" w:eastAsia="zh-CN"/>
                    </w:rPr>
                    <w:t>-1.5</w:t>
                  </w:r>
                </w:p>
              </w:tc>
              <w:tc>
                <w:tcPr>
                  <w:tcW w:w="179" w:type="pct"/>
                  <w:vAlign w:val="center"/>
                </w:tcPr>
                <w:p w14:paraId="336ED94D">
                  <w:pPr>
                    <w:keepNext w:val="0"/>
                    <w:keepLines w:val="0"/>
                    <w:pageBreakBefore w:val="0"/>
                    <w:widowControl w:val="0"/>
                    <w:kinsoku/>
                    <w:wordWrap/>
                    <w:overflowPunct/>
                    <w:topLinePunct w:val="0"/>
                    <w:bidi w:val="0"/>
                    <w:snapToGrid/>
                    <w:spacing w:line="240" w:lineRule="auto"/>
                    <w:ind w:firstLine="0" w:firstLineChars="0"/>
                    <w:jc w:val="center"/>
                    <w:rPr>
                      <w:rFonts w:hint="default" w:cs="Times New Roman"/>
                      <w:color w:val="FF0000"/>
                      <w:sz w:val="21"/>
                      <w:szCs w:val="21"/>
                      <w:lang w:val="en-US" w:eastAsia="zh-CN"/>
                    </w:rPr>
                  </w:pPr>
                  <w:r>
                    <w:rPr>
                      <w:rFonts w:hint="eastAsia" w:cs="Times New Roman"/>
                      <w:color w:val="FF0000"/>
                      <w:sz w:val="21"/>
                      <w:szCs w:val="21"/>
                      <w:lang w:val="en-US" w:eastAsia="zh-CN"/>
                    </w:rPr>
                    <w:t>5.2</w:t>
                  </w:r>
                </w:p>
              </w:tc>
              <w:tc>
                <w:tcPr>
                  <w:tcW w:w="154" w:type="pct"/>
                  <w:vAlign w:val="center"/>
                </w:tcPr>
                <w:p w14:paraId="72FECDBC">
                  <w:pPr>
                    <w:keepNext w:val="0"/>
                    <w:keepLines w:val="0"/>
                    <w:pageBreakBefore w:val="0"/>
                    <w:widowControl w:val="0"/>
                    <w:kinsoku/>
                    <w:wordWrap/>
                    <w:overflowPunct/>
                    <w:topLinePunct w:val="0"/>
                    <w:bidi w:val="0"/>
                    <w:snapToGrid/>
                    <w:spacing w:line="240" w:lineRule="auto"/>
                    <w:ind w:firstLine="0" w:firstLineChars="0"/>
                    <w:jc w:val="center"/>
                    <w:rPr>
                      <w:rFonts w:hint="default" w:cs="Times New Roman"/>
                      <w:color w:val="FF0000"/>
                      <w:sz w:val="21"/>
                      <w:szCs w:val="21"/>
                      <w:lang w:val="en-US" w:eastAsia="zh-CN"/>
                    </w:rPr>
                  </w:pPr>
                  <w:r>
                    <w:rPr>
                      <w:rFonts w:hint="eastAsia" w:cs="Times New Roman"/>
                      <w:color w:val="FF0000"/>
                      <w:sz w:val="21"/>
                      <w:szCs w:val="21"/>
                      <w:lang w:val="en-US" w:eastAsia="zh-CN"/>
                    </w:rPr>
                    <w:t>0.5</w:t>
                  </w:r>
                </w:p>
              </w:tc>
              <w:tc>
                <w:tcPr>
                  <w:tcW w:w="179" w:type="pct"/>
                  <w:vAlign w:val="center"/>
                </w:tcPr>
                <w:p w14:paraId="68349900">
                  <w:pPr>
                    <w:keepNext w:val="0"/>
                    <w:keepLines w:val="0"/>
                    <w:pageBreakBefore w:val="0"/>
                    <w:widowControl w:val="0"/>
                    <w:kinsoku/>
                    <w:wordWrap/>
                    <w:overflowPunct/>
                    <w:topLinePunct w:val="0"/>
                    <w:bidi w:val="0"/>
                    <w:snapToGrid/>
                    <w:spacing w:line="240" w:lineRule="auto"/>
                    <w:ind w:firstLine="0" w:firstLineChars="0"/>
                    <w:jc w:val="center"/>
                    <w:rPr>
                      <w:rFonts w:hint="default" w:cs="Times New Roman"/>
                      <w:color w:val="FF0000"/>
                      <w:sz w:val="21"/>
                      <w:szCs w:val="21"/>
                      <w:lang w:val="en-US" w:eastAsia="zh-CN"/>
                    </w:rPr>
                  </w:pPr>
                  <w:r>
                    <w:rPr>
                      <w:rFonts w:hint="eastAsia" w:cs="Times New Roman"/>
                      <w:color w:val="FF0000"/>
                      <w:sz w:val="21"/>
                      <w:szCs w:val="21"/>
                      <w:lang w:val="en-US" w:eastAsia="zh-CN"/>
                    </w:rPr>
                    <w:t>9.5</w:t>
                  </w:r>
                </w:p>
              </w:tc>
              <w:tc>
                <w:tcPr>
                  <w:tcW w:w="179" w:type="pct"/>
                  <w:shd w:val="clear" w:color="auto" w:fill="auto"/>
                  <w:vAlign w:val="center"/>
                </w:tcPr>
                <w:p w14:paraId="0B4A87C6">
                  <w:pPr>
                    <w:keepNext w:val="0"/>
                    <w:keepLines w:val="0"/>
                    <w:pageBreakBefore w:val="0"/>
                    <w:widowControl w:val="0"/>
                    <w:kinsoku/>
                    <w:wordWrap/>
                    <w:overflowPunct/>
                    <w:topLinePunct w:val="0"/>
                    <w:bidi w:val="0"/>
                    <w:snapToGrid/>
                    <w:spacing w:line="240" w:lineRule="auto"/>
                    <w:ind w:firstLine="0" w:firstLineChars="0"/>
                    <w:jc w:val="center"/>
                    <w:rPr>
                      <w:rFonts w:hint="eastAsia" w:ascii="Times New Roman" w:hAnsi="Times New Roman" w:eastAsia="宋体" w:cs="Times New Roman"/>
                      <w:color w:val="FF0000"/>
                      <w:kern w:val="2"/>
                      <w:sz w:val="21"/>
                      <w:szCs w:val="21"/>
                      <w:lang w:val="en-US" w:eastAsia="zh-CN" w:bidi="ar-SA"/>
                    </w:rPr>
                  </w:pPr>
                  <w:r>
                    <w:rPr>
                      <w:rFonts w:hint="eastAsia" w:cs="Times New Roman"/>
                      <w:color w:val="FF0000"/>
                      <w:sz w:val="21"/>
                      <w:szCs w:val="21"/>
                      <w:lang w:val="en-US" w:eastAsia="zh-CN"/>
                    </w:rPr>
                    <w:t>20.2</w:t>
                  </w:r>
                </w:p>
              </w:tc>
              <w:tc>
                <w:tcPr>
                  <w:tcW w:w="179" w:type="pct"/>
                  <w:vAlign w:val="center"/>
                </w:tcPr>
                <w:p w14:paraId="1685E340">
                  <w:pPr>
                    <w:keepNext w:val="0"/>
                    <w:keepLines w:val="0"/>
                    <w:pageBreakBefore w:val="0"/>
                    <w:widowControl w:val="0"/>
                    <w:kinsoku/>
                    <w:wordWrap/>
                    <w:overflowPunct/>
                    <w:topLinePunct w:val="0"/>
                    <w:bidi w:val="0"/>
                    <w:snapToGrid/>
                    <w:spacing w:line="240" w:lineRule="auto"/>
                    <w:ind w:firstLine="0" w:firstLineChars="0"/>
                    <w:jc w:val="center"/>
                    <w:rPr>
                      <w:rFonts w:hint="default" w:cs="Times New Roman"/>
                      <w:color w:val="FF0000"/>
                      <w:sz w:val="21"/>
                      <w:szCs w:val="21"/>
                      <w:lang w:val="en-US" w:eastAsia="zh-CN"/>
                    </w:rPr>
                  </w:pPr>
                  <w:r>
                    <w:rPr>
                      <w:rFonts w:hint="eastAsia" w:cs="Times New Roman"/>
                      <w:color w:val="FF0000"/>
                      <w:sz w:val="21"/>
                      <w:szCs w:val="21"/>
                      <w:lang w:val="en-US" w:eastAsia="zh-CN"/>
                    </w:rPr>
                    <w:t>2.9</w:t>
                  </w:r>
                </w:p>
              </w:tc>
              <w:tc>
                <w:tcPr>
                  <w:tcW w:w="182" w:type="pct"/>
                  <w:shd w:val="clear" w:color="auto" w:fill="auto"/>
                  <w:vAlign w:val="center"/>
                </w:tcPr>
                <w:p w14:paraId="5F59FCEF">
                  <w:pPr>
                    <w:keepNext w:val="0"/>
                    <w:keepLines w:val="0"/>
                    <w:pageBreakBefore w:val="0"/>
                    <w:widowControl w:val="0"/>
                    <w:kinsoku/>
                    <w:wordWrap/>
                    <w:overflowPunct/>
                    <w:topLinePunct w:val="0"/>
                    <w:bidi w:val="0"/>
                    <w:snapToGrid/>
                    <w:spacing w:line="240" w:lineRule="auto"/>
                    <w:ind w:firstLine="0" w:firstLineChars="0"/>
                    <w:jc w:val="center"/>
                    <w:rPr>
                      <w:rFonts w:hint="eastAsia" w:ascii="Times New Roman" w:hAnsi="Times New Roman" w:eastAsia="宋体" w:cs="Times New Roman"/>
                      <w:color w:val="FF0000"/>
                      <w:kern w:val="2"/>
                      <w:sz w:val="21"/>
                      <w:szCs w:val="21"/>
                      <w:lang w:val="en-US" w:eastAsia="zh-CN" w:bidi="ar-SA"/>
                    </w:rPr>
                  </w:pPr>
                  <w:r>
                    <w:rPr>
                      <w:rFonts w:hint="eastAsia" w:cs="Times New Roman"/>
                      <w:color w:val="FF0000"/>
                      <w:sz w:val="21"/>
                      <w:szCs w:val="21"/>
                      <w:lang w:val="en-US" w:eastAsia="zh-CN"/>
                    </w:rPr>
                    <w:t>2.8</w:t>
                  </w:r>
                </w:p>
              </w:tc>
              <w:tc>
                <w:tcPr>
                  <w:tcW w:w="206" w:type="pct"/>
                  <w:vAlign w:val="center"/>
                </w:tcPr>
                <w:p w14:paraId="27556E37">
                  <w:pPr>
                    <w:keepNext w:val="0"/>
                    <w:keepLines w:val="0"/>
                    <w:pageBreakBefore w:val="0"/>
                    <w:widowControl w:val="0"/>
                    <w:kinsoku/>
                    <w:wordWrap/>
                    <w:overflowPunct/>
                    <w:topLinePunct w:val="0"/>
                    <w:bidi w:val="0"/>
                    <w:snapToGrid/>
                    <w:spacing w:line="240" w:lineRule="auto"/>
                    <w:ind w:firstLine="0" w:firstLineChars="0"/>
                    <w:jc w:val="center"/>
                    <w:rPr>
                      <w:rFonts w:hint="default" w:cs="Times New Roman"/>
                      <w:color w:val="FF0000"/>
                      <w:sz w:val="21"/>
                      <w:szCs w:val="21"/>
                      <w:lang w:val="en-US" w:eastAsia="zh-CN" w:bidi="ar"/>
                    </w:rPr>
                  </w:pPr>
                  <w:r>
                    <w:rPr>
                      <w:rFonts w:hint="eastAsia" w:cs="Times New Roman"/>
                      <w:color w:val="FF0000"/>
                      <w:sz w:val="21"/>
                      <w:szCs w:val="21"/>
                      <w:lang w:val="en-US" w:eastAsia="zh-CN" w:bidi="ar"/>
                    </w:rPr>
                    <w:t>51.87</w:t>
                  </w:r>
                </w:p>
              </w:tc>
              <w:tc>
                <w:tcPr>
                  <w:tcW w:w="206" w:type="pct"/>
                  <w:vAlign w:val="center"/>
                </w:tcPr>
                <w:p w14:paraId="4BB89E7D">
                  <w:pPr>
                    <w:keepNext w:val="0"/>
                    <w:keepLines w:val="0"/>
                    <w:pageBreakBefore w:val="0"/>
                    <w:widowControl w:val="0"/>
                    <w:kinsoku/>
                    <w:wordWrap/>
                    <w:overflowPunct/>
                    <w:topLinePunct w:val="0"/>
                    <w:bidi w:val="0"/>
                    <w:snapToGrid/>
                    <w:spacing w:line="240" w:lineRule="auto"/>
                    <w:ind w:firstLine="0" w:firstLineChars="0"/>
                    <w:jc w:val="center"/>
                    <w:rPr>
                      <w:rFonts w:hint="default" w:cs="Times New Roman"/>
                      <w:color w:val="FF0000"/>
                      <w:sz w:val="21"/>
                      <w:szCs w:val="21"/>
                      <w:lang w:val="en-US" w:eastAsia="zh-CN" w:bidi="ar"/>
                    </w:rPr>
                  </w:pPr>
                  <w:r>
                    <w:rPr>
                      <w:rFonts w:hint="eastAsia" w:cs="Times New Roman"/>
                      <w:color w:val="FF0000"/>
                      <w:sz w:val="21"/>
                      <w:szCs w:val="21"/>
                      <w:lang w:val="en-US" w:eastAsia="zh-CN" w:bidi="ar"/>
                    </w:rPr>
                    <w:t>45.76</w:t>
                  </w:r>
                </w:p>
              </w:tc>
              <w:tc>
                <w:tcPr>
                  <w:tcW w:w="206" w:type="pct"/>
                  <w:vAlign w:val="center"/>
                </w:tcPr>
                <w:p w14:paraId="77F17C49">
                  <w:pPr>
                    <w:keepNext w:val="0"/>
                    <w:keepLines w:val="0"/>
                    <w:pageBreakBefore w:val="0"/>
                    <w:widowControl w:val="0"/>
                    <w:kinsoku/>
                    <w:wordWrap/>
                    <w:overflowPunct/>
                    <w:topLinePunct w:val="0"/>
                    <w:bidi w:val="0"/>
                    <w:snapToGrid/>
                    <w:spacing w:line="240" w:lineRule="auto"/>
                    <w:ind w:firstLine="0" w:firstLineChars="0"/>
                    <w:jc w:val="center"/>
                    <w:rPr>
                      <w:rFonts w:hint="default" w:cs="Times New Roman"/>
                      <w:color w:val="FF0000"/>
                      <w:sz w:val="21"/>
                      <w:szCs w:val="21"/>
                      <w:lang w:val="en-US" w:eastAsia="zh-CN" w:bidi="ar"/>
                    </w:rPr>
                  </w:pPr>
                  <w:r>
                    <w:rPr>
                      <w:rFonts w:hint="eastAsia" w:cs="Times New Roman"/>
                      <w:color w:val="FF0000"/>
                      <w:sz w:val="21"/>
                      <w:szCs w:val="21"/>
                      <w:lang w:val="en-US" w:eastAsia="zh-CN" w:bidi="ar"/>
                    </w:rPr>
                    <w:t>60.59</w:t>
                  </w:r>
                </w:p>
              </w:tc>
              <w:tc>
                <w:tcPr>
                  <w:tcW w:w="208" w:type="pct"/>
                  <w:vAlign w:val="center"/>
                </w:tcPr>
                <w:p w14:paraId="154A500B">
                  <w:pPr>
                    <w:keepNext w:val="0"/>
                    <w:keepLines w:val="0"/>
                    <w:pageBreakBefore w:val="0"/>
                    <w:widowControl w:val="0"/>
                    <w:kinsoku/>
                    <w:wordWrap/>
                    <w:overflowPunct/>
                    <w:topLinePunct w:val="0"/>
                    <w:bidi w:val="0"/>
                    <w:snapToGrid/>
                    <w:spacing w:line="240" w:lineRule="auto"/>
                    <w:ind w:firstLine="0" w:firstLineChars="0"/>
                    <w:jc w:val="center"/>
                    <w:rPr>
                      <w:rFonts w:hint="default" w:cs="Times New Roman"/>
                      <w:color w:val="FF0000"/>
                      <w:sz w:val="21"/>
                      <w:szCs w:val="21"/>
                      <w:lang w:val="en-US" w:eastAsia="zh-CN" w:bidi="ar"/>
                    </w:rPr>
                  </w:pPr>
                  <w:r>
                    <w:rPr>
                      <w:rFonts w:hint="eastAsia" w:cs="Times New Roman"/>
                      <w:color w:val="FF0000"/>
                      <w:sz w:val="21"/>
                      <w:szCs w:val="21"/>
                      <w:lang w:val="en-US" w:eastAsia="zh-CN" w:bidi="ar"/>
                    </w:rPr>
                    <w:t>60.86</w:t>
                  </w:r>
                </w:p>
              </w:tc>
              <w:tc>
                <w:tcPr>
                  <w:tcW w:w="220" w:type="pct"/>
                  <w:vMerge w:val="continue"/>
                  <w:vAlign w:val="center"/>
                </w:tcPr>
                <w:p w14:paraId="5AB468FD">
                  <w:pPr>
                    <w:keepNext w:val="0"/>
                    <w:keepLines w:val="0"/>
                    <w:pageBreakBefore w:val="0"/>
                    <w:widowControl w:val="0"/>
                    <w:kinsoku/>
                    <w:wordWrap/>
                    <w:overflowPunct/>
                    <w:topLinePunct w:val="0"/>
                    <w:bidi w:val="0"/>
                    <w:snapToGrid/>
                    <w:spacing w:line="240" w:lineRule="auto"/>
                    <w:ind w:firstLine="0" w:firstLineChars="0"/>
                    <w:jc w:val="center"/>
                    <w:rPr>
                      <w:rFonts w:hint="default" w:ascii="Times New Roman" w:hAnsi="Times New Roman" w:eastAsia="宋体" w:cs="Times New Roman"/>
                      <w:color w:val="FF0000"/>
                      <w:sz w:val="21"/>
                      <w:szCs w:val="21"/>
                    </w:rPr>
                  </w:pPr>
                </w:p>
              </w:tc>
              <w:tc>
                <w:tcPr>
                  <w:tcW w:w="241" w:type="pct"/>
                  <w:vAlign w:val="center"/>
                </w:tcPr>
                <w:p w14:paraId="4774E5BB">
                  <w:pPr>
                    <w:keepNext w:val="0"/>
                    <w:keepLines w:val="0"/>
                    <w:pageBreakBefore w:val="0"/>
                    <w:widowControl w:val="0"/>
                    <w:kinsoku/>
                    <w:wordWrap/>
                    <w:overflowPunct/>
                    <w:topLinePunct w:val="0"/>
                    <w:bidi w:val="0"/>
                    <w:snapToGrid/>
                    <w:spacing w:line="240" w:lineRule="auto"/>
                    <w:jc w:val="center"/>
                    <w:rPr>
                      <w:rFonts w:hint="default" w:cs="Times New Roman"/>
                      <w:color w:val="FF0000"/>
                      <w:szCs w:val="21"/>
                      <w:lang w:val="en-US" w:eastAsia="zh-CN"/>
                    </w:rPr>
                  </w:pPr>
                  <w:r>
                    <w:rPr>
                      <w:rFonts w:hint="eastAsia" w:cs="Times New Roman"/>
                      <w:color w:val="FF0000"/>
                      <w:szCs w:val="21"/>
                      <w:lang w:val="en-US" w:eastAsia="zh-CN"/>
                    </w:rPr>
                    <w:t>15</w:t>
                  </w:r>
                </w:p>
              </w:tc>
              <w:tc>
                <w:tcPr>
                  <w:tcW w:w="206" w:type="pct"/>
                  <w:vAlign w:val="center"/>
                </w:tcPr>
                <w:p w14:paraId="64182770">
                  <w:pPr>
                    <w:keepNext w:val="0"/>
                    <w:keepLines w:val="0"/>
                    <w:pageBreakBefore w:val="0"/>
                    <w:widowControl w:val="0"/>
                    <w:kinsoku/>
                    <w:wordWrap/>
                    <w:overflowPunct/>
                    <w:topLinePunct w:val="0"/>
                    <w:bidi w:val="0"/>
                    <w:snapToGrid/>
                    <w:spacing w:line="240" w:lineRule="auto"/>
                    <w:ind w:firstLine="0" w:firstLineChars="0"/>
                    <w:jc w:val="center"/>
                    <w:rPr>
                      <w:rFonts w:hint="default" w:cs="Times New Roman"/>
                      <w:color w:val="FF0000"/>
                      <w:sz w:val="21"/>
                      <w:szCs w:val="21"/>
                      <w:lang w:val="en-US" w:eastAsia="zh-CN" w:bidi="ar"/>
                    </w:rPr>
                  </w:pPr>
                  <w:r>
                    <w:rPr>
                      <w:rFonts w:hint="eastAsia" w:cs="Times New Roman"/>
                      <w:color w:val="FF0000"/>
                      <w:sz w:val="21"/>
                      <w:szCs w:val="21"/>
                      <w:lang w:val="en-US" w:eastAsia="zh-CN" w:bidi="ar"/>
                    </w:rPr>
                    <w:t>36.87</w:t>
                  </w:r>
                </w:p>
              </w:tc>
              <w:tc>
                <w:tcPr>
                  <w:tcW w:w="206" w:type="pct"/>
                  <w:vAlign w:val="center"/>
                </w:tcPr>
                <w:p w14:paraId="07424F29">
                  <w:pPr>
                    <w:keepNext w:val="0"/>
                    <w:keepLines w:val="0"/>
                    <w:pageBreakBefore w:val="0"/>
                    <w:widowControl w:val="0"/>
                    <w:kinsoku/>
                    <w:wordWrap/>
                    <w:overflowPunct/>
                    <w:topLinePunct w:val="0"/>
                    <w:bidi w:val="0"/>
                    <w:snapToGrid/>
                    <w:spacing w:line="240" w:lineRule="auto"/>
                    <w:ind w:firstLine="0" w:firstLineChars="0"/>
                    <w:jc w:val="center"/>
                    <w:rPr>
                      <w:rFonts w:hint="default" w:cs="Times New Roman"/>
                      <w:color w:val="FF0000"/>
                      <w:sz w:val="21"/>
                      <w:szCs w:val="21"/>
                      <w:lang w:val="en-US" w:eastAsia="zh-CN" w:bidi="ar"/>
                    </w:rPr>
                  </w:pPr>
                  <w:r>
                    <w:rPr>
                      <w:rFonts w:hint="eastAsia" w:cs="Times New Roman"/>
                      <w:color w:val="FF0000"/>
                      <w:sz w:val="21"/>
                      <w:szCs w:val="21"/>
                      <w:lang w:val="en-US" w:eastAsia="zh-CN" w:bidi="ar"/>
                    </w:rPr>
                    <w:t>30.76</w:t>
                  </w:r>
                </w:p>
              </w:tc>
              <w:tc>
                <w:tcPr>
                  <w:tcW w:w="206" w:type="pct"/>
                  <w:vAlign w:val="center"/>
                </w:tcPr>
                <w:p w14:paraId="7AC094A7">
                  <w:pPr>
                    <w:keepNext w:val="0"/>
                    <w:keepLines w:val="0"/>
                    <w:pageBreakBefore w:val="0"/>
                    <w:widowControl w:val="0"/>
                    <w:kinsoku/>
                    <w:wordWrap/>
                    <w:overflowPunct/>
                    <w:topLinePunct w:val="0"/>
                    <w:bidi w:val="0"/>
                    <w:snapToGrid/>
                    <w:spacing w:line="240" w:lineRule="auto"/>
                    <w:ind w:firstLine="0" w:firstLineChars="0"/>
                    <w:jc w:val="center"/>
                    <w:rPr>
                      <w:rFonts w:hint="default" w:cs="Times New Roman"/>
                      <w:color w:val="FF0000"/>
                      <w:sz w:val="21"/>
                      <w:szCs w:val="21"/>
                      <w:lang w:val="en-US" w:eastAsia="zh-CN" w:bidi="ar"/>
                    </w:rPr>
                  </w:pPr>
                  <w:r>
                    <w:rPr>
                      <w:rFonts w:hint="eastAsia" w:cs="Times New Roman"/>
                      <w:color w:val="FF0000"/>
                      <w:sz w:val="21"/>
                      <w:szCs w:val="21"/>
                      <w:lang w:val="en-US" w:eastAsia="zh-CN" w:bidi="ar"/>
                    </w:rPr>
                    <w:t>45.59</w:t>
                  </w:r>
                </w:p>
              </w:tc>
              <w:tc>
                <w:tcPr>
                  <w:tcW w:w="207" w:type="pct"/>
                  <w:vAlign w:val="center"/>
                </w:tcPr>
                <w:p w14:paraId="25DC452D">
                  <w:pPr>
                    <w:keepNext w:val="0"/>
                    <w:keepLines w:val="0"/>
                    <w:pageBreakBefore w:val="0"/>
                    <w:widowControl w:val="0"/>
                    <w:kinsoku/>
                    <w:wordWrap/>
                    <w:overflowPunct/>
                    <w:topLinePunct w:val="0"/>
                    <w:bidi w:val="0"/>
                    <w:snapToGrid/>
                    <w:spacing w:line="240" w:lineRule="auto"/>
                    <w:ind w:firstLine="0" w:firstLineChars="0"/>
                    <w:jc w:val="center"/>
                    <w:rPr>
                      <w:rFonts w:hint="default" w:cs="Times New Roman"/>
                      <w:color w:val="FF0000"/>
                      <w:szCs w:val="21"/>
                      <w:lang w:val="en-US" w:eastAsia="zh-CN" w:bidi="ar"/>
                    </w:rPr>
                  </w:pPr>
                  <w:r>
                    <w:rPr>
                      <w:rFonts w:hint="eastAsia" w:cs="Times New Roman"/>
                      <w:color w:val="FF0000"/>
                      <w:szCs w:val="21"/>
                      <w:lang w:val="en-US" w:eastAsia="zh-CN" w:bidi="ar"/>
                    </w:rPr>
                    <w:t>45.86</w:t>
                  </w:r>
                </w:p>
              </w:tc>
              <w:tc>
                <w:tcPr>
                  <w:tcW w:w="148" w:type="pct"/>
                  <w:vAlign w:val="center"/>
                </w:tcPr>
                <w:p w14:paraId="62DCD77C">
                  <w:pPr>
                    <w:keepNext w:val="0"/>
                    <w:keepLines w:val="0"/>
                    <w:pageBreakBefore w:val="0"/>
                    <w:widowControl w:val="0"/>
                    <w:kinsoku/>
                    <w:wordWrap/>
                    <w:overflowPunct/>
                    <w:topLinePunct w:val="0"/>
                    <w:bidi w:val="0"/>
                    <w:snapToGrid/>
                    <w:spacing w:line="240" w:lineRule="auto"/>
                    <w:jc w:val="center"/>
                    <w:rPr>
                      <w:rFonts w:hint="default" w:cs="Times New Roman"/>
                      <w:color w:val="FF0000"/>
                      <w:szCs w:val="21"/>
                      <w:lang w:val="en-US" w:eastAsia="zh-CN"/>
                    </w:rPr>
                  </w:pPr>
                  <w:r>
                    <w:rPr>
                      <w:rFonts w:hint="eastAsia" w:cs="Times New Roman"/>
                      <w:color w:val="FF0000"/>
                      <w:szCs w:val="21"/>
                      <w:lang w:val="en-US" w:eastAsia="zh-CN"/>
                    </w:rPr>
                    <w:t>1</w:t>
                  </w:r>
                </w:p>
              </w:tc>
            </w:tr>
          </w:tbl>
          <w:p w14:paraId="098B013F">
            <w:pPr>
              <w:pStyle w:val="98"/>
              <w:ind w:left="0" w:leftChars="0" w:firstLine="0" w:firstLineChars="0"/>
              <w:jc w:val="both"/>
              <w:rPr>
                <w:rFonts w:hint="default" w:ascii="Times New Roman" w:hAnsi="Times New Roman" w:eastAsia="宋体" w:cs="Times New Roman"/>
                <w:snapToGrid w:val="0"/>
                <w:color w:val="auto"/>
                <w:sz w:val="30"/>
                <w:szCs w:val="30"/>
              </w:rPr>
            </w:pPr>
          </w:p>
        </w:tc>
      </w:tr>
    </w:tbl>
    <w:p w14:paraId="5032652A">
      <w:pPr>
        <w:pStyle w:val="18"/>
        <w:ind w:left="0" w:leftChars="0" w:firstLine="0" w:firstLineChars="0"/>
        <w:sectPr>
          <w:pgSz w:w="16840" w:h="11907" w:orient="landscape"/>
          <w:pgMar w:top="1531" w:right="1701" w:bottom="1531" w:left="2127" w:header="851" w:footer="851" w:gutter="0"/>
          <w:pgBorders>
            <w:top w:val="none" w:sz="0" w:space="0"/>
            <w:left w:val="none" w:sz="0" w:space="0"/>
            <w:bottom w:val="none" w:sz="0" w:space="0"/>
            <w:right w:val="none" w:sz="0" w:space="0"/>
          </w:pgBorders>
          <w:pgNumType w:fmt="decimal"/>
          <w:cols w:space="720" w:num="1"/>
          <w:docGrid w:linePitch="312" w:charSpace="0"/>
        </w:sectPr>
      </w:pPr>
    </w:p>
    <w:tbl>
      <w:tblPr>
        <w:tblStyle w:val="27"/>
        <w:tblW w:w="898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27"/>
        <w:gridCol w:w="8554"/>
      </w:tblGrid>
      <w:tr w14:paraId="5A0371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7" w:type="dxa"/>
            <w:tcMar>
              <w:left w:w="28" w:type="dxa"/>
              <w:right w:w="28" w:type="dxa"/>
            </w:tcMar>
            <w:vAlign w:val="center"/>
          </w:tcPr>
          <w:p w14:paraId="46FC7953">
            <w:pPr>
              <w:adjustRightInd w:val="0"/>
              <w:snapToGrid w:val="0"/>
              <w:rPr>
                <w:rFonts w:ascii="宋体" w:hAnsi="宋体" w:cs="宋体"/>
                <w:bCs/>
                <w:szCs w:val="21"/>
              </w:rPr>
            </w:pPr>
          </w:p>
        </w:tc>
        <w:tc>
          <w:tcPr>
            <w:tcW w:w="8554" w:type="dxa"/>
            <w:vAlign w:val="center"/>
          </w:tcPr>
          <w:p w14:paraId="35E1EC33">
            <w:pPr>
              <w:pStyle w:val="6"/>
              <w:keepNext/>
              <w:keepLines/>
              <w:pageBreakBefore w:val="0"/>
              <w:widowControl w:val="0"/>
              <w:numPr>
                <w:ilvl w:val="3"/>
                <w:numId w:val="0"/>
              </w:numPr>
              <w:kinsoku/>
              <w:wordWrap/>
              <w:overflowPunct/>
              <w:topLinePunct w:val="0"/>
              <w:autoSpaceDE/>
              <w:autoSpaceDN/>
              <w:bidi w:val="0"/>
              <w:adjustRightInd/>
              <w:snapToGrid/>
              <w:spacing w:line="240" w:lineRule="auto"/>
              <w:jc w:val="center"/>
              <w:textAlignment w:val="auto"/>
              <w:rPr>
                <w:rFonts w:ascii="Times New Roman" w:hAnsi="Times New Roman"/>
                <w:bCs/>
                <w:color w:val="FF0000"/>
                <w:kern w:val="0"/>
                <w:sz w:val="24"/>
                <w:szCs w:val="24"/>
              </w:rPr>
            </w:pPr>
            <w:r>
              <w:rPr>
                <w:rFonts w:ascii="Times New Roman" w:hAnsi="Times New Roman"/>
                <w:bCs/>
                <w:color w:val="FF0000"/>
                <w:kern w:val="0"/>
                <w:sz w:val="24"/>
                <w:szCs w:val="24"/>
              </w:rPr>
              <w:t>表4-</w:t>
            </w:r>
            <w:r>
              <w:rPr>
                <w:rFonts w:hint="eastAsia"/>
                <w:bCs/>
                <w:color w:val="FF0000"/>
                <w:kern w:val="0"/>
                <w:sz w:val="24"/>
                <w:szCs w:val="24"/>
                <w:lang w:val="en-US" w:eastAsia="zh-CN"/>
              </w:rPr>
              <w:t>7</w:t>
            </w:r>
            <w:r>
              <w:rPr>
                <w:rFonts w:ascii="Times New Roman" w:hAnsi="Times New Roman"/>
                <w:bCs/>
                <w:color w:val="FF0000"/>
                <w:kern w:val="0"/>
                <w:sz w:val="24"/>
                <w:szCs w:val="24"/>
              </w:rPr>
              <w:t xml:space="preserve">  工业企业噪声源强调查清单（室外声源）</w:t>
            </w:r>
          </w:p>
          <w:tbl>
            <w:tblPr>
              <w:tblStyle w:val="2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6"/>
              <w:gridCol w:w="756"/>
              <w:gridCol w:w="756"/>
              <w:gridCol w:w="756"/>
              <w:gridCol w:w="756"/>
              <w:gridCol w:w="756"/>
              <w:gridCol w:w="760"/>
              <w:gridCol w:w="756"/>
              <w:gridCol w:w="758"/>
              <w:gridCol w:w="756"/>
              <w:gridCol w:w="762"/>
            </w:tblGrid>
            <w:tr w14:paraId="0FEA5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 w:type="pct"/>
                  <w:vMerge w:val="restart"/>
                  <w:vAlign w:val="center"/>
                </w:tcPr>
                <w:p w14:paraId="5961B306">
                  <w:pPr>
                    <w:pStyle w:val="87"/>
                    <w:spacing w:line="240" w:lineRule="auto"/>
                    <w:ind w:firstLine="0" w:firstLineChars="0"/>
                    <w:jc w:val="center"/>
                    <w:rPr>
                      <w:color w:val="FF0000"/>
                    </w:rPr>
                  </w:pPr>
                  <w:r>
                    <w:rPr>
                      <w:b/>
                      <w:bCs/>
                      <w:color w:val="FF0000"/>
                      <w:sz w:val="21"/>
                      <w:szCs w:val="21"/>
                    </w:rPr>
                    <w:t>序号</w:t>
                  </w:r>
                </w:p>
              </w:tc>
              <w:tc>
                <w:tcPr>
                  <w:tcW w:w="453" w:type="pct"/>
                  <w:vMerge w:val="restart"/>
                  <w:vAlign w:val="center"/>
                </w:tcPr>
                <w:p w14:paraId="2956D4D5">
                  <w:pPr>
                    <w:pStyle w:val="87"/>
                    <w:spacing w:line="240" w:lineRule="auto"/>
                    <w:ind w:firstLine="0" w:firstLineChars="0"/>
                    <w:jc w:val="center"/>
                    <w:rPr>
                      <w:color w:val="FF0000"/>
                    </w:rPr>
                  </w:pPr>
                  <w:r>
                    <w:rPr>
                      <w:b/>
                      <w:bCs/>
                      <w:color w:val="FF0000"/>
                      <w:sz w:val="21"/>
                      <w:szCs w:val="21"/>
                    </w:rPr>
                    <w:t>声源名称</w:t>
                  </w:r>
                </w:p>
              </w:tc>
              <w:tc>
                <w:tcPr>
                  <w:tcW w:w="453" w:type="pct"/>
                  <w:vMerge w:val="restart"/>
                  <w:vAlign w:val="center"/>
                </w:tcPr>
                <w:p w14:paraId="698D00A1">
                  <w:pPr>
                    <w:pStyle w:val="87"/>
                    <w:spacing w:line="240" w:lineRule="auto"/>
                    <w:ind w:firstLine="0" w:firstLineChars="0"/>
                    <w:jc w:val="center"/>
                    <w:rPr>
                      <w:color w:val="FF0000"/>
                    </w:rPr>
                  </w:pPr>
                  <w:r>
                    <w:rPr>
                      <w:b/>
                      <w:bCs/>
                      <w:color w:val="FF0000"/>
                      <w:sz w:val="21"/>
                      <w:szCs w:val="21"/>
                    </w:rPr>
                    <w:t>数量</w:t>
                  </w:r>
                </w:p>
              </w:tc>
              <w:tc>
                <w:tcPr>
                  <w:tcW w:w="453" w:type="pct"/>
                  <w:vMerge w:val="restart"/>
                  <w:vAlign w:val="center"/>
                </w:tcPr>
                <w:p w14:paraId="300170E6">
                  <w:pPr>
                    <w:pStyle w:val="87"/>
                    <w:spacing w:line="240" w:lineRule="auto"/>
                    <w:ind w:firstLine="0" w:firstLineChars="0"/>
                    <w:jc w:val="center"/>
                    <w:rPr>
                      <w:color w:val="FF0000"/>
                    </w:rPr>
                  </w:pPr>
                  <w:r>
                    <w:rPr>
                      <w:b/>
                      <w:bCs/>
                      <w:color w:val="FF0000"/>
                      <w:sz w:val="21"/>
                      <w:szCs w:val="21"/>
                    </w:rPr>
                    <w:t>型号</w:t>
                  </w:r>
                </w:p>
              </w:tc>
              <w:tc>
                <w:tcPr>
                  <w:tcW w:w="1364" w:type="pct"/>
                  <w:gridSpan w:val="3"/>
                  <w:shd w:val="clear" w:color="auto" w:fill="auto"/>
                  <w:vAlign w:val="center"/>
                </w:tcPr>
                <w:p w14:paraId="01A50276">
                  <w:pPr>
                    <w:pStyle w:val="87"/>
                    <w:spacing w:line="240" w:lineRule="auto"/>
                    <w:ind w:firstLine="0" w:firstLineChars="0"/>
                    <w:jc w:val="center"/>
                    <w:rPr>
                      <w:b/>
                      <w:bCs/>
                      <w:color w:val="FF0000"/>
                      <w:sz w:val="21"/>
                      <w:szCs w:val="21"/>
                    </w:rPr>
                  </w:pPr>
                  <w:r>
                    <w:rPr>
                      <w:b/>
                      <w:bCs/>
                      <w:color w:val="FF0000"/>
                      <w:sz w:val="21"/>
                      <w:szCs w:val="21"/>
                    </w:rPr>
                    <w:t>空间相对位置/m</w:t>
                  </w:r>
                </w:p>
              </w:tc>
              <w:tc>
                <w:tcPr>
                  <w:tcW w:w="908" w:type="pct"/>
                  <w:gridSpan w:val="2"/>
                  <w:shd w:val="clear" w:color="auto" w:fill="auto"/>
                  <w:vAlign w:val="center"/>
                </w:tcPr>
                <w:p w14:paraId="0F3503DA">
                  <w:pPr>
                    <w:pStyle w:val="87"/>
                    <w:spacing w:line="240" w:lineRule="auto"/>
                    <w:ind w:firstLine="0" w:firstLineChars="0"/>
                    <w:jc w:val="center"/>
                    <w:rPr>
                      <w:b/>
                      <w:bCs/>
                      <w:color w:val="FF0000"/>
                      <w:sz w:val="21"/>
                      <w:szCs w:val="21"/>
                    </w:rPr>
                  </w:pPr>
                  <w:r>
                    <w:rPr>
                      <w:b/>
                      <w:bCs/>
                      <w:color w:val="FF0000"/>
                      <w:sz w:val="21"/>
                      <w:szCs w:val="21"/>
                    </w:rPr>
                    <w:t>声源源强（任选一种）</w:t>
                  </w:r>
                </w:p>
              </w:tc>
              <w:tc>
                <w:tcPr>
                  <w:tcW w:w="453" w:type="pct"/>
                  <w:vMerge w:val="restart"/>
                  <w:vAlign w:val="center"/>
                </w:tcPr>
                <w:p w14:paraId="1C9415B1">
                  <w:pPr>
                    <w:pStyle w:val="87"/>
                    <w:spacing w:line="240" w:lineRule="auto"/>
                    <w:ind w:firstLine="0" w:firstLineChars="0"/>
                    <w:jc w:val="center"/>
                    <w:rPr>
                      <w:color w:val="FF0000"/>
                    </w:rPr>
                  </w:pPr>
                  <w:r>
                    <w:rPr>
                      <w:b/>
                      <w:bCs/>
                      <w:color w:val="FF0000"/>
                      <w:sz w:val="21"/>
                      <w:szCs w:val="21"/>
                    </w:rPr>
                    <w:t>声源控制措施</w:t>
                  </w:r>
                </w:p>
              </w:tc>
              <w:tc>
                <w:tcPr>
                  <w:tcW w:w="457" w:type="pct"/>
                  <w:vMerge w:val="restart"/>
                  <w:vAlign w:val="center"/>
                </w:tcPr>
                <w:p w14:paraId="60CA680A">
                  <w:pPr>
                    <w:pStyle w:val="87"/>
                    <w:spacing w:line="240" w:lineRule="auto"/>
                    <w:ind w:firstLine="0" w:firstLineChars="0"/>
                    <w:jc w:val="center"/>
                    <w:rPr>
                      <w:color w:val="FF0000"/>
                    </w:rPr>
                  </w:pPr>
                  <w:r>
                    <w:rPr>
                      <w:b/>
                      <w:bCs/>
                      <w:color w:val="FF0000"/>
                      <w:sz w:val="21"/>
                      <w:szCs w:val="21"/>
                    </w:rPr>
                    <w:t>运行时段</w:t>
                  </w:r>
                </w:p>
              </w:tc>
            </w:tr>
            <w:tr w14:paraId="2C6325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453" w:type="pct"/>
                  <w:vMerge w:val="continue"/>
                </w:tcPr>
                <w:p w14:paraId="46ACF2F2">
                  <w:pPr>
                    <w:pStyle w:val="7"/>
                    <w:jc w:val="center"/>
                    <w:rPr>
                      <w:color w:val="FF0000"/>
                    </w:rPr>
                  </w:pPr>
                </w:p>
              </w:tc>
              <w:tc>
                <w:tcPr>
                  <w:tcW w:w="453" w:type="pct"/>
                  <w:vMerge w:val="continue"/>
                </w:tcPr>
                <w:p w14:paraId="19740892">
                  <w:pPr>
                    <w:pStyle w:val="7"/>
                    <w:jc w:val="center"/>
                    <w:rPr>
                      <w:color w:val="FF0000"/>
                    </w:rPr>
                  </w:pPr>
                </w:p>
              </w:tc>
              <w:tc>
                <w:tcPr>
                  <w:tcW w:w="453" w:type="pct"/>
                  <w:vMerge w:val="continue"/>
                </w:tcPr>
                <w:p w14:paraId="4E95A967">
                  <w:pPr>
                    <w:pStyle w:val="7"/>
                    <w:jc w:val="center"/>
                    <w:rPr>
                      <w:color w:val="FF0000"/>
                    </w:rPr>
                  </w:pPr>
                </w:p>
              </w:tc>
              <w:tc>
                <w:tcPr>
                  <w:tcW w:w="453" w:type="pct"/>
                  <w:vMerge w:val="continue"/>
                </w:tcPr>
                <w:p w14:paraId="118E47DE">
                  <w:pPr>
                    <w:pStyle w:val="7"/>
                    <w:jc w:val="center"/>
                    <w:rPr>
                      <w:color w:val="FF0000"/>
                    </w:rPr>
                  </w:pPr>
                </w:p>
              </w:tc>
              <w:tc>
                <w:tcPr>
                  <w:tcW w:w="453" w:type="pct"/>
                  <w:vAlign w:val="center"/>
                </w:tcPr>
                <w:p w14:paraId="48D1DF1B">
                  <w:pPr>
                    <w:pStyle w:val="87"/>
                    <w:spacing w:line="240" w:lineRule="auto"/>
                    <w:ind w:firstLine="0" w:firstLineChars="0"/>
                    <w:jc w:val="center"/>
                    <w:rPr>
                      <w:color w:val="FF0000"/>
                    </w:rPr>
                  </w:pPr>
                  <w:r>
                    <w:rPr>
                      <w:b/>
                      <w:bCs/>
                      <w:color w:val="FF0000"/>
                      <w:sz w:val="21"/>
                      <w:szCs w:val="21"/>
                    </w:rPr>
                    <w:t>X</w:t>
                  </w:r>
                </w:p>
              </w:tc>
              <w:tc>
                <w:tcPr>
                  <w:tcW w:w="453" w:type="pct"/>
                  <w:vAlign w:val="center"/>
                </w:tcPr>
                <w:p w14:paraId="20AF20E1">
                  <w:pPr>
                    <w:pStyle w:val="87"/>
                    <w:spacing w:line="240" w:lineRule="auto"/>
                    <w:ind w:firstLine="0" w:firstLineChars="0"/>
                    <w:jc w:val="center"/>
                    <w:rPr>
                      <w:color w:val="FF0000"/>
                    </w:rPr>
                  </w:pPr>
                  <w:r>
                    <w:rPr>
                      <w:b/>
                      <w:bCs/>
                      <w:color w:val="FF0000"/>
                      <w:sz w:val="21"/>
                      <w:szCs w:val="21"/>
                    </w:rPr>
                    <w:t>Y</w:t>
                  </w:r>
                </w:p>
              </w:tc>
              <w:tc>
                <w:tcPr>
                  <w:tcW w:w="456" w:type="pct"/>
                  <w:vAlign w:val="center"/>
                </w:tcPr>
                <w:p w14:paraId="7265B570">
                  <w:pPr>
                    <w:pStyle w:val="87"/>
                    <w:spacing w:line="240" w:lineRule="auto"/>
                    <w:ind w:firstLine="0" w:firstLineChars="0"/>
                    <w:jc w:val="center"/>
                    <w:rPr>
                      <w:color w:val="FF0000"/>
                    </w:rPr>
                  </w:pPr>
                  <w:r>
                    <w:rPr>
                      <w:b/>
                      <w:bCs/>
                      <w:color w:val="FF0000"/>
                      <w:sz w:val="21"/>
                      <w:szCs w:val="21"/>
                    </w:rPr>
                    <w:t>Z</w:t>
                  </w:r>
                </w:p>
              </w:tc>
              <w:tc>
                <w:tcPr>
                  <w:tcW w:w="453" w:type="pct"/>
                  <w:vAlign w:val="center"/>
                </w:tcPr>
                <w:p w14:paraId="240D873F">
                  <w:pPr>
                    <w:pStyle w:val="87"/>
                    <w:spacing w:line="240" w:lineRule="auto"/>
                    <w:ind w:firstLine="0" w:firstLineChars="0"/>
                    <w:jc w:val="center"/>
                    <w:rPr>
                      <w:color w:val="FF0000"/>
                    </w:rPr>
                  </w:pPr>
                  <w:r>
                    <w:rPr>
                      <w:b/>
                      <w:bCs/>
                      <w:color w:val="FF0000"/>
                      <w:sz w:val="21"/>
                      <w:szCs w:val="21"/>
                    </w:rPr>
                    <w:t>（声压级/距声源距）dB(A)/m）</w:t>
                  </w:r>
                </w:p>
              </w:tc>
              <w:tc>
                <w:tcPr>
                  <w:tcW w:w="455" w:type="pct"/>
                  <w:vAlign w:val="center"/>
                </w:tcPr>
                <w:p w14:paraId="121FBBE0">
                  <w:pPr>
                    <w:pStyle w:val="87"/>
                    <w:spacing w:line="240" w:lineRule="auto"/>
                    <w:ind w:firstLine="0" w:firstLineChars="0"/>
                    <w:jc w:val="center"/>
                    <w:rPr>
                      <w:color w:val="FF0000"/>
                    </w:rPr>
                  </w:pPr>
                  <w:r>
                    <w:rPr>
                      <w:b/>
                      <w:bCs/>
                      <w:color w:val="FF0000"/>
                      <w:sz w:val="21"/>
                      <w:szCs w:val="21"/>
                    </w:rPr>
                    <w:t>声功率级/dB(A)</w:t>
                  </w:r>
                </w:p>
              </w:tc>
              <w:tc>
                <w:tcPr>
                  <w:tcW w:w="453" w:type="pct"/>
                  <w:vMerge w:val="continue"/>
                  <w:vAlign w:val="center"/>
                </w:tcPr>
                <w:p w14:paraId="7019732C">
                  <w:pPr>
                    <w:pStyle w:val="87"/>
                    <w:spacing w:line="240" w:lineRule="auto"/>
                    <w:ind w:firstLine="0" w:firstLineChars="0"/>
                    <w:jc w:val="center"/>
                    <w:rPr>
                      <w:color w:val="FF0000"/>
                    </w:rPr>
                  </w:pPr>
                </w:p>
              </w:tc>
              <w:tc>
                <w:tcPr>
                  <w:tcW w:w="457" w:type="pct"/>
                  <w:vMerge w:val="continue"/>
                  <w:vAlign w:val="center"/>
                </w:tcPr>
                <w:p w14:paraId="058AABCE">
                  <w:pPr>
                    <w:pStyle w:val="87"/>
                    <w:spacing w:line="240" w:lineRule="auto"/>
                    <w:ind w:firstLine="0" w:firstLineChars="0"/>
                    <w:jc w:val="center"/>
                    <w:rPr>
                      <w:color w:val="FF0000"/>
                    </w:rPr>
                  </w:pPr>
                </w:p>
              </w:tc>
            </w:tr>
            <w:tr w14:paraId="733AC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4" w:hRule="atLeast"/>
              </w:trPr>
              <w:tc>
                <w:tcPr>
                  <w:tcW w:w="453" w:type="pct"/>
                  <w:vAlign w:val="center"/>
                </w:tcPr>
                <w:p w14:paraId="76778EE0">
                  <w:pPr>
                    <w:pStyle w:val="87"/>
                    <w:spacing w:line="240" w:lineRule="auto"/>
                    <w:ind w:firstLine="0" w:firstLineChars="0"/>
                    <w:jc w:val="center"/>
                    <w:rPr>
                      <w:color w:val="FF0000"/>
                    </w:rPr>
                  </w:pPr>
                  <w:r>
                    <w:rPr>
                      <w:color w:val="FF0000"/>
                      <w:sz w:val="21"/>
                      <w:szCs w:val="21"/>
                    </w:rPr>
                    <w:t>1</w:t>
                  </w:r>
                </w:p>
              </w:tc>
              <w:tc>
                <w:tcPr>
                  <w:tcW w:w="453" w:type="pct"/>
                  <w:vAlign w:val="center"/>
                </w:tcPr>
                <w:p w14:paraId="5D7BE968">
                  <w:pPr>
                    <w:pStyle w:val="87"/>
                    <w:spacing w:line="240" w:lineRule="auto"/>
                    <w:ind w:firstLine="0" w:firstLineChars="0"/>
                    <w:jc w:val="center"/>
                    <w:rPr>
                      <w:rFonts w:hint="eastAsia" w:eastAsia="宋体"/>
                      <w:color w:val="FF0000"/>
                      <w:lang w:eastAsia="zh-CN"/>
                    </w:rPr>
                  </w:pPr>
                  <w:r>
                    <w:rPr>
                      <w:rFonts w:hint="eastAsia"/>
                      <w:color w:val="FF0000"/>
                      <w:sz w:val="21"/>
                      <w:szCs w:val="21"/>
                      <w:lang w:val="en-US" w:eastAsia="zh-CN"/>
                    </w:rPr>
                    <w:t>空压机</w:t>
                  </w:r>
                </w:p>
              </w:tc>
              <w:tc>
                <w:tcPr>
                  <w:tcW w:w="453" w:type="pct"/>
                  <w:vAlign w:val="center"/>
                </w:tcPr>
                <w:p w14:paraId="7C0F4000">
                  <w:pPr>
                    <w:pStyle w:val="87"/>
                    <w:spacing w:line="240" w:lineRule="auto"/>
                    <w:ind w:firstLine="0" w:firstLineChars="0"/>
                    <w:jc w:val="center"/>
                    <w:rPr>
                      <w:color w:val="FF0000"/>
                    </w:rPr>
                  </w:pPr>
                  <w:r>
                    <w:rPr>
                      <w:color w:val="FF0000"/>
                    </w:rPr>
                    <w:t>1</w:t>
                  </w:r>
                </w:p>
              </w:tc>
              <w:tc>
                <w:tcPr>
                  <w:tcW w:w="453" w:type="pct"/>
                  <w:vAlign w:val="center"/>
                </w:tcPr>
                <w:p w14:paraId="6E6F8D47">
                  <w:pPr>
                    <w:pStyle w:val="87"/>
                    <w:spacing w:line="240" w:lineRule="auto"/>
                    <w:ind w:firstLine="0" w:firstLineChars="0"/>
                    <w:jc w:val="center"/>
                    <w:rPr>
                      <w:color w:val="FF0000"/>
                    </w:rPr>
                  </w:pPr>
                  <w:r>
                    <w:rPr>
                      <w:color w:val="FF0000"/>
                      <w:sz w:val="21"/>
                      <w:szCs w:val="21"/>
                    </w:rPr>
                    <w:t>/</w:t>
                  </w:r>
                </w:p>
              </w:tc>
              <w:tc>
                <w:tcPr>
                  <w:tcW w:w="453" w:type="pct"/>
                  <w:vAlign w:val="center"/>
                </w:tcPr>
                <w:p w14:paraId="56A12CAC">
                  <w:pPr>
                    <w:pStyle w:val="87"/>
                    <w:spacing w:line="240" w:lineRule="auto"/>
                    <w:ind w:firstLine="0" w:firstLineChars="0"/>
                    <w:jc w:val="center"/>
                    <w:rPr>
                      <w:rFonts w:hint="default" w:eastAsia="宋体"/>
                      <w:color w:val="FF0000"/>
                      <w:lang w:val="en-US" w:eastAsia="zh-CN"/>
                    </w:rPr>
                  </w:pPr>
                  <w:r>
                    <w:rPr>
                      <w:color w:val="FF0000"/>
                      <w:sz w:val="21"/>
                      <w:szCs w:val="21"/>
                    </w:rPr>
                    <w:t>-</w:t>
                  </w:r>
                  <w:r>
                    <w:rPr>
                      <w:rFonts w:hint="eastAsia"/>
                      <w:color w:val="FF0000"/>
                      <w:sz w:val="21"/>
                      <w:szCs w:val="21"/>
                      <w:lang w:val="en-US" w:eastAsia="zh-CN"/>
                    </w:rPr>
                    <w:t>2.1</w:t>
                  </w:r>
                </w:p>
              </w:tc>
              <w:tc>
                <w:tcPr>
                  <w:tcW w:w="453" w:type="pct"/>
                  <w:vAlign w:val="center"/>
                </w:tcPr>
                <w:p w14:paraId="24DF3E45">
                  <w:pPr>
                    <w:pStyle w:val="87"/>
                    <w:spacing w:line="240" w:lineRule="auto"/>
                    <w:ind w:firstLine="0" w:firstLineChars="0"/>
                    <w:jc w:val="center"/>
                    <w:rPr>
                      <w:rFonts w:hint="default" w:eastAsia="宋体"/>
                      <w:color w:val="FF0000"/>
                      <w:lang w:val="en-US" w:eastAsia="zh-CN"/>
                    </w:rPr>
                  </w:pPr>
                  <w:r>
                    <w:rPr>
                      <w:rFonts w:hint="eastAsia"/>
                      <w:color w:val="FF0000"/>
                      <w:sz w:val="21"/>
                      <w:szCs w:val="21"/>
                      <w:lang w:val="en-US" w:eastAsia="zh-CN"/>
                    </w:rPr>
                    <w:t>10.4</w:t>
                  </w:r>
                </w:p>
              </w:tc>
              <w:tc>
                <w:tcPr>
                  <w:tcW w:w="456" w:type="pct"/>
                  <w:vAlign w:val="center"/>
                </w:tcPr>
                <w:p w14:paraId="0E68B860">
                  <w:pPr>
                    <w:pStyle w:val="87"/>
                    <w:spacing w:line="240" w:lineRule="auto"/>
                    <w:ind w:firstLine="0" w:firstLineChars="0"/>
                    <w:jc w:val="center"/>
                    <w:rPr>
                      <w:color w:val="FF0000"/>
                    </w:rPr>
                  </w:pPr>
                  <w:r>
                    <w:rPr>
                      <w:color w:val="FF0000"/>
                      <w:sz w:val="21"/>
                      <w:szCs w:val="21"/>
                    </w:rPr>
                    <w:t>0.5</w:t>
                  </w:r>
                </w:p>
              </w:tc>
              <w:tc>
                <w:tcPr>
                  <w:tcW w:w="453" w:type="pct"/>
                  <w:vAlign w:val="center"/>
                </w:tcPr>
                <w:p w14:paraId="5F0516ED">
                  <w:pPr>
                    <w:pStyle w:val="87"/>
                    <w:spacing w:line="240" w:lineRule="auto"/>
                    <w:ind w:firstLine="0" w:firstLineChars="0"/>
                    <w:jc w:val="center"/>
                    <w:rPr>
                      <w:color w:val="FF0000"/>
                    </w:rPr>
                  </w:pPr>
                  <w:r>
                    <w:rPr>
                      <w:color w:val="FF0000"/>
                      <w:sz w:val="21"/>
                      <w:szCs w:val="21"/>
                    </w:rPr>
                    <w:t>/</w:t>
                  </w:r>
                </w:p>
              </w:tc>
              <w:tc>
                <w:tcPr>
                  <w:tcW w:w="455" w:type="pct"/>
                  <w:vAlign w:val="center"/>
                </w:tcPr>
                <w:p w14:paraId="5443B06B">
                  <w:pPr>
                    <w:pStyle w:val="87"/>
                    <w:spacing w:line="240" w:lineRule="auto"/>
                    <w:ind w:firstLine="0" w:firstLineChars="0"/>
                    <w:jc w:val="center"/>
                    <w:rPr>
                      <w:rFonts w:hint="default" w:eastAsia="宋体"/>
                      <w:color w:val="FF0000"/>
                      <w:lang w:val="en-US" w:eastAsia="zh-CN"/>
                    </w:rPr>
                  </w:pPr>
                  <w:r>
                    <w:rPr>
                      <w:rFonts w:hint="eastAsia"/>
                      <w:color w:val="FF0000"/>
                      <w:sz w:val="21"/>
                      <w:szCs w:val="21"/>
                      <w:lang w:val="en-US" w:eastAsia="zh-CN"/>
                    </w:rPr>
                    <w:t>85</w:t>
                  </w:r>
                </w:p>
              </w:tc>
              <w:tc>
                <w:tcPr>
                  <w:tcW w:w="453" w:type="pct"/>
                  <w:vAlign w:val="center"/>
                </w:tcPr>
                <w:p w14:paraId="2521D3A3">
                  <w:pPr>
                    <w:pStyle w:val="87"/>
                    <w:spacing w:line="240" w:lineRule="auto"/>
                    <w:ind w:firstLine="0" w:firstLineChars="0"/>
                    <w:jc w:val="center"/>
                    <w:rPr>
                      <w:color w:val="FF0000"/>
                      <w:sz w:val="21"/>
                      <w:szCs w:val="21"/>
                    </w:rPr>
                  </w:pPr>
                  <w:r>
                    <w:rPr>
                      <w:color w:val="FF0000"/>
                      <w:sz w:val="21"/>
                      <w:szCs w:val="21"/>
                    </w:rPr>
                    <w:t>距离衰减</w:t>
                  </w:r>
                </w:p>
                <w:p w14:paraId="0ED618AF">
                  <w:pPr>
                    <w:pStyle w:val="87"/>
                    <w:spacing w:line="240" w:lineRule="auto"/>
                    <w:ind w:firstLine="0" w:firstLineChars="0"/>
                    <w:jc w:val="center"/>
                    <w:rPr>
                      <w:color w:val="FF0000"/>
                    </w:rPr>
                  </w:pPr>
                  <w:r>
                    <w:rPr>
                      <w:color w:val="FF0000"/>
                      <w:sz w:val="21"/>
                      <w:szCs w:val="21"/>
                    </w:rPr>
                    <w:t>降噪措施</w:t>
                  </w:r>
                </w:p>
              </w:tc>
              <w:tc>
                <w:tcPr>
                  <w:tcW w:w="457" w:type="pct"/>
                  <w:vAlign w:val="center"/>
                </w:tcPr>
                <w:p w14:paraId="4D73D968">
                  <w:pPr>
                    <w:pStyle w:val="87"/>
                    <w:spacing w:line="240" w:lineRule="auto"/>
                    <w:ind w:firstLine="0" w:firstLineChars="0"/>
                    <w:jc w:val="center"/>
                    <w:rPr>
                      <w:color w:val="FF0000"/>
                    </w:rPr>
                  </w:pPr>
                  <w:r>
                    <w:rPr>
                      <w:color w:val="FF0000"/>
                      <w:sz w:val="21"/>
                      <w:szCs w:val="21"/>
                    </w:rPr>
                    <w:t>昼间</w:t>
                  </w:r>
                </w:p>
              </w:tc>
            </w:tr>
            <w:tr w14:paraId="028B6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4" w:hRule="atLeast"/>
              </w:trPr>
              <w:tc>
                <w:tcPr>
                  <w:tcW w:w="453" w:type="pct"/>
                  <w:vAlign w:val="center"/>
                </w:tcPr>
                <w:p w14:paraId="29042A07">
                  <w:pPr>
                    <w:pStyle w:val="87"/>
                    <w:spacing w:line="240" w:lineRule="auto"/>
                    <w:ind w:firstLine="0" w:firstLineChars="0"/>
                    <w:jc w:val="center"/>
                    <w:rPr>
                      <w:rFonts w:hint="eastAsia" w:eastAsia="宋体"/>
                      <w:color w:val="FF0000"/>
                      <w:sz w:val="21"/>
                      <w:szCs w:val="21"/>
                      <w:lang w:val="en-US" w:eastAsia="zh-CN"/>
                    </w:rPr>
                  </w:pPr>
                  <w:r>
                    <w:rPr>
                      <w:rFonts w:hint="eastAsia"/>
                      <w:color w:val="FF0000"/>
                      <w:sz w:val="21"/>
                      <w:szCs w:val="21"/>
                      <w:lang w:val="en-US" w:eastAsia="zh-CN"/>
                    </w:rPr>
                    <w:t>1</w:t>
                  </w:r>
                </w:p>
              </w:tc>
              <w:tc>
                <w:tcPr>
                  <w:tcW w:w="453" w:type="pct"/>
                  <w:shd w:val="clear" w:color="auto" w:fill="auto"/>
                  <w:vAlign w:val="center"/>
                </w:tcPr>
                <w:p w14:paraId="54EE0164">
                  <w:pPr>
                    <w:keepNext w:val="0"/>
                    <w:keepLines w:val="0"/>
                    <w:pageBreakBefore w:val="0"/>
                    <w:widowControl w:val="0"/>
                    <w:kinsoku/>
                    <w:wordWrap/>
                    <w:overflowPunct/>
                    <w:topLinePunct w:val="0"/>
                    <w:bidi w:val="0"/>
                    <w:snapToGrid/>
                    <w:spacing w:line="240" w:lineRule="auto"/>
                    <w:ind w:firstLine="0" w:firstLineChars="0"/>
                    <w:jc w:val="center"/>
                    <w:rPr>
                      <w:rFonts w:hint="eastAsia" w:ascii="Times New Roman" w:hAnsi="Times New Roman" w:eastAsia="宋体" w:cs="Times New Roman"/>
                      <w:color w:val="FF0000"/>
                      <w:kern w:val="2"/>
                      <w:sz w:val="21"/>
                      <w:szCs w:val="21"/>
                      <w:lang w:val="en-US" w:eastAsia="zh-CN" w:bidi="ar-SA"/>
                    </w:rPr>
                  </w:pPr>
                  <w:r>
                    <w:rPr>
                      <w:rFonts w:hint="eastAsia" w:cs="Times New Roman"/>
                      <w:color w:val="FF0000"/>
                      <w:sz w:val="21"/>
                      <w:szCs w:val="21"/>
                      <w:lang w:val="en-US" w:eastAsia="zh-CN"/>
                    </w:rPr>
                    <w:t>引风机</w:t>
                  </w:r>
                </w:p>
              </w:tc>
              <w:tc>
                <w:tcPr>
                  <w:tcW w:w="453" w:type="pct"/>
                  <w:vAlign w:val="center"/>
                </w:tcPr>
                <w:p w14:paraId="22198A47">
                  <w:pPr>
                    <w:pStyle w:val="87"/>
                    <w:spacing w:line="240" w:lineRule="auto"/>
                    <w:ind w:firstLine="0" w:firstLineChars="0"/>
                    <w:jc w:val="center"/>
                    <w:rPr>
                      <w:rFonts w:hint="eastAsia" w:eastAsia="宋体"/>
                      <w:color w:val="FF0000"/>
                      <w:lang w:val="en-US" w:eastAsia="zh-CN"/>
                    </w:rPr>
                  </w:pPr>
                  <w:r>
                    <w:rPr>
                      <w:rFonts w:hint="eastAsia"/>
                      <w:color w:val="FF0000"/>
                      <w:lang w:val="en-US" w:eastAsia="zh-CN"/>
                    </w:rPr>
                    <w:t>1</w:t>
                  </w:r>
                </w:p>
              </w:tc>
              <w:tc>
                <w:tcPr>
                  <w:tcW w:w="453" w:type="pct"/>
                  <w:vAlign w:val="center"/>
                </w:tcPr>
                <w:p w14:paraId="124AF088">
                  <w:pPr>
                    <w:pStyle w:val="87"/>
                    <w:spacing w:line="240" w:lineRule="auto"/>
                    <w:ind w:firstLine="0" w:firstLineChars="0"/>
                    <w:jc w:val="center"/>
                    <w:rPr>
                      <w:rFonts w:hint="eastAsia" w:eastAsia="宋体"/>
                      <w:color w:val="FF0000"/>
                      <w:sz w:val="21"/>
                      <w:szCs w:val="21"/>
                      <w:lang w:val="en-US" w:eastAsia="zh-CN"/>
                    </w:rPr>
                  </w:pPr>
                  <w:r>
                    <w:rPr>
                      <w:rFonts w:hint="eastAsia"/>
                      <w:color w:val="FF0000"/>
                      <w:sz w:val="21"/>
                      <w:szCs w:val="21"/>
                      <w:lang w:val="en-US" w:eastAsia="zh-CN"/>
                    </w:rPr>
                    <w:t>/</w:t>
                  </w:r>
                </w:p>
              </w:tc>
              <w:tc>
                <w:tcPr>
                  <w:tcW w:w="453" w:type="pct"/>
                  <w:vAlign w:val="center"/>
                </w:tcPr>
                <w:p w14:paraId="24DCF8AF">
                  <w:pPr>
                    <w:pStyle w:val="87"/>
                    <w:spacing w:line="240" w:lineRule="auto"/>
                    <w:ind w:firstLine="0" w:firstLineChars="0"/>
                    <w:jc w:val="center"/>
                    <w:rPr>
                      <w:rFonts w:hint="default" w:eastAsia="宋体"/>
                      <w:color w:val="FF0000"/>
                      <w:sz w:val="21"/>
                      <w:szCs w:val="21"/>
                      <w:lang w:val="en-US" w:eastAsia="zh-CN"/>
                    </w:rPr>
                  </w:pPr>
                  <w:r>
                    <w:rPr>
                      <w:rFonts w:hint="eastAsia"/>
                      <w:color w:val="FF0000"/>
                      <w:sz w:val="21"/>
                      <w:szCs w:val="21"/>
                      <w:lang w:val="en-US" w:eastAsia="zh-CN"/>
                    </w:rPr>
                    <w:t>1.6</w:t>
                  </w:r>
                </w:p>
              </w:tc>
              <w:tc>
                <w:tcPr>
                  <w:tcW w:w="453" w:type="pct"/>
                  <w:vAlign w:val="center"/>
                </w:tcPr>
                <w:p w14:paraId="4F52E8A5">
                  <w:pPr>
                    <w:pStyle w:val="87"/>
                    <w:spacing w:line="240" w:lineRule="auto"/>
                    <w:ind w:firstLine="0" w:firstLineChars="0"/>
                    <w:jc w:val="center"/>
                    <w:rPr>
                      <w:rFonts w:hint="default"/>
                      <w:color w:val="FF0000"/>
                      <w:sz w:val="21"/>
                      <w:szCs w:val="21"/>
                      <w:lang w:val="en-US" w:eastAsia="zh-CN"/>
                    </w:rPr>
                  </w:pPr>
                  <w:r>
                    <w:rPr>
                      <w:rFonts w:hint="eastAsia"/>
                      <w:color w:val="FF0000"/>
                      <w:sz w:val="21"/>
                      <w:szCs w:val="21"/>
                      <w:lang w:val="en-US" w:eastAsia="zh-CN"/>
                    </w:rPr>
                    <w:t>11.2</w:t>
                  </w:r>
                </w:p>
              </w:tc>
              <w:tc>
                <w:tcPr>
                  <w:tcW w:w="456" w:type="pct"/>
                  <w:vAlign w:val="center"/>
                </w:tcPr>
                <w:p w14:paraId="088BA548">
                  <w:pPr>
                    <w:pStyle w:val="87"/>
                    <w:spacing w:line="240" w:lineRule="auto"/>
                    <w:ind w:firstLine="0" w:firstLineChars="0"/>
                    <w:jc w:val="center"/>
                    <w:rPr>
                      <w:rFonts w:hint="default" w:eastAsia="宋体"/>
                      <w:color w:val="FF0000"/>
                      <w:sz w:val="21"/>
                      <w:szCs w:val="21"/>
                      <w:lang w:val="en-US" w:eastAsia="zh-CN"/>
                    </w:rPr>
                  </w:pPr>
                  <w:r>
                    <w:rPr>
                      <w:rFonts w:hint="eastAsia"/>
                      <w:color w:val="FF0000"/>
                      <w:sz w:val="21"/>
                      <w:szCs w:val="21"/>
                      <w:lang w:val="en-US" w:eastAsia="zh-CN"/>
                    </w:rPr>
                    <w:t>0.5</w:t>
                  </w:r>
                </w:p>
              </w:tc>
              <w:tc>
                <w:tcPr>
                  <w:tcW w:w="756" w:type="dxa"/>
                  <w:vAlign w:val="center"/>
                </w:tcPr>
                <w:p w14:paraId="1A65564A">
                  <w:pPr>
                    <w:pStyle w:val="87"/>
                    <w:spacing w:line="240" w:lineRule="auto"/>
                    <w:ind w:firstLine="0" w:firstLineChars="0"/>
                    <w:jc w:val="center"/>
                    <w:rPr>
                      <w:color w:val="FF0000"/>
                      <w:sz w:val="21"/>
                      <w:szCs w:val="21"/>
                    </w:rPr>
                  </w:pPr>
                  <w:r>
                    <w:rPr>
                      <w:color w:val="FF0000"/>
                      <w:sz w:val="21"/>
                      <w:szCs w:val="21"/>
                    </w:rPr>
                    <w:t>/</w:t>
                  </w:r>
                </w:p>
              </w:tc>
              <w:tc>
                <w:tcPr>
                  <w:tcW w:w="758" w:type="dxa"/>
                  <w:vAlign w:val="center"/>
                </w:tcPr>
                <w:p w14:paraId="71FDEEEA">
                  <w:pPr>
                    <w:pStyle w:val="87"/>
                    <w:spacing w:line="240" w:lineRule="auto"/>
                    <w:ind w:firstLine="0" w:firstLineChars="0"/>
                    <w:jc w:val="center"/>
                    <w:rPr>
                      <w:rFonts w:hint="eastAsia"/>
                      <w:color w:val="FF0000"/>
                      <w:sz w:val="21"/>
                      <w:szCs w:val="21"/>
                      <w:lang w:val="en-US" w:eastAsia="zh-CN"/>
                    </w:rPr>
                  </w:pPr>
                  <w:r>
                    <w:rPr>
                      <w:rFonts w:hint="eastAsia"/>
                      <w:color w:val="FF0000"/>
                      <w:sz w:val="21"/>
                      <w:szCs w:val="21"/>
                      <w:lang w:val="en-US" w:eastAsia="zh-CN"/>
                    </w:rPr>
                    <w:t>85</w:t>
                  </w:r>
                </w:p>
              </w:tc>
              <w:tc>
                <w:tcPr>
                  <w:tcW w:w="756" w:type="dxa"/>
                  <w:vAlign w:val="center"/>
                </w:tcPr>
                <w:p w14:paraId="51BA8AE2">
                  <w:pPr>
                    <w:pStyle w:val="87"/>
                    <w:spacing w:line="240" w:lineRule="auto"/>
                    <w:ind w:firstLine="0" w:firstLineChars="0"/>
                    <w:jc w:val="center"/>
                    <w:rPr>
                      <w:color w:val="FF0000"/>
                      <w:sz w:val="21"/>
                      <w:szCs w:val="21"/>
                    </w:rPr>
                  </w:pPr>
                  <w:r>
                    <w:rPr>
                      <w:color w:val="FF0000"/>
                      <w:sz w:val="21"/>
                      <w:szCs w:val="21"/>
                    </w:rPr>
                    <w:t>距离衰减</w:t>
                  </w:r>
                </w:p>
                <w:p w14:paraId="56AA9C35">
                  <w:pPr>
                    <w:pStyle w:val="87"/>
                    <w:spacing w:line="240" w:lineRule="auto"/>
                    <w:ind w:firstLine="0" w:firstLineChars="0"/>
                    <w:jc w:val="center"/>
                    <w:rPr>
                      <w:color w:val="FF0000"/>
                      <w:sz w:val="21"/>
                      <w:szCs w:val="21"/>
                    </w:rPr>
                  </w:pPr>
                  <w:r>
                    <w:rPr>
                      <w:color w:val="FF0000"/>
                      <w:sz w:val="21"/>
                      <w:szCs w:val="21"/>
                    </w:rPr>
                    <w:t>降噪措施</w:t>
                  </w:r>
                </w:p>
              </w:tc>
              <w:tc>
                <w:tcPr>
                  <w:tcW w:w="762" w:type="dxa"/>
                  <w:vAlign w:val="center"/>
                </w:tcPr>
                <w:p w14:paraId="2F346BCE">
                  <w:pPr>
                    <w:pStyle w:val="87"/>
                    <w:spacing w:line="240" w:lineRule="auto"/>
                    <w:ind w:firstLine="0" w:firstLineChars="0"/>
                    <w:jc w:val="center"/>
                    <w:rPr>
                      <w:color w:val="FF0000"/>
                      <w:sz w:val="21"/>
                      <w:szCs w:val="21"/>
                    </w:rPr>
                  </w:pPr>
                  <w:r>
                    <w:rPr>
                      <w:color w:val="FF0000"/>
                      <w:sz w:val="21"/>
                      <w:szCs w:val="21"/>
                    </w:rPr>
                    <w:t>昼间</w:t>
                  </w:r>
                </w:p>
              </w:tc>
            </w:tr>
            <w:tr w14:paraId="7C83C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11"/>
                </w:tcPr>
                <w:p w14:paraId="25131945">
                  <w:pPr>
                    <w:pStyle w:val="7"/>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color w:val="FF0000"/>
                    </w:rPr>
                  </w:pPr>
                  <w:r>
                    <w:rPr>
                      <w:b/>
                      <w:bCs/>
                      <w:color w:val="FF0000"/>
                      <w:sz w:val="21"/>
                      <w:szCs w:val="21"/>
                    </w:rPr>
                    <w:t>注：</w:t>
                  </w:r>
                  <w:r>
                    <w:rPr>
                      <w:rFonts w:hint="eastAsia" w:ascii="Times New Roman" w:hAnsi="Times New Roman"/>
                      <w:b/>
                      <w:bCs/>
                      <w:color w:val="FF0000"/>
                      <w:kern w:val="0"/>
                      <w:sz w:val="21"/>
                      <w:szCs w:val="21"/>
                      <w:lang w:val="en-US" w:eastAsia="zh-CN"/>
                    </w:rPr>
                    <w:t>此次以技改</w:t>
                  </w:r>
                  <w:r>
                    <w:rPr>
                      <w:rFonts w:ascii="Times New Roman" w:hAnsi="Times New Roman"/>
                      <w:b/>
                      <w:bCs/>
                      <w:color w:val="FF0000"/>
                      <w:kern w:val="0"/>
                      <w:sz w:val="21"/>
                      <w:szCs w:val="21"/>
                    </w:rPr>
                    <w:t>项目中心为坐标原点（0，0），地理坐标为</w:t>
                  </w:r>
                  <w:r>
                    <w:rPr>
                      <w:rFonts w:hint="default" w:ascii="Times New Roman" w:hAnsi="Times New Roman" w:eastAsia="宋体" w:cs="Times New Roman"/>
                      <w:b/>
                      <w:bCs/>
                      <w:color w:val="FF0000"/>
                      <w:sz w:val="21"/>
                      <w:szCs w:val="21"/>
                    </w:rPr>
                    <w:t>E115°30′15.915″</w:t>
                  </w:r>
                  <w:r>
                    <w:rPr>
                      <w:rFonts w:hint="eastAsia" w:cs="Times New Roman"/>
                      <w:b/>
                      <w:bCs/>
                      <w:color w:val="FF0000"/>
                      <w:sz w:val="21"/>
                      <w:szCs w:val="21"/>
                      <w:lang w:eastAsia="zh-CN"/>
                    </w:rPr>
                    <w:t>，</w:t>
                  </w:r>
                  <w:r>
                    <w:rPr>
                      <w:rFonts w:hint="default" w:ascii="Times New Roman" w:hAnsi="Times New Roman" w:eastAsia="宋体" w:cs="Times New Roman"/>
                      <w:b/>
                      <w:bCs/>
                      <w:color w:val="FF0000"/>
                      <w:sz w:val="21"/>
                      <w:szCs w:val="21"/>
                    </w:rPr>
                    <w:t>N28°8′46.666″</w:t>
                  </w:r>
                </w:p>
              </w:tc>
            </w:tr>
          </w:tbl>
          <w:p w14:paraId="4C3479F2">
            <w:pPr>
              <w:spacing w:line="360" w:lineRule="auto"/>
              <w:ind w:firstLine="482" w:firstLineChars="200"/>
              <w:rPr>
                <w:b/>
                <w:bCs/>
                <w:color w:val="auto"/>
                <w:sz w:val="24"/>
              </w:rPr>
            </w:pPr>
            <w:r>
              <w:rPr>
                <w:rFonts w:hint="eastAsia"/>
                <w:b/>
                <w:bCs/>
                <w:color w:val="auto"/>
                <w:sz w:val="24"/>
                <w:lang w:val="en-US" w:eastAsia="zh-CN"/>
              </w:rPr>
              <w:t>2、</w:t>
            </w:r>
            <w:r>
              <w:rPr>
                <w:b/>
                <w:bCs/>
                <w:color w:val="auto"/>
                <w:sz w:val="24"/>
              </w:rPr>
              <w:t>噪声排放达标分析</w:t>
            </w:r>
          </w:p>
          <w:p w14:paraId="3AD3979F">
            <w:pPr>
              <w:spacing w:line="360" w:lineRule="auto"/>
              <w:ind w:firstLine="480"/>
              <w:rPr>
                <w:color w:val="auto"/>
                <w:sz w:val="24"/>
              </w:rPr>
            </w:pPr>
            <w:r>
              <w:rPr>
                <w:color w:val="auto"/>
                <w:sz w:val="24"/>
              </w:rPr>
              <w:t>1）计算某个声源在预测点的倍频带声压级</w:t>
            </w:r>
          </w:p>
          <w:p w14:paraId="5B3FC958">
            <w:pPr>
              <w:spacing w:line="360" w:lineRule="auto"/>
              <w:ind w:firstLine="480"/>
              <w:rPr>
                <w:color w:val="auto"/>
                <w:sz w:val="24"/>
              </w:rPr>
            </w:pPr>
            <w:r>
              <w:rPr>
                <w:color w:val="auto"/>
                <w:sz w:val="24"/>
              </w:rPr>
              <w:t>式中：</w:t>
            </w:r>
          </w:p>
          <w:p w14:paraId="4248A98F">
            <w:pPr>
              <w:spacing w:line="360" w:lineRule="auto"/>
              <w:ind w:firstLine="480"/>
              <w:rPr>
                <w:color w:val="auto"/>
                <w:sz w:val="24"/>
              </w:rPr>
            </w:pPr>
            <w:r>
              <w:rPr>
                <w:color w:val="auto"/>
                <w:sz w:val="24"/>
              </w:rPr>
              <w:t>Loct(r)—点声源在预测点产生的倍频带声压级；</w:t>
            </w:r>
          </w:p>
          <w:p w14:paraId="287AE3FF">
            <w:pPr>
              <w:spacing w:line="360" w:lineRule="auto"/>
              <w:ind w:firstLine="480"/>
              <w:rPr>
                <w:color w:val="auto"/>
                <w:sz w:val="24"/>
              </w:rPr>
            </w:pPr>
            <w:r>
              <w:rPr>
                <w:color w:val="auto"/>
                <w:sz w:val="24"/>
              </w:rPr>
              <w:t>Lct(r0)—参考位置r0处的倍频带声压级；</w:t>
            </w:r>
          </w:p>
          <w:p w14:paraId="56B1E7C1">
            <w:pPr>
              <w:spacing w:line="360" w:lineRule="auto"/>
              <w:ind w:firstLine="480"/>
              <w:rPr>
                <w:color w:val="auto"/>
                <w:sz w:val="24"/>
              </w:rPr>
            </w:pPr>
            <w:r>
              <w:rPr>
                <w:color w:val="auto"/>
                <w:sz w:val="24"/>
              </w:rPr>
              <w:t>r—预测点距声源的距离，m；</w:t>
            </w:r>
          </w:p>
          <w:p w14:paraId="54D7E635">
            <w:pPr>
              <w:spacing w:line="360" w:lineRule="auto"/>
              <w:ind w:firstLine="480"/>
              <w:rPr>
                <w:color w:val="auto"/>
                <w:sz w:val="24"/>
              </w:rPr>
            </w:pPr>
            <w:r>
              <w:rPr>
                <w:color w:val="auto"/>
                <w:sz w:val="24"/>
              </w:rPr>
              <w:t>r0—参考位置距声源的距离，m；</w:t>
            </w:r>
          </w:p>
          <w:p w14:paraId="5FD57A63">
            <w:pPr>
              <w:spacing w:line="360" w:lineRule="auto"/>
              <w:ind w:firstLine="480"/>
              <w:rPr>
                <w:color w:val="auto"/>
                <w:sz w:val="24"/>
              </w:rPr>
            </w:pPr>
            <w:r>
              <w:rPr>
                <w:color w:val="auto"/>
                <w:sz w:val="24"/>
              </w:rPr>
              <w:t>ΔLoct—各种因素引起的衰减量（包括声屏障、遮挡物、空气吸收、地面效应等引起的衰减量，其计算方法详见“导则”正文）。</w:t>
            </w:r>
          </w:p>
          <w:p w14:paraId="5AE0FB98">
            <w:pPr>
              <w:spacing w:line="360" w:lineRule="auto"/>
              <w:ind w:firstLine="480"/>
              <w:rPr>
                <w:color w:val="auto"/>
                <w:sz w:val="24"/>
              </w:rPr>
            </w:pPr>
            <w:r>
              <w:rPr>
                <w:color w:val="auto"/>
                <w:sz w:val="24"/>
              </w:rPr>
              <w:t>如果已知声源的倍频带声功率级Lwoct，且声源可看作是位于地面上的，则由各倍频带声压级合成计算出该声源产生的声级LA。</w:t>
            </w:r>
          </w:p>
          <w:p w14:paraId="584CC929">
            <w:pPr>
              <w:spacing w:line="360" w:lineRule="auto"/>
              <w:ind w:firstLine="480"/>
              <w:rPr>
                <w:color w:val="auto"/>
                <w:sz w:val="24"/>
              </w:rPr>
            </w:pPr>
            <w:r>
              <w:rPr>
                <w:color w:val="auto"/>
                <w:sz w:val="24"/>
              </w:rPr>
              <w:t>2）室内声源预测模式</w:t>
            </w:r>
          </w:p>
          <w:p w14:paraId="79F9488C">
            <w:pPr>
              <w:spacing w:line="360" w:lineRule="auto"/>
              <w:ind w:firstLine="480"/>
              <w:jc w:val="center"/>
              <w:rPr>
                <w:color w:val="auto"/>
                <w:sz w:val="24"/>
              </w:rPr>
            </w:pPr>
            <w:r>
              <w:rPr>
                <w:color w:val="auto"/>
                <w:sz w:val="24"/>
              </w:rPr>
              <w:drawing>
                <wp:inline distT="0" distB="0" distL="114300" distR="114300">
                  <wp:extent cx="2466975" cy="1425575"/>
                  <wp:effectExtent l="0" t="0" r="9525" b="3175"/>
                  <wp:docPr id="4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2"/>
                          <pic:cNvPicPr>
                            <a:picLocks noChangeAspect="1"/>
                          </pic:cNvPicPr>
                        </pic:nvPicPr>
                        <pic:blipFill>
                          <a:blip r:embed="rId16"/>
                          <a:stretch>
                            <a:fillRect/>
                          </a:stretch>
                        </pic:blipFill>
                        <pic:spPr>
                          <a:xfrm>
                            <a:off x="0" y="0"/>
                            <a:ext cx="2466975" cy="1425575"/>
                          </a:xfrm>
                          <a:prstGeom prst="rect">
                            <a:avLst/>
                          </a:prstGeom>
                          <a:noFill/>
                          <a:ln>
                            <a:noFill/>
                          </a:ln>
                        </pic:spPr>
                      </pic:pic>
                    </a:graphicData>
                  </a:graphic>
                </wp:inline>
              </w:drawing>
            </w:r>
          </w:p>
          <w:p w14:paraId="4E5B2092">
            <w:pPr>
              <w:spacing w:line="360" w:lineRule="auto"/>
              <w:ind w:firstLine="480"/>
              <w:rPr>
                <w:color w:val="auto"/>
                <w:sz w:val="24"/>
              </w:rPr>
            </w:pPr>
            <w:r>
              <w:rPr>
                <w:color w:val="auto"/>
                <w:sz w:val="24"/>
              </w:rPr>
              <w:t>①如图所示，首先计算出某个室内靠近围护结构处的倍频带声压级：</w:t>
            </w:r>
          </w:p>
          <w:p w14:paraId="5F57FC39">
            <w:pPr>
              <w:spacing w:line="360" w:lineRule="auto"/>
              <w:ind w:firstLine="480"/>
              <w:rPr>
                <w:color w:val="auto"/>
                <w:sz w:val="24"/>
              </w:rPr>
            </w:pPr>
            <w:r>
              <w:rPr>
                <w:color w:val="auto"/>
                <w:sz w:val="24"/>
              </w:rPr>
              <w:object>
                <v:shape id="_x0000_i1025" o:spt="75" type="#_x0000_t75" style="height:38.25pt;width:159pt;" o:ole="t" filled="f" o:preferrelative="t" stroked="f" coordsize="21600,21600">
                  <v:path/>
                  <v:fill on="f" focussize="0,0"/>
                  <v:stroke on="f" joinstyle="miter"/>
                  <v:imagedata r:id="rId18" o:title=""/>
                  <o:lock v:ext="edit" aspectratio="t"/>
                  <w10:wrap type="none"/>
                  <w10:anchorlock/>
                </v:shape>
                <o:OLEObject Type="Embed" ProgID="Equation.3" ShapeID="_x0000_i1025" DrawAspect="Content" ObjectID="_1468075725" r:id="rId17">
                  <o:LockedField>false</o:LockedField>
                </o:OLEObject>
              </w:object>
            </w:r>
          </w:p>
          <w:p w14:paraId="022EBCDC">
            <w:pPr>
              <w:spacing w:line="360" w:lineRule="auto"/>
              <w:ind w:firstLine="480"/>
              <w:rPr>
                <w:color w:val="auto"/>
                <w:sz w:val="24"/>
              </w:rPr>
            </w:pPr>
            <w:r>
              <w:rPr>
                <w:color w:val="auto"/>
                <w:sz w:val="24"/>
              </w:rPr>
              <w:t>式中：Loct,1—某个室内声源在靠近围护结构处产生的倍频带声压级；</w:t>
            </w:r>
          </w:p>
          <w:p w14:paraId="36553816">
            <w:pPr>
              <w:spacing w:line="360" w:lineRule="auto"/>
              <w:ind w:firstLine="480"/>
              <w:rPr>
                <w:color w:val="auto"/>
                <w:sz w:val="24"/>
              </w:rPr>
            </w:pPr>
            <w:r>
              <w:rPr>
                <w:color w:val="auto"/>
                <w:sz w:val="24"/>
              </w:rPr>
              <w:t>Lw oct—某个声源的倍频带声功率级；</w:t>
            </w:r>
          </w:p>
          <w:p w14:paraId="1993A53F">
            <w:pPr>
              <w:spacing w:line="360" w:lineRule="auto"/>
              <w:ind w:firstLine="480"/>
              <w:rPr>
                <w:color w:val="auto"/>
                <w:sz w:val="24"/>
              </w:rPr>
            </w:pPr>
            <w:r>
              <w:rPr>
                <w:color w:val="auto"/>
                <w:sz w:val="24"/>
              </w:rPr>
              <w:t>r1—室内某个声源与靠近围护结构处的距离；</w:t>
            </w:r>
          </w:p>
          <w:p w14:paraId="4EEE41A4">
            <w:pPr>
              <w:spacing w:line="360" w:lineRule="auto"/>
              <w:ind w:firstLine="480"/>
              <w:rPr>
                <w:color w:val="auto"/>
                <w:sz w:val="24"/>
              </w:rPr>
            </w:pPr>
            <w:r>
              <w:rPr>
                <w:color w:val="auto"/>
                <w:sz w:val="24"/>
              </w:rPr>
              <w:t>R—房间常数；</w:t>
            </w:r>
          </w:p>
          <w:p w14:paraId="3EC19134">
            <w:pPr>
              <w:spacing w:line="360" w:lineRule="auto"/>
              <w:ind w:firstLine="480"/>
              <w:rPr>
                <w:color w:val="auto"/>
                <w:sz w:val="24"/>
              </w:rPr>
            </w:pPr>
            <w:r>
              <w:rPr>
                <w:color w:val="auto"/>
                <w:sz w:val="24"/>
              </w:rPr>
              <w:t>Q—方向因子。</w:t>
            </w:r>
          </w:p>
          <w:p w14:paraId="1BFAC642">
            <w:pPr>
              <w:spacing w:line="360" w:lineRule="auto"/>
              <w:ind w:firstLine="480"/>
              <w:rPr>
                <w:color w:val="auto"/>
                <w:sz w:val="24"/>
              </w:rPr>
            </w:pPr>
            <w:r>
              <w:rPr>
                <w:color w:val="auto"/>
                <w:sz w:val="24"/>
              </w:rPr>
              <w:t>②计算出所有室内声源在靠近围护结构处产生的总倍频带声压级：</w:t>
            </w:r>
          </w:p>
          <w:p w14:paraId="572156BD">
            <w:pPr>
              <w:spacing w:line="360" w:lineRule="auto"/>
              <w:ind w:firstLine="480"/>
              <w:rPr>
                <w:color w:val="auto"/>
                <w:sz w:val="24"/>
              </w:rPr>
            </w:pPr>
            <w:r>
              <w:rPr>
                <w:color w:val="auto"/>
                <w:sz w:val="24"/>
              </w:rPr>
              <w:object>
                <v:shape id="_x0000_i1026" o:spt="75" type="#_x0000_t75" style="height:36pt;width:145.5pt;" o:ole="t" filled="f" o:preferrelative="t" stroked="f" coordsize="21600,21600">
                  <v:path/>
                  <v:fill on="f" focussize="0,0"/>
                  <v:stroke on="f" joinstyle="miter"/>
                  <v:imagedata r:id="rId20" o:title=""/>
                  <o:lock v:ext="edit" aspectratio="t"/>
                  <w10:wrap type="none"/>
                  <w10:anchorlock/>
                </v:shape>
                <o:OLEObject Type="Embed" ProgID="Equation.3" ShapeID="_x0000_i1026" DrawAspect="Content" ObjectID="_1468075726" r:id="rId19">
                  <o:LockedField>false</o:LockedField>
                </o:OLEObject>
              </w:object>
            </w:r>
          </w:p>
          <w:p w14:paraId="5A526225">
            <w:pPr>
              <w:spacing w:line="360" w:lineRule="auto"/>
              <w:ind w:firstLine="480"/>
              <w:rPr>
                <w:color w:val="auto"/>
                <w:sz w:val="24"/>
              </w:rPr>
            </w:pPr>
            <w:r>
              <w:rPr>
                <w:color w:val="auto"/>
                <w:sz w:val="24"/>
              </w:rPr>
              <w:t>③计算出室外靠近围护结构处的声压级：</w:t>
            </w:r>
          </w:p>
          <w:p w14:paraId="259BDA31">
            <w:pPr>
              <w:spacing w:line="360" w:lineRule="auto"/>
              <w:ind w:firstLine="480"/>
              <w:rPr>
                <w:color w:val="auto"/>
                <w:sz w:val="24"/>
              </w:rPr>
            </w:pPr>
            <w:r>
              <w:rPr>
                <w:color w:val="auto"/>
                <w:sz w:val="24"/>
              </w:rPr>
              <w:object>
                <v:shape id="_x0000_i1027" o:spt="75" type="#_x0000_t75" style="height:18.75pt;width:153pt;" o:ole="t" filled="f" o:preferrelative="t" stroked="f" coordsize="21600,21600">
                  <v:path/>
                  <v:fill on="f" focussize="0,0"/>
                  <v:stroke on="f" joinstyle="miter"/>
                  <v:imagedata r:id="rId22" o:title=""/>
                  <o:lock v:ext="edit" aspectratio="t"/>
                  <w10:wrap type="none"/>
                  <w10:anchorlock/>
                </v:shape>
                <o:OLEObject Type="Embed" ProgID="Equation.3" ShapeID="_x0000_i1027" DrawAspect="Content" ObjectID="_1468075727" r:id="rId21">
                  <o:LockedField>false</o:LockedField>
                </o:OLEObject>
              </w:object>
            </w:r>
          </w:p>
          <w:p w14:paraId="38D5C254">
            <w:pPr>
              <w:spacing w:line="360" w:lineRule="auto"/>
              <w:ind w:firstLine="480"/>
              <w:rPr>
                <w:color w:val="auto"/>
                <w:sz w:val="24"/>
              </w:rPr>
            </w:pPr>
            <w:r>
              <w:rPr>
                <w:color w:val="auto"/>
                <w:sz w:val="24"/>
              </w:rPr>
              <w:t>④将室外声级Loct,2(T)和透声面积换算成等效的室外声源，计算出等效声源第i个倍频带的声功率级Lw oct：</w:t>
            </w:r>
          </w:p>
          <w:p w14:paraId="41BEDDD6">
            <w:pPr>
              <w:spacing w:line="360" w:lineRule="auto"/>
              <w:ind w:firstLine="480"/>
              <w:rPr>
                <w:color w:val="auto"/>
                <w:sz w:val="24"/>
              </w:rPr>
            </w:pPr>
            <w:r>
              <w:rPr>
                <w:color w:val="auto"/>
                <w:sz w:val="24"/>
              </w:rPr>
              <w:object>
                <v:shape id="_x0000_i1028" o:spt="75" type="#_x0000_t75" style="height:18.75pt;width:125.25pt;" o:ole="t" filled="f" o:preferrelative="t" stroked="f" coordsize="21600,21600">
                  <v:path/>
                  <v:fill on="f" focussize="0,0"/>
                  <v:stroke on="f" joinstyle="miter"/>
                  <v:imagedata r:id="rId24" o:title=""/>
                  <o:lock v:ext="edit" aspectratio="t"/>
                  <w10:wrap type="none"/>
                  <w10:anchorlock/>
                </v:shape>
                <o:OLEObject Type="Embed" ProgID="Equation.3" ShapeID="_x0000_i1028" DrawAspect="Content" ObjectID="_1468075728" r:id="rId23">
                  <o:LockedField>false</o:LockedField>
                </o:OLEObject>
              </w:object>
            </w:r>
          </w:p>
          <w:p w14:paraId="2E7B9AB3">
            <w:pPr>
              <w:spacing w:line="360" w:lineRule="auto"/>
              <w:ind w:firstLine="480"/>
              <w:rPr>
                <w:color w:val="auto"/>
                <w:sz w:val="24"/>
              </w:rPr>
            </w:pPr>
            <w:r>
              <w:rPr>
                <w:color w:val="auto"/>
                <w:sz w:val="24"/>
              </w:rPr>
              <w:t>式中：S为透声面积，m</w:t>
            </w:r>
            <w:r>
              <w:rPr>
                <w:color w:val="auto"/>
                <w:sz w:val="24"/>
                <w:vertAlign w:val="superscript"/>
              </w:rPr>
              <w:t>2</w:t>
            </w:r>
            <w:r>
              <w:rPr>
                <w:color w:val="auto"/>
                <w:sz w:val="24"/>
              </w:rPr>
              <w:t>。</w:t>
            </w:r>
          </w:p>
          <w:p w14:paraId="51FEAD30">
            <w:pPr>
              <w:spacing w:line="360" w:lineRule="auto"/>
              <w:ind w:firstLine="480"/>
              <w:rPr>
                <w:color w:val="auto"/>
                <w:sz w:val="24"/>
              </w:rPr>
            </w:pPr>
            <w:r>
              <w:rPr>
                <w:color w:val="auto"/>
                <w:sz w:val="24"/>
              </w:rPr>
              <w:t>⑤等效室外声源的位置为围护结构的位置，其倍频带声功率级为Lw oct，由此按室外声源方法计算等效室外声源在预测点产生的声级。</w:t>
            </w:r>
          </w:p>
          <w:p w14:paraId="4211CC52">
            <w:pPr>
              <w:spacing w:line="360" w:lineRule="auto"/>
              <w:ind w:firstLine="482"/>
              <w:rPr>
                <w:b/>
                <w:bCs/>
                <w:color w:val="auto"/>
                <w:sz w:val="24"/>
              </w:rPr>
            </w:pPr>
            <w:r>
              <w:rPr>
                <w:rFonts w:hint="eastAsia"/>
                <w:b/>
                <w:bCs/>
                <w:color w:val="auto"/>
                <w:sz w:val="24"/>
                <w:lang w:val="en-US" w:eastAsia="zh-CN"/>
              </w:rPr>
              <w:t>3、</w:t>
            </w:r>
            <w:r>
              <w:rPr>
                <w:b/>
                <w:bCs/>
                <w:color w:val="auto"/>
                <w:sz w:val="24"/>
              </w:rPr>
              <w:t>噪声贡献值计算</w:t>
            </w:r>
          </w:p>
          <w:p w14:paraId="62C95338">
            <w:pPr>
              <w:spacing w:line="360" w:lineRule="auto"/>
              <w:ind w:firstLine="480"/>
              <w:rPr>
                <w:color w:val="auto"/>
                <w:sz w:val="24"/>
              </w:rPr>
            </w:pPr>
            <w:r>
              <w:rPr>
                <w:color w:val="auto"/>
                <w:sz w:val="24"/>
              </w:rPr>
              <w:t>设第i个室外声源在预测点产生的A声级为LAin,i，在T时间内该声源工作时间为tin,i；第j个等效室外声源在预测点产生的A声级为LAout,j，在T时间内该声源工作时间为tout,j，则预测点的总等效声级为</w:t>
            </w:r>
          </w:p>
          <w:p w14:paraId="2B92D35A">
            <w:pPr>
              <w:spacing w:line="360" w:lineRule="auto"/>
              <w:ind w:firstLine="480"/>
              <w:rPr>
                <w:color w:val="auto"/>
                <w:sz w:val="24"/>
              </w:rPr>
            </w:pPr>
            <w:r>
              <w:rPr>
                <w:color w:val="auto"/>
                <w:sz w:val="24"/>
              </w:rPr>
              <w:object>
                <v:shape id="_x0000_i1029" o:spt="75" type="#_x0000_t75" style="height:38.25pt;width:246.75pt;" o:ole="t" filled="f" o:preferrelative="t" stroked="f" coordsize="21600,21600">
                  <v:path/>
                  <v:fill on="f" focussize="0,0"/>
                  <v:stroke on="f" joinstyle="miter"/>
                  <v:imagedata r:id="rId26" o:title=""/>
                  <o:lock v:ext="edit" aspectratio="t"/>
                  <w10:wrap type="none"/>
                  <w10:anchorlock/>
                </v:shape>
                <o:OLEObject Type="Embed" ProgID="Equation.3" ShapeID="_x0000_i1029" DrawAspect="Content" ObjectID="_1468075729" r:id="rId25">
                  <o:LockedField>false</o:LockedField>
                </o:OLEObject>
              </w:object>
            </w:r>
          </w:p>
          <w:p w14:paraId="3CA3B420">
            <w:pPr>
              <w:spacing w:line="360" w:lineRule="auto"/>
              <w:ind w:firstLine="480"/>
              <w:rPr>
                <w:color w:val="auto"/>
                <w:sz w:val="24"/>
              </w:rPr>
            </w:pPr>
            <w:r>
              <w:rPr>
                <w:color w:val="auto"/>
                <w:sz w:val="24"/>
              </w:rPr>
              <w:t>式中：T为计算等效声级的时间，N为室外声源个数，M为等效室外声源个数。</w:t>
            </w:r>
          </w:p>
          <w:p w14:paraId="67E4E55B">
            <w:pPr>
              <w:spacing w:line="360" w:lineRule="auto"/>
              <w:ind w:firstLine="480"/>
              <w:rPr>
                <w:color w:val="auto"/>
                <w:sz w:val="24"/>
              </w:rPr>
            </w:pPr>
            <w:r>
              <w:rPr>
                <w:color w:val="auto"/>
                <w:sz w:val="24"/>
              </w:rPr>
              <w:t>1）预测值计算</w:t>
            </w:r>
          </w:p>
          <w:p w14:paraId="40DF5A78">
            <w:pPr>
              <w:spacing w:line="360" w:lineRule="auto"/>
              <w:ind w:firstLine="480"/>
              <w:rPr>
                <w:color w:val="auto"/>
                <w:sz w:val="24"/>
              </w:rPr>
            </w:pPr>
            <w:r>
              <w:rPr>
                <w:color w:val="auto"/>
                <w:sz w:val="24"/>
              </w:rPr>
              <w:t>预测点的预测等效声级(Leq)计算公式：</w:t>
            </w:r>
          </w:p>
          <w:p w14:paraId="1AD5E8E1">
            <w:pPr>
              <w:spacing w:line="360" w:lineRule="auto"/>
              <w:ind w:firstLine="480"/>
              <w:rPr>
                <w:color w:val="auto"/>
                <w:sz w:val="24"/>
              </w:rPr>
            </w:pPr>
            <w:r>
              <w:rPr>
                <w:color w:val="auto"/>
                <w:sz w:val="24"/>
              </w:rPr>
              <w:object>
                <v:shape id="_x0000_i1030" o:spt="75" type="#_x0000_t75" style="height:22.5pt;width:140.25pt;" o:ole="t" filled="f" o:preferrelative="t" stroked="f" coordsize="21600,21600">
                  <v:path/>
                  <v:fill on="f" focussize="0,0"/>
                  <v:stroke on="f" joinstyle="miter"/>
                  <v:imagedata r:id="rId28" o:title=""/>
                  <o:lock v:ext="edit" aspectratio="t"/>
                  <w10:wrap type="none"/>
                  <w10:anchorlock/>
                </v:shape>
                <o:OLEObject Type="Embed" ProgID="Equation.3" ShapeID="_x0000_i1030" DrawAspect="Content" ObjectID="_1468075730" r:id="rId27">
                  <o:LockedField>false</o:LockedField>
                </o:OLEObject>
              </w:object>
            </w:r>
          </w:p>
          <w:p w14:paraId="0338F87D">
            <w:pPr>
              <w:spacing w:line="360" w:lineRule="auto"/>
              <w:ind w:firstLine="480"/>
              <w:rPr>
                <w:color w:val="auto"/>
                <w:sz w:val="24"/>
              </w:rPr>
            </w:pPr>
            <w:r>
              <w:rPr>
                <w:color w:val="auto"/>
                <w:sz w:val="24"/>
              </w:rPr>
              <w:t>式中：Leqg—建设项目声源在预测点的等效声级贡献值，dB(A)；</w:t>
            </w:r>
          </w:p>
          <w:p w14:paraId="4767B325">
            <w:pPr>
              <w:spacing w:line="360" w:lineRule="auto"/>
              <w:ind w:firstLine="480"/>
              <w:rPr>
                <w:color w:val="auto"/>
                <w:sz w:val="24"/>
              </w:rPr>
            </w:pPr>
            <w:r>
              <w:rPr>
                <w:color w:val="auto"/>
                <w:sz w:val="24"/>
              </w:rPr>
              <w:t>Leqb—预测点的背景值，dB(A)。</w:t>
            </w:r>
          </w:p>
          <w:p w14:paraId="60D7FFAD">
            <w:pPr>
              <w:spacing w:line="360" w:lineRule="auto"/>
              <w:ind w:firstLine="482"/>
              <w:rPr>
                <w:b/>
                <w:bCs/>
                <w:sz w:val="24"/>
              </w:rPr>
            </w:pPr>
            <w:r>
              <w:rPr>
                <w:rFonts w:hint="eastAsia"/>
                <w:b/>
                <w:bCs/>
                <w:sz w:val="24"/>
                <w:lang w:val="en-US" w:eastAsia="zh-CN"/>
              </w:rPr>
              <w:t>4、</w:t>
            </w:r>
            <w:r>
              <w:rPr>
                <w:b/>
                <w:bCs/>
                <w:sz w:val="24"/>
              </w:rPr>
              <w:t>厂界噪声预测结果</w:t>
            </w:r>
          </w:p>
          <w:p w14:paraId="35A79B67">
            <w:pPr>
              <w:spacing w:line="360" w:lineRule="auto"/>
              <w:ind w:firstLine="480"/>
              <w:rPr>
                <w:sz w:val="24"/>
              </w:rPr>
            </w:pPr>
            <w:r>
              <w:rPr>
                <w:sz w:val="24"/>
              </w:rPr>
              <w:t>根据室内声压级预测模式，计算出厂界有关参数及预测声压级见表4-</w:t>
            </w:r>
            <w:r>
              <w:rPr>
                <w:rFonts w:hint="eastAsia"/>
                <w:sz w:val="24"/>
                <w:lang w:val="en-US" w:eastAsia="zh-CN"/>
              </w:rPr>
              <w:t>8</w:t>
            </w:r>
            <w:r>
              <w:rPr>
                <w:sz w:val="24"/>
              </w:rPr>
              <w:t>。</w:t>
            </w:r>
          </w:p>
          <w:p w14:paraId="57393C3E">
            <w:pPr>
              <w:jc w:val="center"/>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表4-</w:t>
            </w:r>
            <w:r>
              <w:rPr>
                <w:rFonts w:hint="eastAsia"/>
                <w:b/>
                <w:bCs/>
                <w:color w:val="000000" w:themeColor="text1"/>
                <w:sz w:val="24"/>
                <w:lang w:val="en-US" w:eastAsia="zh-CN"/>
                <w14:textFill>
                  <w14:solidFill>
                    <w14:schemeClr w14:val="tx1"/>
                  </w14:solidFill>
                </w14:textFill>
              </w:rPr>
              <w:t>8</w:t>
            </w:r>
            <w:r>
              <w:rPr>
                <w:b/>
                <w:bCs/>
                <w:color w:val="000000" w:themeColor="text1"/>
                <w:sz w:val="24"/>
                <w14:textFill>
                  <w14:solidFill>
                    <w14:schemeClr w14:val="tx1"/>
                  </w14:solidFill>
                </w14:textFill>
              </w:rPr>
              <w:t xml:space="preserve">  项目</w:t>
            </w:r>
            <w:r>
              <w:rPr>
                <w:rFonts w:hint="eastAsia"/>
                <w:b/>
                <w:bCs/>
                <w:color w:val="FF0000"/>
                <w:sz w:val="24"/>
                <w:lang w:val="en-US" w:eastAsia="zh-CN"/>
              </w:rPr>
              <w:t>厂</w:t>
            </w:r>
            <w:r>
              <w:rPr>
                <w:b/>
                <w:bCs/>
                <w:color w:val="000000" w:themeColor="text1"/>
                <w:sz w:val="24"/>
                <w14:textFill>
                  <w14:solidFill>
                    <w14:schemeClr w14:val="tx1"/>
                  </w14:solidFill>
                </w14:textFill>
              </w:rPr>
              <w:t>区</w:t>
            </w:r>
            <w:r>
              <w:rPr>
                <w:rFonts w:hint="eastAsia"/>
                <w:b/>
                <w:bCs/>
                <w:color w:val="FF0000"/>
                <w:sz w:val="24"/>
                <w:lang w:val="en-US" w:eastAsia="zh-CN"/>
              </w:rPr>
              <w:t>厂</w:t>
            </w:r>
            <w:r>
              <w:rPr>
                <w:b/>
                <w:bCs/>
                <w:color w:val="000000" w:themeColor="text1"/>
                <w:sz w:val="24"/>
                <w14:textFill>
                  <w14:solidFill>
                    <w14:schemeClr w14:val="tx1"/>
                  </w14:solidFill>
                </w14:textFill>
              </w:rPr>
              <w:t>界噪声预测结果  单位：dB（A）</w:t>
            </w:r>
          </w:p>
          <w:tbl>
            <w:tblPr>
              <w:tblStyle w:val="27"/>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726"/>
              <w:gridCol w:w="1718"/>
              <w:gridCol w:w="1579"/>
              <w:gridCol w:w="1714"/>
              <w:gridCol w:w="1599"/>
            </w:tblGrid>
            <w:tr w14:paraId="23801D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035" w:type="pct"/>
                  <w:vMerge w:val="restart"/>
                  <w:vAlign w:val="center"/>
                </w:tcPr>
                <w:p w14:paraId="50B5CA72">
                  <w:pPr>
                    <w:pStyle w:val="42"/>
                    <w:spacing w:before="24" w:after="24"/>
                    <w:rPr>
                      <w:rFonts w:hAnsi="Times New Roman" w:eastAsia="宋体"/>
                      <w:bCs/>
                      <w:color w:val="000000" w:themeColor="text1"/>
                      <w:sz w:val="21"/>
                      <w:szCs w:val="21"/>
                      <w14:textFill>
                        <w14:solidFill>
                          <w14:schemeClr w14:val="tx1"/>
                        </w14:solidFill>
                      </w14:textFill>
                    </w:rPr>
                  </w:pPr>
                  <w:r>
                    <w:rPr>
                      <w:rFonts w:hAnsi="Times New Roman" w:eastAsia="宋体"/>
                      <w:bCs/>
                      <w:color w:val="000000" w:themeColor="text1"/>
                      <w:sz w:val="21"/>
                      <w:szCs w:val="21"/>
                      <w14:textFill>
                        <w14:solidFill>
                          <w14:schemeClr w14:val="tx1"/>
                        </w14:solidFill>
                      </w14:textFill>
                    </w:rPr>
                    <w:t>测点位置</w:t>
                  </w:r>
                </w:p>
              </w:tc>
              <w:tc>
                <w:tcPr>
                  <w:tcW w:w="3964" w:type="pct"/>
                  <w:gridSpan w:val="4"/>
                  <w:vAlign w:val="center"/>
                </w:tcPr>
                <w:p w14:paraId="132E7FD2">
                  <w:pPr>
                    <w:pStyle w:val="42"/>
                    <w:spacing w:before="24" w:after="24"/>
                    <w:rPr>
                      <w:rFonts w:hAnsi="Times New Roman" w:eastAsia="宋体"/>
                      <w:bCs/>
                      <w:color w:val="000000" w:themeColor="text1"/>
                      <w:sz w:val="21"/>
                      <w:szCs w:val="21"/>
                      <w14:textFill>
                        <w14:solidFill>
                          <w14:schemeClr w14:val="tx1"/>
                        </w14:solidFill>
                      </w14:textFill>
                    </w:rPr>
                  </w:pPr>
                  <w:r>
                    <w:rPr>
                      <w:rFonts w:hAnsi="Times New Roman" w:eastAsia="宋体"/>
                      <w:bCs/>
                      <w:color w:val="000000" w:themeColor="text1"/>
                      <w:sz w:val="21"/>
                      <w:szCs w:val="21"/>
                      <w14:textFill>
                        <w14:solidFill>
                          <w14:schemeClr w14:val="tx1"/>
                        </w14:solidFill>
                      </w14:textFill>
                    </w:rPr>
                    <w:t>昼间</w:t>
                  </w:r>
                </w:p>
              </w:tc>
            </w:tr>
            <w:tr w14:paraId="2A1C8F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035" w:type="pct"/>
                  <w:vMerge w:val="continue"/>
                  <w:vAlign w:val="center"/>
                </w:tcPr>
                <w:p w14:paraId="6353BB82">
                  <w:pPr>
                    <w:pStyle w:val="42"/>
                    <w:spacing w:before="24" w:after="24"/>
                    <w:ind w:firstLine="430"/>
                    <w:rPr>
                      <w:rFonts w:hAnsi="Times New Roman" w:eastAsia="宋体"/>
                      <w:bCs/>
                      <w:color w:val="000000" w:themeColor="text1"/>
                      <w:sz w:val="21"/>
                      <w:szCs w:val="21"/>
                      <w14:textFill>
                        <w14:solidFill>
                          <w14:schemeClr w14:val="tx1"/>
                        </w14:solidFill>
                      </w14:textFill>
                    </w:rPr>
                  </w:pPr>
                </w:p>
              </w:tc>
              <w:tc>
                <w:tcPr>
                  <w:tcW w:w="1030" w:type="pct"/>
                  <w:vAlign w:val="center"/>
                </w:tcPr>
                <w:p w14:paraId="398761A0">
                  <w:pPr>
                    <w:pStyle w:val="42"/>
                    <w:spacing w:before="24" w:after="24"/>
                    <w:rPr>
                      <w:rFonts w:hAnsi="Times New Roman" w:eastAsia="宋体"/>
                      <w:bCs/>
                      <w:color w:val="000000" w:themeColor="text1"/>
                      <w:sz w:val="21"/>
                      <w:szCs w:val="21"/>
                      <w14:textFill>
                        <w14:solidFill>
                          <w14:schemeClr w14:val="tx1"/>
                        </w14:solidFill>
                      </w14:textFill>
                    </w:rPr>
                  </w:pPr>
                  <w:r>
                    <w:rPr>
                      <w:rFonts w:hAnsi="Times New Roman" w:eastAsia="宋体"/>
                      <w:bCs/>
                      <w:color w:val="000000" w:themeColor="text1"/>
                      <w:sz w:val="21"/>
                      <w:szCs w:val="21"/>
                      <w14:textFill>
                        <w14:solidFill>
                          <w14:schemeClr w14:val="tx1"/>
                        </w14:solidFill>
                      </w14:textFill>
                    </w:rPr>
                    <w:t>贡献值</w:t>
                  </w:r>
                </w:p>
              </w:tc>
              <w:tc>
                <w:tcPr>
                  <w:tcW w:w="947" w:type="pct"/>
                  <w:vAlign w:val="center"/>
                </w:tcPr>
                <w:p w14:paraId="3FD5DD69">
                  <w:pPr>
                    <w:pStyle w:val="42"/>
                    <w:spacing w:before="24" w:after="24"/>
                    <w:rPr>
                      <w:rFonts w:hAnsi="Times New Roman" w:eastAsia="宋体"/>
                      <w:bCs/>
                      <w:color w:val="000000" w:themeColor="text1"/>
                      <w:sz w:val="21"/>
                      <w:szCs w:val="21"/>
                      <w14:textFill>
                        <w14:solidFill>
                          <w14:schemeClr w14:val="tx1"/>
                        </w14:solidFill>
                      </w14:textFill>
                    </w:rPr>
                  </w:pPr>
                  <w:r>
                    <w:rPr>
                      <w:rFonts w:hAnsi="Times New Roman" w:eastAsia="宋体"/>
                      <w:bCs/>
                      <w:color w:val="000000" w:themeColor="text1"/>
                      <w:sz w:val="21"/>
                      <w:szCs w:val="21"/>
                      <w14:textFill>
                        <w14:solidFill>
                          <w14:schemeClr w14:val="tx1"/>
                        </w14:solidFill>
                      </w14:textFill>
                    </w:rPr>
                    <w:t>背景值</w:t>
                  </w:r>
                </w:p>
              </w:tc>
              <w:tc>
                <w:tcPr>
                  <w:tcW w:w="1028" w:type="pct"/>
                  <w:vAlign w:val="center"/>
                </w:tcPr>
                <w:p w14:paraId="1449648B">
                  <w:pPr>
                    <w:pStyle w:val="42"/>
                    <w:spacing w:before="24" w:after="24"/>
                    <w:rPr>
                      <w:rFonts w:hAnsi="Times New Roman" w:eastAsia="宋体"/>
                      <w:bCs/>
                      <w:color w:val="000000" w:themeColor="text1"/>
                      <w:sz w:val="21"/>
                      <w:szCs w:val="21"/>
                      <w14:textFill>
                        <w14:solidFill>
                          <w14:schemeClr w14:val="tx1"/>
                        </w14:solidFill>
                      </w14:textFill>
                    </w:rPr>
                  </w:pPr>
                  <w:r>
                    <w:rPr>
                      <w:rFonts w:hAnsi="Times New Roman" w:eastAsia="宋体"/>
                      <w:bCs/>
                      <w:color w:val="000000" w:themeColor="text1"/>
                      <w:sz w:val="21"/>
                      <w:szCs w:val="21"/>
                      <w14:textFill>
                        <w14:solidFill>
                          <w14:schemeClr w14:val="tx1"/>
                        </w14:solidFill>
                      </w14:textFill>
                    </w:rPr>
                    <w:t>预测值</w:t>
                  </w:r>
                </w:p>
              </w:tc>
              <w:tc>
                <w:tcPr>
                  <w:tcW w:w="957" w:type="pct"/>
                  <w:vAlign w:val="center"/>
                </w:tcPr>
                <w:p w14:paraId="0C659B15">
                  <w:pPr>
                    <w:pStyle w:val="42"/>
                    <w:spacing w:before="24" w:after="24"/>
                    <w:rPr>
                      <w:rFonts w:hAnsi="Times New Roman" w:eastAsia="宋体"/>
                      <w:bCs/>
                      <w:color w:val="000000" w:themeColor="text1"/>
                      <w:sz w:val="21"/>
                      <w:szCs w:val="21"/>
                      <w14:textFill>
                        <w14:solidFill>
                          <w14:schemeClr w14:val="tx1"/>
                        </w14:solidFill>
                      </w14:textFill>
                    </w:rPr>
                  </w:pPr>
                  <w:r>
                    <w:rPr>
                      <w:rFonts w:hAnsi="Times New Roman" w:eastAsia="宋体"/>
                      <w:bCs/>
                      <w:color w:val="000000" w:themeColor="text1"/>
                      <w:sz w:val="21"/>
                      <w:szCs w:val="21"/>
                      <w14:textFill>
                        <w14:solidFill>
                          <w14:schemeClr w14:val="tx1"/>
                        </w14:solidFill>
                      </w14:textFill>
                    </w:rPr>
                    <w:t>标准值</w:t>
                  </w:r>
                </w:p>
              </w:tc>
            </w:tr>
            <w:tr w14:paraId="27F769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1035" w:type="pct"/>
                  <w:vAlign w:val="center"/>
                </w:tcPr>
                <w:p w14:paraId="30B447E0">
                  <w:pPr>
                    <w:pStyle w:val="42"/>
                    <w:spacing w:before="24" w:after="24"/>
                    <w:rPr>
                      <w:rFonts w:hAnsi="Times New Roman" w:eastAsia="宋体"/>
                      <w:color w:val="000000" w:themeColor="text1"/>
                      <w:sz w:val="21"/>
                      <w:szCs w:val="21"/>
                      <w14:textFill>
                        <w14:solidFill>
                          <w14:schemeClr w14:val="tx1"/>
                        </w14:solidFill>
                      </w14:textFill>
                    </w:rPr>
                  </w:pPr>
                  <w:r>
                    <w:rPr>
                      <w:rFonts w:hAnsi="Times New Roman" w:eastAsia="宋体"/>
                      <w:color w:val="000000" w:themeColor="text1"/>
                      <w:sz w:val="21"/>
                      <w:szCs w:val="21"/>
                      <w14:textFill>
                        <w14:solidFill>
                          <w14:schemeClr w14:val="tx1"/>
                        </w14:solidFill>
                      </w14:textFill>
                    </w:rPr>
                    <w:t>东</w:t>
                  </w:r>
                  <w:r>
                    <w:rPr>
                      <w:rFonts w:hint="eastAsia" w:hAnsi="Times New Roman" w:eastAsia="宋体"/>
                      <w:color w:val="FF0000"/>
                      <w:sz w:val="21"/>
                      <w:szCs w:val="21"/>
                      <w:lang w:val="en-US" w:eastAsia="zh-CN"/>
                    </w:rPr>
                    <w:t>厂</w:t>
                  </w:r>
                  <w:r>
                    <w:rPr>
                      <w:rFonts w:hAnsi="Times New Roman" w:eastAsia="宋体"/>
                      <w:color w:val="000000" w:themeColor="text1"/>
                      <w:sz w:val="21"/>
                      <w:szCs w:val="21"/>
                      <w14:textFill>
                        <w14:solidFill>
                          <w14:schemeClr w14:val="tx1"/>
                        </w14:solidFill>
                      </w14:textFill>
                    </w:rPr>
                    <w:t>界</w:t>
                  </w:r>
                </w:p>
              </w:tc>
              <w:tc>
                <w:tcPr>
                  <w:tcW w:w="1030" w:type="pct"/>
                  <w:vAlign w:val="center"/>
                </w:tcPr>
                <w:p w14:paraId="2C299C88">
                  <w:pPr>
                    <w:jc w:val="center"/>
                    <w:rPr>
                      <w:rFonts w:hint="default" w:eastAsia="宋体"/>
                      <w:color w:val="FF0000"/>
                      <w:szCs w:val="21"/>
                      <w:lang w:val="en-US" w:eastAsia="zh-CN" w:bidi="ar"/>
                    </w:rPr>
                  </w:pPr>
                  <w:r>
                    <w:rPr>
                      <w:rFonts w:hint="eastAsia" w:cs="Times New Roman"/>
                      <w:color w:val="FF0000"/>
                      <w:sz w:val="21"/>
                      <w:szCs w:val="21"/>
                      <w:lang w:val="en-US" w:eastAsia="zh-CN" w:bidi="ar"/>
                    </w:rPr>
                    <w:t>39.50</w:t>
                  </w:r>
                </w:p>
              </w:tc>
              <w:tc>
                <w:tcPr>
                  <w:tcW w:w="1604" w:type="dxa"/>
                  <w:vAlign w:val="center"/>
                </w:tcPr>
                <w:p w14:paraId="19DD6834">
                  <w:pPr>
                    <w:autoSpaceDE w:val="0"/>
                    <w:autoSpaceDN w:val="0"/>
                    <w:spacing w:line="240" w:lineRule="auto"/>
                    <w:ind w:firstLine="0" w:firstLineChars="0"/>
                    <w:jc w:val="center"/>
                    <w:rPr>
                      <w:rFonts w:ascii="Times New Roman" w:hAnsi="Times New Roman"/>
                      <w:b w:val="0"/>
                      <w:bCs/>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59.7</w:t>
                  </w:r>
                </w:p>
              </w:tc>
              <w:tc>
                <w:tcPr>
                  <w:tcW w:w="1028" w:type="pct"/>
                  <w:vAlign w:val="center"/>
                </w:tcPr>
                <w:p w14:paraId="11185AD9">
                  <w:pPr>
                    <w:pStyle w:val="42"/>
                    <w:spacing w:before="24" w:after="24"/>
                    <w:rPr>
                      <w:rFonts w:hint="default" w:ascii="Times New Roman" w:hAnsi="Times New Roman" w:eastAsia="黑体"/>
                      <w:b w:val="0"/>
                      <w:bCs/>
                      <w:color w:val="000000" w:themeColor="text1"/>
                      <w:sz w:val="21"/>
                      <w:szCs w:val="21"/>
                      <w:lang w:val="en-US" w:eastAsia="zh-CN"/>
                      <w14:textFill>
                        <w14:solidFill>
                          <w14:schemeClr w14:val="tx1"/>
                        </w14:solidFill>
                      </w14:textFill>
                    </w:rPr>
                  </w:pPr>
                  <w:r>
                    <w:rPr>
                      <w:rFonts w:hint="eastAsia" w:ascii="Times New Roman" w:hAnsi="Times New Roman"/>
                      <w:b w:val="0"/>
                      <w:bCs/>
                      <w:color w:val="000000" w:themeColor="text1"/>
                      <w:sz w:val="21"/>
                      <w:szCs w:val="21"/>
                      <w:lang w:val="en-US" w:eastAsia="zh-CN"/>
                      <w14:textFill>
                        <w14:solidFill>
                          <w14:schemeClr w14:val="tx1"/>
                        </w14:solidFill>
                      </w14:textFill>
                    </w:rPr>
                    <w:t>59.74</w:t>
                  </w:r>
                </w:p>
              </w:tc>
              <w:tc>
                <w:tcPr>
                  <w:tcW w:w="957" w:type="pct"/>
                  <w:vAlign w:val="center"/>
                </w:tcPr>
                <w:p w14:paraId="6608BA8E">
                  <w:pPr>
                    <w:pStyle w:val="42"/>
                    <w:keepNext w:val="0"/>
                    <w:keepLines w:val="0"/>
                    <w:pageBreakBefore w:val="0"/>
                    <w:kinsoku/>
                    <w:wordWrap/>
                    <w:overflowPunct/>
                    <w:topLinePunct w:val="0"/>
                    <w:autoSpaceDE/>
                    <w:autoSpaceDN/>
                    <w:bidi w:val="0"/>
                    <w:adjustRightInd w:val="0"/>
                    <w:snapToGrid w:val="0"/>
                    <w:spacing w:before="0" w:beforeLines="0" w:beforeAutospacing="0" w:after="0" w:afterLines="0" w:line="240" w:lineRule="auto"/>
                    <w:ind w:right="0"/>
                    <w:textAlignment w:val="auto"/>
                    <w:rPr>
                      <w:rFonts w:hint="default" w:ascii="Times New Roman" w:hAnsi="Times New Roman" w:eastAsia="黑体"/>
                      <w:b w:val="0"/>
                      <w:bCs/>
                      <w:color w:val="000000" w:themeColor="text1"/>
                      <w:sz w:val="21"/>
                      <w:szCs w:val="21"/>
                      <w:lang w:val="en-US" w:eastAsia="zh-CN"/>
                      <w14:textFill>
                        <w14:solidFill>
                          <w14:schemeClr w14:val="tx1"/>
                        </w14:solidFill>
                      </w14:textFill>
                    </w:rPr>
                  </w:pPr>
                  <w:r>
                    <w:rPr>
                      <w:rFonts w:hint="eastAsia" w:ascii="Times New Roman" w:hAnsi="Times New Roman"/>
                      <w:b w:val="0"/>
                      <w:bCs/>
                      <w:color w:val="000000" w:themeColor="text1"/>
                      <w:sz w:val="21"/>
                      <w:szCs w:val="21"/>
                      <w:lang w:val="en-US" w:eastAsia="zh-CN"/>
                      <w14:textFill>
                        <w14:solidFill>
                          <w14:schemeClr w14:val="tx1"/>
                        </w14:solidFill>
                      </w14:textFill>
                    </w:rPr>
                    <w:t>65</w:t>
                  </w:r>
                </w:p>
              </w:tc>
            </w:tr>
            <w:tr w14:paraId="17D8B0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35" w:type="pct"/>
                  <w:vAlign w:val="center"/>
                </w:tcPr>
                <w:p w14:paraId="42C7E889">
                  <w:pPr>
                    <w:pStyle w:val="42"/>
                    <w:spacing w:before="24" w:after="24"/>
                    <w:rPr>
                      <w:rFonts w:hAnsi="Times New Roman" w:eastAsia="宋体"/>
                      <w:color w:val="000000" w:themeColor="text1"/>
                      <w:sz w:val="21"/>
                      <w:szCs w:val="21"/>
                      <w14:textFill>
                        <w14:solidFill>
                          <w14:schemeClr w14:val="tx1"/>
                        </w14:solidFill>
                      </w14:textFill>
                    </w:rPr>
                  </w:pPr>
                  <w:r>
                    <w:rPr>
                      <w:rFonts w:hAnsi="Times New Roman" w:eastAsia="宋体"/>
                      <w:color w:val="000000" w:themeColor="text1"/>
                      <w:sz w:val="21"/>
                      <w:szCs w:val="21"/>
                      <w14:textFill>
                        <w14:solidFill>
                          <w14:schemeClr w14:val="tx1"/>
                        </w14:solidFill>
                      </w14:textFill>
                    </w:rPr>
                    <w:t>南</w:t>
                  </w:r>
                  <w:r>
                    <w:rPr>
                      <w:rFonts w:hint="eastAsia" w:hAnsi="Times New Roman" w:eastAsia="宋体"/>
                      <w:color w:val="FF0000"/>
                      <w:sz w:val="21"/>
                      <w:szCs w:val="21"/>
                      <w:lang w:val="en-US" w:eastAsia="zh-CN"/>
                    </w:rPr>
                    <w:t>厂</w:t>
                  </w:r>
                  <w:r>
                    <w:rPr>
                      <w:rFonts w:hAnsi="Times New Roman" w:eastAsia="宋体"/>
                      <w:color w:val="000000" w:themeColor="text1"/>
                      <w:sz w:val="21"/>
                      <w:szCs w:val="21"/>
                      <w14:textFill>
                        <w14:solidFill>
                          <w14:schemeClr w14:val="tx1"/>
                        </w14:solidFill>
                      </w14:textFill>
                    </w:rPr>
                    <w:t>界</w:t>
                  </w:r>
                </w:p>
              </w:tc>
              <w:tc>
                <w:tcPr>
                  <w:tcW w:w="1030" w:type="pct"/>
                  <w:vAlign w:val="center"/>
                </w:tcPr>
                <w:p w14:paraId="71CAA2BF">
                  <w:pPr>
                    <w:jc w:val="center"/>
                    <w:rPr>
                      <w:rFonts w:hint="default" w:eastAsia="宋体"/>
                      <w:color w:val="FF0000"/>
                      <w:szCs w:val="21"/>
                      <w:lang w:val="en-US" w:eastAsia="zh-CN" w:bidi="ar"/>
                    </w:rPr>
                  </w:pPr>
                  <w:r>
                    <w:rPr>
                      <w:rFonts w:hint="eastAsia" w:cs="Times New Roman"/>
                      <w:color w:val="FF0000"/>
                      <w:sz w:val="21"/>
                      <w:szCs w:val="21"/>
                      <w:lang w:val="en-US" w:eastAsia="zh-CN" w:bidi="ar"/>
                    </w:rPr>
                    <w:t>36.81</w:t>
                  </w:r>
                </w:p>
              </w:tc>
              <w:tc>
                <w:tcPr>
                  <w:tcW w:w="1604" w:type="dxa"/>
                  <w:vAlign w:val="center"/>
                </w:tcPr>
                <w:p w14:paraId="0D94A014">
                  <w:pPr>
                    <w:autoSpaceDE w:val="0"/>
                    <w:autoSpaceDN w:val="0"/>
                    <w:spacing w:line="240" w:lineRule="auto"/>
                    <w:ind w:firstLine="0" w:firstLineChars="0"/>
                    <w:jc w:val="center"/>
                    <w:rPr>
                      <w:rFonts w:ascii="Times New Roman" w:hAnsi="Times New Roman"/>
                      <w:b w:val="0"/>
                      <w:bCs/>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52.6</w:t>
                  </w:r>
                </w:p>
              </w:tc>
              <w:tc>
                <w:tcPr>
                  <w:tcW w:w="1028" w:type="pct"/>
                  <w:vAlign w:val="center"/>
                </w:tcPr>
                <w:p w14:paraId="4F896605">
                  <w:pPr>
                    <w:pStyle w:val="42"/>
                    <w:spacing w:before="24" w:after="24"/>
                    <w:rPr>
                      <w:rFonts w:hint="default" w:ascii="Times New Roman" w:hAnsi="Times New Roman" w:eastAsia="黑体"/>
                      <w:b w:val="0"/>
                      <w:bCs/>
                      <w:color w:val="000000" w:themeColor="text1"/>
                      <w:sz w:val="21"/>
                      <w:szCs w:val="21"/>
                      <w:lang w:val="en-US" w:eastAsia="zh-CN"/>
                      <w14:textFill>
                        <w14:solidFill>
                          <w14:schemeClr w14:val="tx1"/>
                        </w14:solidFill>
                      </w14:textFill>
                    </w:rPr>
                  </w:pPr>
                  <w:r>
                    <w:rPr>
                      <w:rFonts w:hint="eastAsia" w:ascii="Times New Roman" w:hAnsi="Times New Roman"/>
                      <w:b w:val="0"/>
                      <w:bCs/>
                      <w:color w:val="000000" w:themeColor="text1"/>
                      <w:sz w:val="21"/>
                      <w:szCs w:val="21"/>
                      <w:lang w:val="en-US" w:eastAsia="zh-CN"/>
                      <w14:textFill>
                        <w14:solidFill>
                          <w14:schemeClr w14:val="tx1"/>
                        </w14:solidFill>
                      </w14:textFill>
                    </w:rPr>
                    <w:t>52.71</w:t>
                  </w:r>
                </w:p>
              </w:tc>
              <w:tc>
                <w:tcPr>
                  <w:tcW w:w="957" w:type="pct"/>
                  <w:vAlign w:val="center"/>
                </w:tcPr>
                <w:p w14:paraId="6CB3F8A5">
                  <w:pPr>
                    <w:keepNext w:val="0"/>
                    <w:keepLines w:val="0"/>
                    <w:pageBreakBefore w:val="0"/>
                    <w:kinsoku/>
                    <w:wordWrap/>
                    <w:overflowPunct/>
                    <w:topLinePunct w:val="0"/>
                    <w:autoSpaceDE/>
                    <w:autoSpaceDN/>
                    <w:bidi w:val="0"/>
                    <w:adjustRightInd w:val="0"/>
                    <w:snapToGrid w:val="0"/>
                    <w:spacing w:beforeAutospacing="0" w:line="240" w:lineRule="auto"/>
                    <w:ind w:right="0"/>
                    <w:jc w:val="center"/>
                    <w:textAlignment w:val="auto"/>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65</w:t>
                  </w:r>
                </w:p>
              </w:tc>
            </w:tr>
            <w:tr w14:paraId="5D4C4E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035" w:type="pct"/>
                  <w:vAlign w:val="center"/>
                </w:tcPr>
                <w:p w14:paraId="22CBED48">
                  <w:pPr>
                    <w:pStyle w:val="42"/>
                    <w:spacing w:before="24" w:after="24"/>
                    <w:rPr>
                      <w:rFonts w:hAnsi="Times New Roman" w:eastAsia="宋体"/>
                      <w:color w:val="000000" w:themeColor="text1"/>
                      <w:sz w:val="21"/>
                      <w:szCs w:val="21"/>
                      <w14:textFill>
                        <w14:solidFill>
                          <w14:schemeClr w14:val="tx1"/>
                        </w14:solidFill>
                      </w14:textFill>
                    </w:rPr>
                  </w:pPr>
                  <w:r>
                    <w:rPr>
                      <w:rFonts w:hAnsi="Times New Roman" w:eastAsia="宋体"/>
                      <w:color w:val="000000" w:themeColor="text1"/>
                      <w:sz w:val="21"/>
                      <w:szCs w:val="21"/>
                      <w14:textFill>
                        <w14:solidFill>
                          <w14:schemeClr w14:val="tx1"/>
                        </w14:solidFill>
                      </w14:textFill>
                    </w:rPr>
                    <w:t>西</w:t>
                  </w:r>
                  <w:r>
                    <w:rPr>
                      <w:rFonts w:hint="eastAsia" w:hAnsi="Times New Roman" w:eastAsia="宋体"/>
                      <w:color w:val="FF0000"/>
                      <w:sz w:val="21"/>
                      <w:szCs w:val="21"/>
                      <w:lang w:val="en-US" w:eastAsia="zh-CN"/>
                    </w:rPr>
                    <w:t>厂</w:t>
                  </w:r>
                  <w:r>
                    <w:rPr>
                      <w:rFonts w:hAnsi="Times New Roman" w:eastAsia="宋体"/>
                      <w:color w:val="000000" w:themeColor="text1"/>
                      <w:sz w:val="21"/>
                      <w:szCs w:val="21"/>
                      <w14:textFill>
                        <w14:solidFill>
                          <w14:schemeClr w14:val="tx1"/>
                        </w14:solidFill>
                      </w14:textFill>
                    </w:rPr>
                    <w:t>界</w:t>
                  </w:r>
                </w:p>
              </w:tc>
              <w:tc>
                <w:tcPr>
                  <w:tcW w:w="1030" w:type="pct"/>
                  <w:vAlign w:val="center"/>
                </w:tcPr>
                <w:p w14:paraId="555676F4">
                  <w:pPr>
                    <w:jc w:val="center"/>
                    <w:rPr>
                      <w:rFonts w:hint="default" w:eastAsia="宋体"/>
                      <w:color w:val="FF0000"/>
                      <w:szCs w:val="21"/>
                      <w:lang w:val="en-US" w:eastAsia="zh-CN" w:bidi="ar"/>
                    </w:rPr>
                  </w:pPr>
                  <w:r>
                    <w:rPr>
                      <w:rFonts w:hint="eastAsia" w:cs="Times New Roman"/>
                      <w:color w:val="FF0000"/>
                      <w:sz w:val="21"/>
                      <w:szCs w:val="21"/>
                      <w:lang w:val="en-US" w:eastAsia="zh-CN" w:bidi="ar"/>
                    </w:rPr>
                    <w:t>45.95</w:t>
                  </w:r>
                </w:p>
              </w:tc>
              <w:tc>
                <w:tcPr>
                  <w:tcW w:w="1604" w:type="dxa"/>
                  <w:vAlign w:val="center"/>
                </w:tcPr>
                <w:p w14:paraId="26C63629">
                  <w:pPr>
                    <w:autoSpaceDE w:val="0"/>
                    <w:autoSpaceDN w:val="0"/>
                    <w:spacing w:line="240" w:lineRule="auto"/>
                    <w:ind w:firstLine="0" w:firstLineChars="0"/>
                    <w:jc w:val="center"/>
                    <w:rPr>
                      <w:rFonts w:ascii="Times New Roman" w:hAnsi="Times New Roman"/>
                      <w:b w:val="0"/>
                      <w:bCs/>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61.2</w:t>
                  </w:r>
                </w:p>
              </w:tc>
              <w:tc>
                <w:tcPr>
                  <w:tcW w:w="1028" w:type="pct"/>
                  <w:vAlign w:val="center"/>
                </w:tcPr>
                <w:p w14:paraId="7EFACE26">
                  <w:pPr>
                    <w:pStyle w:val="42"/>
                    <w:spacing w:before="24" w:after="24"/>
                    <w:rPr>
                      <w:rFonts w:hint="default" w:ascii="Times New Roman" w:hAnsi="Times New Roman" w:eastAsia="黑体"/>
                      <w:b w:val="0"/>
                      <w:bCs/>
                      <w:color w:val="000000" w:themeColor="text1"/>
                      <w:sz w:val="21"/>
                      <w:szCs w:val="21"/>
                      <w:lang w:val="en-US" w:eastAsia="zh-CN"/>
                      <w14:textFill>
                        <w14:solidFill>
                          <w14:schemeClr w14:val="tx1"/>
                        </w14:solidFill>
                      </w14:textFill>
                    </w:rPr>
                  </w:pPr>
                  <w:r>
                    <w:rPr>
                      <w:rFonts w:hint="eastAsia" w:ascii="Times New Roman" w:hAnsi="Times New Roman"/>
                      <w:b w:val="0"/>
                      <w:bCs/>
                      <w:color w:val="000000" w:themeColor="text1"/>
                      <w:sz w:val="21"/>
                      <w:szCs w:val="21"/>
                      <w:lang w:val="en-US" w:eastAsia="zh-CN"/>
                      <w14:textFill>
                        <w14:solidFill>
                          <w14:schemeClr w14:val="tx1"/>
                        </w14:solidFill>
                      </w14:textFill>
                    </w:rPr>
                    <w:t>61.33</w:t>
                  </w:r>
                </w:p>
              </w:tc>
              <w:tc>
                <w:tcPr>
                  <w:tcW w:w="957" w:type="pct"/>
                  <w:vAlign w:val="center"/>
                </w:tcPr>
                <w:p w14:paraId="0497F4F5">
                  <w:pPr>
                    <w:keepNext w:val="0"/>
                    <w:keepLines w:val="0"/>
                    <w:pageBreakBefore w:val="0"/>
                    <w:kinsoku/>
                    <w:wordWrap/>
                    <w:overflowPunct/>
                    <w:topLinePunct w:val="0"/>
                    <w:autoSpaceDE/>
                    <w:autoSpaceDN/>
                    <w:bidi w:val="0"/>
                    <w:adjustRightInd w:val="0"/>
                    <w:snapToGrid w:val="0"/>
                    <w:spacing w:beforeAutospacing="0" w:line="240" w:lineRule="auto"/>
                    <w:ind w:right="0"/>
                    <w:jc w:val="center"/>
                    <w:textAlignment w:val="auto"/>
                    <w:rPr>
                      <w:rFonts w:hint="default" w:eastAsia="宋体"/>
                      <w:bCs/>
                      <w:color w:val="000000" w:themeColor="text1"/>
                      <w:szCs w:val="21"/>
                      <w:lang w:val="en-US" w:eastAsia="zh-CN"/>
                      <w14:textFill>
                        <w14:solidFill>
                          <w14:schemeClr w14:val="tx1"/>
                        </w14:solidFill>
                      </w14:textFill>
                    </w:rPr>
                  </w:pPr>
                  <w:r>
                    <w:rPr>
                      <w:rFonts w:hint="eastAsia"/>
                      <w:b w:val="0"/>
                      <w:bCs/>
                      <w:color w:val="000000" w:themeColor="text1"/>
                      <w:sz w:val="21"/>
                      <w:szCs w:val="21"/>
                      <w:lang w:val="en-US" w:eastAsia="zh-CN"/>
                      <w14:textFill>
                        <w14:solidFill>
                          <w14:schemeClr w14:val="tx1"/>
                        </w14:solidFill>
                      </w14:textFill>
                    </w:rPr>
                    <w:t>65</w:t>
                  </w:r>
                </w:p>
              </w:tc>
            </w:tr>
            <w:tr w14:paraId="0F209F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1035" w:type="pct"/>
                  <w:vAlign w:val="center"/>
                </w:tcPr>
                <w:p w14:paraId="79736013">
                  <w:pPr>
                    <w:pStyle w:val="42"/>
                    <w:spacing w:before="24" w:after="24"/>
                    <w:rPr>
                      <w:rFonts w:hAnsi="Times New Roman" w:eastAsia="宋体"/>
                      <w:color w:val="000000" w:themeColor="text1"/>
                      <w:sz w:val="21"/>
                      <w:szCs w:val="21"/>
                      <w14:textFill>
                        <w14:solidFill>
                          <w14:schemeClr w14:val="tx1"/>
                        </w14:solidFill>
                      </w14:textFill>
                    </w:rPr>
                  </w:pPr>
                  <w:r>
                    <w:rPr>
                      <w:rFonts w:hAnsi="Times New Roman" w:eastAsia="宋体"/>
                      <w:color w:val="000000" w:themeColor="text1"/>
                      <w:sz w:val="21"/>
                      <w:szCs w:val="21"/>
                      <w14:textFill>
                        <w14:solidFill>
                          <w14:schemeClr w14:val="tx1"/>
                        </w14:solidFill>
                      </w14:textFill>
                    </w:rPr>
                    <w:t>北</w:t>
                  </w:r>
                  <w:r>
                    <w:rPr>
                      <w:rFonts w:hint="eastAsia" w:hAnsi="Times New Roman" w:eastAsia="宋体"/>
                      <w:color w:val="FF0000"/>
                      <w:sz w:val="21"/>
                      <w:szCs w:val="21"/>
                      <w:lang w:val="en-US" w:eastAsia="zh-CN"/>
                    </w:rPr>
                    <w:t>厂</w:t>
                  </w:r>
                  <w:r>
                    <w:rPr>
                      <w:rFonts w:hAnsi="Times New Roman" w:eastAsia="宋体"/>
                      <w:color w:val="000000" w:themeColor="text1"/>
                      <w:sz w:val="21"/>
                      <w:szCs w:val="21"/>
                      <w14:textFill>
                        <w14:solidFill>
                          <w14:schemeClr w14:val="tx1"/>
                        </w14:solidFill>
                      </w14:textFill>
                    </w:rPr>
                    <w:t>界</w:t>
                  </w:r>
                </w:p>
              </w:tc>
              <w:tc>
                <w:tcPr>
                  <w:tcW w:w="1030" w:type="pct"/>
                  <w:vAlign w:val="center"/>
                </w:tcPr>
                <w:p w14:paraId="3A552F44">
                  <w:pPr>
                    <w:jc w:val="center"/>
                    <w:rPr>
                      <w:rFonts w:hint="default" w:eastAsia="宋体"/>
                      <w:color w:val="FF0000"/>
                      <w:szCs w:val="21"/>
                      <w:lang w:val="en-US" w:eastAsia="zh-CN" w:bidi="ar"/>
                    </w:rPr>
                  </w:pPr>
                  <w:r>
                    <w:rPr>
                      <w:rFonts w:hint="eastAsia" w:cs="Times New Roman"/>
                      <w:color w:val="FF0000"/>
                      <w:szCs w:val="21"/>
                      <w:lang w:val="en-US" w:eastAsia="zh-CN" w:bidi="ar"/>
                    </w:rPr>
                    <w:t>46.53</w:t>
                  </w:r>
                </w:p>
              </w:tc>
              <w:tc>
                <w:tcPr>
                  <w:tcW w:w="1604" w:type="dxa"/>
                  <w:vAlign w:val="center"/>
                </w:tcPr>
                <w:p w14:paraId="20600F58">
                  <w:pPr>
                    <w:autoSpaceDE w:val="0"/>
                    <w:autoSpaceDN w:val="0"/>
                    <w:spacing w:line="240" w:lineRule="auto"/>
                    <w:ind w:firstLine="0" w:firstLineChars="0"/>
                    <w:jc w:val="center"/>
                    <w:rPr>
                      <w:rFonts w:ascii="Times New Roman" w:hAnsi="Times New Roman"/>
                      <w:b w:val="0"/>
                      <w:bCs/>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57.2</w:t>
                  </w:r>
                </w:p>
              </w:tc>
              <w:tc>
                <w:tcPr>
                  <w:tcW w:w="1028" w:type="pct"/>
                  <w:vAlign w:val="center"/>
                </w:tcPr>
                <w:p w14:paraId="6D92DCD6">
                  <w:pPr>
                    <w:pStyle w:val="42"/>
                    <w:spacing w:before="24" w:after="24"/>
                    <w:rPr>
                      <w:rFonts w:hint="default" w:ascii="Times New Roman" w:hAnsi="Times New Roman" w:eastAsia="黑体"/>
                      <w:b w:val="0"/>
                      <w:bCs/>
                      <w:color w:val="000000" w:themeColor="text1"/>
                      <w:sz w:val="21"/>
                      <w:szCs w:val="21"/>
                      <w:lang w:val="en-US" w:eastAsia="zh-CN"/>
                      <w14:textFill>
                        <w14:solidFill>
                          <w14:schemeClr w14:val="tx1"/>
                        </w14:solidFill>
                      </w14:textFill>
                    </w:rPr>
                  </w:pPr>
                  <w:r>
                    <w:rPr>
                      <w:rFonts w:hint="eastAsia" w:ascii="Times New Roman" w:hAnsi="Times New Roman"/>
                      <w:b w:val="0"/>
                      <w:bCs/>
                      <w:color w:val="000000" w:themeColor="text1"/>
                      <w:sz w:val="21"/>
                      <w:szCs w:val="21"/>
                      <w:lang w:val="en-US" w:eastAsia="zh-CN"/>
                      <w14:textFill>
                        <w14:solidFill>
                          <w14:schemeClr w14:val="tx1"/>
                        </w14:solidFill>
                      </w14:textFill>
                    </w:rPr>
                    <w:t>57.56</w:t>
                  </w:r>
                </w:p>
              </w:tc>
              <w:tc>
                <w:tcPr>
                  <w:tcW w:w="957" w:type="pct"/>
                  <w:vAlign w:val="center"/>
                </w:tcPr>
                <w:p w14:paraId="36BC370E">
                  <w:pPr>
                    <w:keepNext w:val="0"/>
                    <w:keepLines w:val="0"/>
                    <w:pageBreakBefore w:val="0"/>
                    <w:kinsoku/>
                    <w:wordWrap/>
                    <w:overflowPunct/>
                    <w:topLinePunct w:val="0"/>
                    <w:autoSpaceDE/>
                    <w:autoSpaceDN/>
                    <w:bidi w:val="0"/>
                    <w:adjustRightInd w:val="0"/>
                    <w:snapToGrid w:val="0"/>
                    <w:spacing w:beforeAutospacing="0" w:line="240" w:lineRule="auto"/>
                    <w:ind w:right="0"/>
                    <w:jc w:val="center"/>
                    <w:textAlignment w:val="auto"/>
                    <w:rPr>
                      <w:rFonts w:hint="default" w:eastAsia="宋体"/>
                      <w:bCs/>
                      <w:color w:val="000000" w:themeColor="text1"/>
                      <w:szCs w:val="21"/>
                      <w:lang w:val="en-US" w:eastAsia="zh-CN"/>
                      <w14:textFill>
                        <w14:solidFill>
                          <w14:schemeClr w14:val="tx1"/>
                        </w14:solidFill>
                      </w14:textFill>
                    </w:rPr>
                  </w:pPr>
                  <w:r>
                    <w:rPr>
                      <w:rFonts w:hint="eastAsia"/>
                      <w:b w:val="0"/>
                      <w:bCs/>
                      <w:color w:val="000000" w:themeColor="text1"/>
                      <w:sz w:val="21"/>
                      <w:szCs w:val="21"/>
                      <w:lang w:val="en-US" w:eastAsia="zh-CN"/>
                      <w14:textFill>
                        <w14:solidFill>
                          <w14:schemeClr w14:val="tx1"/>
                        </w14:solidFill>
                      </w14:textFill>
                    </w:rPr>
                    <w:t>65</w:t>
                  </w:r>
                </w:p>
              </w:tc>
            </w:tr>
          </w:tbl>
          <w:p w14:paraId="4C2F3302">
            <w:pPr>
              <w:spacing w:line="360" w:lineRule="auto"/>
              <w:ind w:firstLine="480"/>
              <w:rPr>
                <w:rFonts w:hint="default" w:eastAsia="宋体"/>
                <w:b/>
                <w:bCs/>
                <w:color w:val="000000" w:themeColor="text1"/>
                <w:sz w:val="24"/>
                <w:lang w:val="en-US" w:eastAsia="zh-CN"/>
                <w14:textFill>
                  <w14:solidFill>
                    <w14:schemeClr w14:val="tx1"/>
                  </w14:solidFill>
                </w14:textFill>
              </w:rPr>
            </w:pPr>
            <w:r>
              <w:rPr>
                <w:b/>
                <w:bCs/>
                <w:color w:val="000000" w:themeColor="text1"/>
                <w:sz w:val="24"/>
                <w14:textFill>
                  <w14:solidFill>
                    <w14:schemeClr w14:val="tx1"/>
                  </w14:solidFill>
                </w14:textFill>
              </w:rPr>
              <w:t>备注：本项目仅昼间生产，夜间不生产</w:t>
            </w:r>
            <w:r>
              <w:rPr>
                <w:rFonts w:hint="eastAsia"/>
                <w:b/>
                <w:bCs/>
                <w:color w:val="000000" w:themeColor="text1"/>
                <w:sz w:val="24"/>
                <w:lang w:eastAsia="zh-CN"/>
                <w14:textFill>
                  <w14:solidFill>
                    <w14:schemeClr w14:val="tx1"/>
                  </w14:solidFill>
                </w14:textFill>
              </w:rPr>
              <w:t>，</w:t>
            </w:r>
            <w:r>
              <w:rPr>
                <w:rFonts w:hint="eastAsia"/>
                <w:b/>
                <w:bCs/>
                <w:color w:val="000000" w:themeColor="text1"/>
                <w:sz w:val="24"/>
                <w:lang w:val="en-US" w:eastAsia="zh-CN"/>
                <w14:textFill>
                  <w14:solidFill>
                    <w14:schemeClr w14:val="tx1"/>
                  </w14:solidFill>
                </w14:textFill>
              </w:rPr>
              <w:t>背景值数据来源于验收监测数据。</w:t>
            </w:r>
          </w:p>
          <w:p w14:paraId="4C2E2D3E">
            <w:pPr>
              <w:spacing w:line="360" w:lineRule="auto"/>
              <w:ind w:firstLine="480"/>
              <w:rPr>
                <w:color w:val="FF0000"/>
                <w:sz w:val="24"/>
              </w:rPr>
            </w:pPr>
            <w:r>
              <w:rPr>
                <w:color w:val="FF0000"/>
                <w:sz w:val="24"/>
              </w:rPr>
              <w:t>由</w:t>
            </w:r>
            <w:r>
              <w:rPr>
                <w:rFonts w:hint="eastAsia"/>
                <w:color w:val="FF0000"/>
                <w:sz w:val="24"/>
                <w:lang w:val="en-US" w:eastAsia="zh-CN"/>
              </w:rPr>
              <w:t>贡献值</w:t>
            </w:r>
            <w:r>
              <w:rPr>
                <w:color w:val="FF0000"/>
                <w:sz w:val="24"/>
              </w:rPr>
              <w:t>结果可知，厂界噪声预测值在</w:t>
            </w:r>
            <w:r>
              <w:rPr>
                <w:rFonts w:hint="eastAsia"/>
                <w:color w:val="FF0000"/>
                <w:sz w:val="24"/>
                <w:lang w:val="en-US" w:eastAsia="zh-CN"/>
              </w:rPr>
              <w:t>36~47</w:t>
            </w:r>
            <w:r>
              <w:rPr>
                <w:color w:val="FF0000"/>
                <w:sz w:val="24"/>
              </w:rPr>
              <w:t>dB(A)之间，满足《工业企业厂界环境噪声排放标准》（GB12348-2008）</w:t>
            </w:r>
            <w:r>
              <w:rPr>
                <w:rFonts w:hint="eastAsia"/>
                <w:color w:val="FF0000"/>
                <w:sz w:val="24"/>
                <w:lang w:val="en-US" w:eastAsia="zh-CN"/>
              </w:rPr>
              <w:t>3</w:t>
            </w:r>
            <w:r>
              <w:rPr>
                <w:color w:val="FF0000"/>
                <w:sz w:val="24"/>
              </w:rPr>
              <w:t>类标准，项目营运期噪声不会对周围声环境产生明显影响。</w:t>
            </w:r>
          </w:p>
          <w:p w14:paraId="12A1830D">
            <w:pPr>
              <w:spacing w:line="360" w:lineRule="auto"/>
              <w:ind w:firstLine="482"/>
              <w:rPr>
                <w:b/>
                <w:bCs/>
                <w:sz w:val="24"/>
              </w:rPr>
            </w:pPr>
            <w:r>
              <w:rPr>
                <w:rFonts w:hint="eastAsia"/>
                <w:b/>
                <w:bCs/>
                <w:sz w:val="24"/>
                <w:lang w:val="en-US" w:eastAsia="zh-CN"/>
              </w:rPr>
              <w:t>5、</w:t>
            </w:r>
            <w:r>
              <w:rPr>
                <w:b/>
                <w:bCs/>
                <w:sz w:val="24"/>
              </w:rPr>
              <w:t>噪声环境影响分析</w:t>
            </w:r>
          </w:p>
          <w:p w14:paraId="4CAAA45D">
            <w:pPr>
              <w:spacing w:line="360" w:lineRule="auto"/>
              <w:ind w:firstLine="480"/>
              <w:rPr>
                <w:sz w:val="24"/>
              </w:rPr>
            </w:pPr>
            <w:r>
              <w:rPr>
                <w:sz w:val="24"/>
              </w:rPr>
              <w:t>为进一步减轻项目噪声对周围环境的影响，建设单位必须从源头上进一步削减噪声源强，采取的噪声措施主要有：</w:t>
            </w:r>
          </w:p>
          <w:p w14:paraId="1C06BAF7">
            <w:pPr>
              <w:spacing w:line="360" w:lineRule="auto"/>
              <w:ind w:firstLine="480"/>
              <w:rPr>
                <w:rFonts w:hint="eastAsia" w:eastAsia="宋体"/>
                <w:sz w:val="24"/>
                <w:lang w:eastAsia="zh-CN"/>
              </w:rPr>
            </w:pPr>
            <w:r>
              <w:rPr>
                <w:rFonts w:ascii="Cambria Math" w:hAnsi="Cambria Math" w:cs="Cambria Math"/>
                <w:sz w:val="24"/>
              </w:rPr>
              <w:t>①</w:t>
            </w:r>
            <w:r>
              <w:rPr>
                <w:sz w:val="24"/>
              </w:rPr>
              <w:t>生产设备设置基础防震，如在设备的底部加减振垫，里面填充松软物质，用来隔离振动的传递</w:t>
            </w:r>
            <w:r>
              <w:rPr>
                <w:rFonts w:hint="eastAsia"/>
                <w:sz w:val="24"/>
                <w:lang w:eastAsia="zh-CN"/>
              </w:rPr>
              <w:t>。</w:t>
            </w:r>
          </w:p>
          <w:p w14:paraId="0D188A0A">
            <w:pPr>
              <w:spacing w:line="360" w:lineRule="auto"/>
              <w:ind w:firstLine="480"/>
              <w:rPr>
                <w:rFonts w:hint="eastAsia" w:eastAsia="宋体"/>
                <w:sz w:val="24"/>
                <w:lang w:eastAsia="zh-CN"/>
              </w:rPr>
            </w:pPr>
            <w:r>
              <w:rPr>
                <w:rFonts w:ascii="Cambria Math" w:hAnsi="Cambria Math" w:cs="Cambria Math"/>
                <w:sz w:val="24"/>
              </w:rPr>
              <w:t>②</w:t>
            </w:r>
            <w:r>
              <w:rPr>
                <w:sz w:val="24"/>
              </w:rPr>
              <w:t>企业应定期对生产设备进行维修和保养，确保设备处于良好的运转状态，杜绝因设备不正常运转时产生的高噪声现象，做到文明生产</w:t>
            </w:r>
            <w:r>
              <w:rPr>
                <w:rFonts w:hint="eastAsia"/>
                <w:sz w:val="24"/>
                <w:lang w:eastAsia="zh-CN"/>
              </w:rPr>
              <w:t>。</w:t>
            </w:r>
          </w:p>
          <w:p w14:paraId="06B79CD9">
            <w:pPr>
              <w:spacing w:line="360" w:lineRule="auto"/>
              <w:ind w:firstLine="480"/>
              <w:rPr>
                <w:sz w:val="24"/>
              </w:rPr>
            </w:pPr>
            <w:r>
              <w:rPr>
                <w:rFonts w:ascii="Cambria Math" w:hAnsi="Cambria Math" w:cs="Cambria Math"/>
                <w:sz w:val="24"/>
              </w:rPr>
              <w:t>③</w:t>
            </w:r>
            <w:r>
              <w:rPr>
                <w:sz w:val="24"/>
              </w:rPr>
              <w:t>在</w:t>
            </w:r>
            <w:r>
              <w:rPr>
                <w:sz w:val="24"/>
                <w:lang w:bidi="ar"/>
              </w:rPr>
              <w:t>建设过程中，对噪声源比较集中的车间，门、窗、墙壁要注意使用吸音材料，安装吸声结构，保证办公楼的屏蔽隔声效应。</w:t>
            </w:r>
          </w:p>
          <w:p w14:paraId="59877AEC">
            <w:pPr>
              <w:pStyle w:val="73"/>
              <w:ind w:firstLine="480"/>
              <w:rPr>
                <w:kern w:val="2"/>
                <w:szCs w:val="24"/>
              </w:rPr>
            </w:pPr>
            <w:r>
              <w:rPr>
                <w:rFonts w:ascii="Cambria Math" w:hAnsi="Cambria Math" w:cs="Cambria Math"/>
                <w:kern w:val="2"/>
                <w:szCs w:val="24"/>
              </w:rPr>
              <w:t>④</w:t>
            </w:r>
            <w:r>
              <w:rPr>
                <w:kern w:val="2"/>
                <w:szCs w:val="24"/>
              </w:rPr>
              <w:t>加强管理，提高职工的环保意识教育，提倡文明生产，降低人为噪声。</w:t>
            </w:r>
          </w:p>
          <w:p w14:paraId="0FBAE910">
            <w:pPr>
              <w:spacing w:line="360" w:lineRule="auto"/>
              <w:ind w:firstLine="482"/>
              <w:rPr>
                <w:b/>
                <w:bCs/>
                <w:sz w:val="24"/>
              </w:rPr>
            </w:pPr>
            <w:r>
              <w:rPr>
                <w:rFonts w:hint="eastAsia"/>
                <w:b/>
                <w:bCs/>
                <w:sz w:val="24"/>
                <w:lang w:val="en-US" w:eastAsia="zh-CN"/>
              </w:rPr>
              <w:t>6、</w:t>
            </w:r>
            <w:r>
              <w:rPr>
                <w:b/>
                <w:bCs/>
                <w:sz w:val="24"/>
              </w:rPr>
              <w:t>噪声监测要求</w:t>
            </w:r>
          </w:p>
          <w:p w14:paraId="76AECA4C">
            <w:pPr>
              <w:autoSpaceDE w:val="0"/>
              <w:autoSpaceDN w:val="0"/>
              <w:adjustRightInd w:val="0"/>
              <w:spacing w:line="360" w:lineRule="auto"/>
              <w:ind w:firstLine="480"/>
              <w:jc w:val="left"/>
              <w:rPr>
                <w:rFonts w:hint="eastAsia" w:eastAsia="宋体"/>
                <w:sz w:val="24"/>
                <w:lang w:eastAsia="zh-CN"/>
              </w:rPr>
            </w:pPr>
            <w:r>
              <w:rPr>
                <w:sz w:val="24"/>
              </w:rPr>
              <w:t>参考</w:t>
            </w:r>
            <w:r>
              <w:rPr>
                <w:sz w:val="24"/>
                <w:szCs w:val="24"/>
                <w:lang w:bidi="en-US"/>
              </w:rPr>
              <w:t>《</w:t>
            </w:r>
            <w:r>
              <w:rPr>
                <w:rFonts w:hint="eastAsia"/>
                <w:sz w:val="24"/>
                <w:szCs w:val="24"/>
              </w:rPr>
              <w:t>排污单位自行监测技术指南</w:t>
            </w:r>
            <w:r>
              <w:rPr>
                <w:rFonts w:hint="eastAsia"/>
                <w:sz w:val="24"/>
                <w:szCs w:val="24"/>
                <w:lang w:val="en-US" w:eastAsia="zh-CN"/>
              </w:rPr>
              <w:t xml:space="preserve"> </w:t>
            </w:r>
            <w:r>
              <w:rPr>
                <w:rFonts w:hint="eastAsia"/>
                <w:sz w:val="24"/>
                <w:szCs w:val="24"/>
              </w:rPr>
              <w:t>总则</w:t>
            </w:r>
            <w:r>
              <w:rPr>
                <w:sz w:val="24"/>
                <w:szCs w:val="24"/>
                <w:lang w:bidi="en-US"/>
              </w:rPr>
              <w:t>》（HJ</w:t>
            </w:r>
            <w:r>
              <w:rPr>
                <w:rFonts w:hint="eastAsia"/>
                <w:sz w:val="24"/>
                <w:szCs w:val="24"/>
                <w:lang w:val="en-US" w:eastAsia="zh-CN" w:bidi="en-US"/>
              </w:rPr>
              <w:t>819-2017</w:t>
            </w:r>
            <w:r>
              <w:rPr>
                <w:sz w:val="24"/>
                <w:szCs w:val="24"/>
                <w:lang w:bidi="en-US"/>
              </w:rPr>
              <w:t>）</w:t>
            </w:r>
            <w:r>
              <w:rPr>
                <w:sz w:val="24"/>
              </w:rPr>
              <w:t>，本项目噪声监测计划如下</w:t>
            </w:r>
            <w:r>
              <w:rPr>
                <w:rFonts w:hint="eastAsia"/>
                <w:sz w:val="24"/>
                <w:lang w:eastAsia="zh-CN"/>
              </w:rPr>
              <w:t>。</w:t>
            </w:r>
          </w:p>
          <w:p w14:paraId="3FBB3738">
            <w:pPr>
              <w:jc w:val="center"/>
              <w:rPr>
                <w:b/>
                <w:bCs/>
                <w:sz w:val="24"/>
                <w:lang w:val="zh-CN"/>
              </w:rPr>
            </w:pPr>
            <w:r>
              <w:rPr>
                <w:b/>
                <w:bCs/>
                <w:sz w:val="24"/>
                <w:lang w:val="zh-CN"/>
              </w:rPr>
              <w:t>表</w:t>
            </w:r>
            <w:r>
              <w:rPr>
                <w:b/>
                <w:bCs/>
                <w:sz w:val="24"/>
              </w:rPr>
              <w:t>4-</w:t>
            </w:r>
            <w:r>
              <w:rPr>
                <w:rFonts w:hint="eastAsia"/>
                <w:b/>
                <w:bCs/>
                <w:sz w:val="24"/>
                <w:lang w:val="en-US" w:eastAsia="zh-CN"/>
              </w:rPr>
              <w:t>9</w:t>
            </w:r>
            <w:r>
              <w:rPr>
                <w:b/>
                <w:bCs/>
                <w:sz w:val="24"/>
              </w:rPr>
              <w:t xml:space="preserve">  噪声</w:t>
            </w:r>
            <w:r>
              <w:rPr>
                <w:b/>
                <w:bCs/>
                <w:sz w:val="24"/>
                <w:lang w:val="zh-CN"/>
              </w:rPr>
              <w:t>监测计划一览表</w:t>
            </w:r>
          </w:p>
          <w:tbl>
            <w:tblPr>
              <w:tblStyle w:val="27"/>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79"/>
              <w:gridCol w:w="1223"/>
              <w:gridCol w:w="1908"/>
              <w:gridCol w:w="3621"/>
            </w:tblGrid>
            <w:tr w14:paraId="21C442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48" w:type="pct"/>
                  <w:vAlign w:val="center"/>
                </w:tcPr>
                <w:p w14:paraId="70F04A34">
                  <w:pPr>
                    <w:snapToGrid w:val="0"/>
                    <w:jc w:val="center"/>
                    <w:rPr>
                      <w:b/>
                      <w:szCs w:val="21"/>
                    </w:rPr>
                  </w:pPr>
                  <w:r>
                    <w:rPr>
                      <w:b/>
                      <w:szCs w:val="21"/>
                    </w:rPr>
                    <w:t>监测点位</w:t>
                  </w:r>
                </w:p>
              </w:tc>
              <w:tc>
                <w:tcPr>
                  <w:tcW w:w="734" w:type="pct"/>
                  <w:vAlign w:val="center"/>
                </w:tcPr>
                <w:p w14:paraId="06CB67B7">
                  <w:pPr>
                    <w:snapToGrid w:val="0"/>
                    <w:jc w:val="center"/>
                    <w:rPr>
                      <w:b/>
                      <w:szCs w:val="21"/>
                    </w:rPr>
                  </w:pPr>
                  <w:r>
                    <w:rPr>
                      <w:b/>
                      <w:szCs w:val="21"/>
                    </w:rPr>
                    <w:t>监测指标</w:t>
                  </w:r>
                </w:p>
              </w:tc>
              <w:tc>
                <w:tcPr>
                  <w:tcW w:w="1145" w:type="pct"/>
                  <w:vAlign w:val="center"/>
                </w:tcPr>
                <w:p w14:paraId="1BC35668">
                  <w:pPr>
                    <w:snapToGrid w:val="0"/>
                    <w:ind w:firstLine="422"/>
                    <w:jc w:val="center"/>
                    <w:rPr>
                      <w:b/>
                      <w:szCs w:val="21"/>
                    </w:rPr>
                  </w:pPr>
                  <w:r>
                    <w:rPr>
                      <w:b/>
                      <w:szCs w:val="21"/>
                    </w:rPr>
                    <w:t>监测频次</w:t>
                  </w:r>
                </w:p>
              </w:tc>
              <w:tc>
                <w:tcPr>
                  <w:tcW w:w="2173" w:type="pct"/>
                  <w:vAlign w:val="center"/>
                </w:tcPr>
                <w:p w14:paraId="3C80AE68">
                  <w:pPr>
                    <w:snapToGrid w:val="0"/>
                    <w:ind w:firstLine="422"/>
                    <w:jc w:val="center"/>
                    <w:rPr>
                      <w:b/>
                      <w:szCs w:val="21"/>
                    </w:rPr>
                  </w:pPr>
                  <w:r>
                    <w:rPr>
                      <w:b/>
                      <w:szCs w:val="21"/>
                    </w:rPr>
                    <w:t>执行排放标准</w:t>
                  </w:r>
                </w:p>
              </w:tc>
            </w:tr>
            <w:tr w14:paraId="0DDF53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948" w:type="pct"/>
                  <w:vAlign w:val="center"/>
                </w:tcPr>
                <w:p w14:paraId="0DDF626D">
                  <w:pPr>
                    <w:jc w:val="center"/>
                    <w:rPr>
                      <w:szCs w:val="21"/>
                    </w:rPr>
                  </w:pPr>
                  <w:r>
                    <w:rPr>
                      <w:szCs w:val="21"/>
                    </w:rPr>
                    <w:t>厂界四周外1m</w:t>
                  </w:r>
                </w:p>
              </w:tc>
              <w:tc>
                <w:tcPr>
                  <w:tcW w:w="734" w:type="pct"/>
                  <w:vAlign w:val="center"/>
                </w:tcPr>
                <w:p w14:paraId="09A07CE5">
                  <w:pPr>
                    <w:pStyle w:val="19"/>
                    <w:tabs>
                      <w:tab w:val="left" w:pos="420"/>
                      <w:tab w:val="left" w:pos="870"/>
                      <w:tab w:val="left" w:pos="3150"/>
                      <w:tab w:val="clear" w:pos="2040"/>
                    </w:tabs>
                    <w:snapToGrid w:val="0"/>
                    <w:rPr>
                      <w:szCs w:val="21"/>
                    </w:rPr>
                  </w:pPr>
                  <w:r>
                    <w:rPr>
                      <w:b w:val="0"/>
                      <w:bCs w:val="0"/>
                      <w:szCs w:val="21"/>
                    </w:rPr>
                    <w:t>噪声</w:t>
                  </w:r>
                </w:p>
              </w:tc>
              <w:tc>
                <w:tcPr>
                  <w:tcW w:w="1145" w:type="pct"/>
                  <w:vAlign w:val="center"/>
                </w:tcPr>
                <w:p w14:paraId="37E252F8">
                  <w:pPr>
                    <w:snapToGrid w:val="0"/>
                    <w:jc w:val="center"/>
                    <w:rPr>
                      <w:rFonts w:hint="default" w:eastAsia="宋体"/>
                      <w:szCs w:val="21"/>
                      <w:lang w:val="en-US" w:eastAsia="zh-CN"/>
                    </w:rPr>
                  </w:pPr>
                  <w:r>
                    <w:rPr>
                      <w:szCs w:val="21"/>
                    </w:rPr>
                    <w:t>1次/季度</w:t>
                  </w:r>
                </w:p>
              </w:tc>
              <w:tc>
                <w:tcPr>
                  <w:tcW w:w="2173" w:type="pct"/>
                  <w:vAlign w:val="center"/>
                </w:tcPr>
                <w:p w14:paraId="16C0BC39">
                  <w:pPr>
                    <w:snapToGrid w:val="0"/>
                    <w:jc w:val="both"/>
                    <w:rPr>
                      <w:szCs w:val="21"/>
                    </w:rPr>
                  </w:pPr>
                  <w:r>
                    <w:rPr>
                      <w:szCs w:val="21"/>
                    </w:rPr>
                    <w:t>《工业企业厂界环境噪声排放标准》（GB12348-2008）</w:t>
                  </w:r>
                  <w:r>
                    <w:rPr>
                      <w:rFonts w:hint="eastAsia"/>
                      <w:szCs w:val="21"/>
                      <w:lang w:val="en-US" w:eastAsia="zh-CN"/>
                    </w:rPr>
                    <w:t>3</w:t>
                  </w:r>
                  <w:r>
                    <w:rPr>
                      <w:szCs w:val="21"/>
                    </w:rPr>
                    <w:t>类标准</w:t>
                  </w:r>
                </w:p>
              </w:tc>
            </w:tr>
          </w:tbl>
          <w:p w14:paraId="55DE7E07">
            <w:pPr>
              <w:spacing w:line="360" w:lineRule="auto"/>
              <w:ind w:firstLine="482"/>
              <w:rPr>
                <w:b/>
                <w:bCs/>
                <w:sz w:val="24"/>
              </w:rPr>
            </w:pPr>
            <w:r>
              <w:rPr>
                <w:rFonts w:hint="eastAsia"/>
                <w:b/>
                <w:bCs/>
                <w:sz w:val="24"/>
                <w:lang w:val="en-US" w:eastAsia="zh-CN"/>
              </w:rPr>
              <w:t>四</w:t>
            </w:r>
            <w:r>
              <w:rPr>
                <w:b/>
                <w:bCs/>
                <w:sz w:val="24"/>
              </w:rPr>
              <w:t>、固体废物</w:t>
            </w:r>
          </w:p>
          <w:p w14:paraId="57E51D4E">
            <w:pPr>
              <w:spacing w:line="360" w:lineRule="auto"/>
              <w:ind w:firstLine="480"/>
              <w:rPr>
                <w:b/>
                <w:bCs/>
                <w:color w:val="auto"/>
                <w:sz w:val="24"/>
              </w:rPr>
            </w:pPr>
            <w:r>
              <w:rPr>
                <w:rFonts w:hint="eastAsia"/>
                <w:b/>
                <w:bCs/>
                <w:color w:val="auto"/>
                <w:sz w:val="24"/>
                <w:lang w:val="en-US" w:eastAsia="zh-CN"/>
              </w:rPr>
              <w:t>1、</w:t>
            </w:r>
            <w:r>
              <w:rPr>
                <w:b/>
                <w:bCs/>
                <w:color w:val="auto"/>
                <w:sz w:val="24"/>
              </w:rPr>
              <w:t>固体废物污染源情况</w:t>
            </w:r>
          </w:p>
          <w:p w14:paraId="798FBA5E">
            <w:pPr>
              <w:adjustRightInd w:val="0"/>
              <w:snapToGrid w:val="0"/>
              <w:spacing w:line="360" w:lineRule="auto"/>
              <w:ind w:firstLine="480"/>
              <w:rPr>
                <w:rFonts w:hint="default"/>
                <w:lang w:val="en-US"/>
              </w:rPr>
            </w:pPr>
            <w:r>
              <w:rPr>
                <w:rFonts w:hint="eastAsia"/>
                <w:color w:val="auto"/>
                <w:sz w:val="24"/>
                <w:lang w:val="en-US" w:eastAsia="zh-CN"/>
              </w:rPr>
              <w:t>本项目为锅炉技改项目，</w:t>
            </w:r>
            <w:r>
              <w:rPr>
                <w:rFonts w:hint="default" w:ascii="Times New Roman" w:hAnsi="Times New Roman" w:cs="Times New Roman"/>
                <w:color w:val="auto"/>
                <w:sz w:val="24"/>
                <w:highlight w:val="none"/>
              </w:rPr>
              <w:t>本次技改无新增人员，无新增生活</w:t>
            </w:r>
            <w:r>
              <w:rPr>
                <w:rFonts w:hint="eastAsia" w:ascii="Times New Roman" w:hAnsi="Times New Roman" w:cs="Times New Roman"/>
                <w:color w:val="auto"/>
                <w:sz w:val="24"/>
                <w:highlight w:val="none"/>
                <w:lang w:val="en-US" w:eastAsia="zh-CN"/>
              </w:rPr>
              <w:t>垃圾</w:t>
            </w:r>
            <w:r>
              <w:rPr>
                <w:rFonts w:hint="eastAsia"/>
                <w:color w:val="auto"/>
                <w:sz w:val="24"/>
                <w:lang w:val="en-US" w:eastAsia="zh-CN"/>
              </w:rPr>
              <w:t>，</w:t>
            </w:r>
            <w:r>
              <w:rPr>
                <w:color w:val="auto"/>
                <w:sz w:val="24"/>
              </w:rPr>
              <w:t>运营期产生的固体废物</w:t>
            </w:r>
            <w:r>
              <w:rPr>
                <w:rFonts w:hint="eastAsia"/>
                <w:color w:val="auto"/>
                <w:sz w:val="24"/>
                <w:lang w:val="en-US" w:eastAsia="zh-CN"/>
              </w:rPr>
              <w:t>主要为除尘灰、废布袋等一般</w:t>
            </w:r>
            <w:r>
              <w:rPr>
                <w:rFonts w:hint="eastAsia" w:cs="Times New Roman"/>
                <w:b w:val="0"/>
                <w:bCs w:val="0"/>
                <w:color w:val="FF0000"/>
                <w:kern w:val="0"/>
                <w:sz w:val="24"/>
                <w:lang w:val="en-US" w:eastAsia="zh-CN"/>
              </w:rPr>
              <w:t>工业</w:t>
            </w:r>
            <w:r>
              <w:rPr>
                <w:rFonts w:hint="eastAsia"/>
                <w:color w:val="auto"/>
                <w:sz w:val="24"/>
                <w:lang w:val="en-US" w:eastAsia="zh-CN"/>
              </w:rPr>
              <w:t>固体废物。</w:t>
            </w:r>
          </w:p>
          <w:p w14:paraId="4C114CE5">
            <w:pPr>
              <w:pStyle w:val="91"/>
              <w:keepNext w:val="0"/>
              <w:keepLines w:val="0"/>
              <w:suppressLineNumbers w:val="0"/>
              <w:adjustRightInd w:val="0"/>
              <w:snapToGrid w:val="0"/>
              <w:spacing w:before="0" w:beforeAutospacing="0" w:after="0" w:afterAutospacing="0" w:line="360" w:lineRule="auto"/>
              <w:ind w:left="0" w:right="0"/>
              <w:rPr>
                <w:rFonts w:hint="default" w:ascii="Times New Roman" w:hAnsi="Times New Roman" w:cs="Times New Roman"/>
                <w:color w:val="auto"/>
                <w:sz w:val="24"/>
                <w:lang w:val="en-US"/>
              </w:rPr>
            </w:pPr>
            <w:r>
              <w:rPr>
                <w:rFonts w:hint="eastAsia" w:ascii="Times New Roman" w:hAnsi="Times New Roman" w:cs="Times New Roman"/>
                <w:color w:val="auto"/>
                <w:sz w:val="24"/>
                <w:lang w:val="en-US" w:eastAsia="zh-CN"/>
              </w:rPr>
              <w:t>（</w:t>
            </w:r>
            <w:r>
              <w:rPr>
                <w:rFonts w:hint="default" w:ascii="Times New Roman" w:hAnsi="Times New Roman" w:cs="Times New Roman"/>
                <w:color w:val="auto"/>
                <w:sz w:val="24"/>
                <w:lang w:val="en-US" w:eastAsia="zh-CN"/>
              </w:rPr>
              <w:t>1</w:t>
            </w:r>
            <w:r>
              <w:rPr>
                <w:rFonts w:hint="eastAsia" w:ascii="Times New Roman" w:hAnsi="Times New Roman" w:cs="Times New Roman"/>
                <w:color w:val="auto"/>
                <w:sz w:val="24"/>
                <w:lang w:val="en-US" w:eastAsia="zh-CN"/>
              </w:rPr>
              <w:t>）锅炉灰渣</w:t>
            </w:r>
          </w:p>
          <w:p w14:paraId="5B156718">
            <w:pPr>
              <w:pStyle w:val="91"/>
              <w:keepNext w:val="0"/>
              <w:keepLines w:val="0"/>
              <w:suppressLineNumbers w:val="0"/>
              <w:adjustRightInd w:val="0"/>
              <w:snapToGrid w:val="0"/>
              <w:spacing w:before="0" w:beforeAutospacing="0" w:after="0" w:afterAutospacing="0" w:line="360" w:lineRule="auto"/>
              <w:ind w:left="0" w:right="0"/>
              <w:rPr>
                <w:rFonts w:hint="eastAsia" w:ascii="Times New Roman" w:hAnsi="Times New Roman" w:cs="Times New Roman"/>
                <w:color w:val="auto"/>
                <w:sz w:val="24"/>
              </w:rPr>
            </w:pPr>
            <w:r>
              <w:rPr>
                <w:rFonts w:hint="eastAsia" w:ascii="Times New Roman" w:hAnsi="Times New Roman" w:cs="Times New Roman"/>
                <w:color w:val="auto"/>
                <w:sz w:val="24"/>
                <w:lang w:val="en-US" w:eastAsia="zh-CN"/>
              </w:rPr>
              <w:t>本项目为锅炉技改项目，计划</w:t>
            </w:r>
            <w:r>
              <w:rPr>
                <w:rFonts w:hint="eastAsia" w:cs="Times New Roman"/>
                <w:color w:val="auto"/>
                <w:sz w:val="24"/>
                <w:szCs w:val="24"/>
                <w:lang w:val="en-US" w:eastAsia="zh-CN"/>
              </w:rPr>
              <w:t>在</w:t>
            </w:r>
            <w:r>
              <w:rPr>
                <w:rFonts w:hint="eastAsia" w:ascii="Times New Roman" w:hAnsi="Times New Roman" w:eastAsia="宋体" w:cs="Times New Roman"/>
                <w:color w:val="auto"/>
                <w:sz w:val="24"/>
                <w:szCs w:val="24"/>
                <w:lang w:val="en-US" w:eastAsia="zh-CN"/>
              </w:rPr>
              <w:t>原有一台6t/h生物质锅炉基础上申请增加一台6t/h生物质锅炉</w:t>
            </w:r>
            <w:r>
              <w:rPr>
                <w:rFonts w:hint="eastAsia" w:cs="Times New Roman"/>
                <w:color w:val="auto"/>
                <w:sz w:val="24"/>
                <w:szCs w:val="24"/>
                <w:lang w:val="en-US" w:eastAsia="zh-CN"/>
              </w:rPr>
              <w:t>，原有锅炉作</w:t>
            </w:r>
            <w:r>
              <w:rPr>
                <w:rFonts w:hint="eastAsia" w:ascii="Times New Roman" w:hAnsi="Times New Roman" w:eastAsia="宋体" w:cs="Times New Roman"/>
                <w:color w:val="auto"/>
                <w:sz w:val="24"/>
                <w:szCs w:val="24"/>
                <w:lang w:val="en-US" w:eastAsia="zh-CN"/>
              </w:rPr>
              <w:t>为</w:t>
            </w:r>
            <w:r>
              <w:rPr>
                <w:rFonts w:hint="eastAsia" w:cs="Times New Roman"/>
                <w:color w:val="auto"/>
                <w:sz w:val="24"/>
                <w:szCs w:val="24"/>
                <w:lang w:val="en-US" w:eastAsia="zh-CN"/>
              </w:rPr>
              <w:t>备用锅炉使用，不新增生物质成型燃料使用量，故不新增锅炉灰渣产生量</w:t>
            </w:r>
            <w:r>
              <w:rPr>
                <w:rFonts w:hint="eastAsia" w:ascii="Times New Roman" w:hAnsi="Times New Roman" w:cs="Times New Roman"/>
                <w:color w:val="auto"/>
                <w:sz w:val="24"/>
                <w:lang w:val="en-US" w:eastAsia="zh-CN"/>
              </w:rPr>
              <w:t>。</w:t>
            </w:r>
          </w:p>
          <w:p w14:paraId="318E40BE">
            <w:pPr>
              <w:pStyle w:val="91"/>
              <w:keepNext w:val="0"/>
              <w:keepLines w:val="0"/>
              <w:suppressLineNumbers w:val="0"/>
              <w:adjustRightInd w:val="0"/>
              <w:snapToGrid w:val="0"/>
              <w:spacing w:before="0" w:beforeAutospacing="0" w:after="0" w:afterAutospacing="0" w:line="360" w:lineRule="auto"/>
              <w:ind w:left="0" w:right="0"/>
              <w:rPr>
                <w:rFonts w:hint="eastAsia" w:ascii="Times New Roman" w:hAnsi="Times New Roman" w:cs="Times New Roman"/>
                <w:color w:val="auto"/>
                <w:sz w:val="24"/>
              </w:rPr>
            </w:pPr>
            <w:r>
              <w:rPr>
                <w:rFonts w:hint="eastAsia" w:ascii="Times New Roman" w:hAnsi="Times New Roman" w:cs="Times New Roman"/>
                <w:color w:val="auto"/>
                <w:sz w:val="24"/>
                <w:lang w:val="en-US" w:eastAsia="zh-CN"/>
              </w:rPr>
              <w:t>（</w:t>
            </w:r>
            <w:r>
              <w:rPr>
                <w:rFonts w:hint="default" w:ascii="Times New Roman" w:hAnsi="Times New Roman" w:cs="Times New Roman"/>
                <w:color w:val="auto"/>
                <w:sz w:val="24"/>
                <w:lang w:val="en-US" w:eastAsia="zh-CN"/>
              </w:rPr>
              <w:t>2</w:t>
            </w:r>
            <w:r>
              <w:rPr>
                <w:rFonts w:hint="eastAsia" w:ascii="Times New Roman" w:hAnsi="Times New Roman" w:cs="Times New Roman"/>
                <w:color w:val="auto"/>
                <w:sz w:val="24"/>
                <w:lang w:val="en-US" w:eastAsia="zh-CN"/>
              </w:rPr>
              <w:t>）除尘灰</w:t>
            </w:r>
          </w:p>
          <w:p w14:paraId="4E3DA530">
            <w:pPr>
              <w:pStyle w:val="91"/>
              <w:keepNext w:val="0"/>
              <w:keepLines w:val="0"/>
              <w:suppressLineNumbers w:val="0"/>
              <w:adjustRightInd w:val="0"/>
              <w:snapToGrid w:val="0"/>
              <w:spacing w:before="0" w:beforeAutospacing="0" w:after="0" w:afterAutospacing="0" w:line="360" w:lineRule="auto"/>
              <w:ind w:left="0" w:right="0"/>
              <w:rPr>
                <w:rFonts w:hint="eastAsia" w:ascii="Times New Roman" w:hAnsi="Times New Roman" w:cs="Times New Roman"/>
                <w:color w:val="auto"/>
                <w:sz w:val="24"/>
              </w:rPr>
            </w:pPr>
            <w:r>
              <w:rPr>
                <w:rFonts w:hint="eastAsia" w:ascii="Times New Roman" w:hAnsi="Times New Roman" w:cs="Times New Roman"/>
                <w:color w:val="auto"/>
                <w:sz w:val="24"/>
                <w:lang w:val="en-US" w:eastAsia="zh-CN"/>
              </w:rPr>
              <w:t>技改项目新增一套布袋除尘器用于处理锅炉烟气，</w:t>
            </w:r>
            <w:r>
              <w:rPr>
                <w:rFonts w:hint="eastAsia" w:cs="Times New Roman"/>
                <w:color w:val="auto"/>
                <w:sz w:val="24"/>
                <w:lang w:val="en-US" w:eastAsia="zh-CN"/>
              </w:rPr>
              <w:t>根据工程分析，</w:t>
            </w:r>
            <w:r>
              <w:rPr>
                <w:rFonts w:hint="eastAsia" w:eastAsia="宋体" w:cs="Times New Roman"/>
                <w:b w:val="0"/>
                <w:bCs w:val="0"/>
                <w:color w:val="000000"/>
                <w:sz w:val="24"/>
                <w:lang w:val="en-US" w:eastAsia="zh-CN"/>
              </w:rPr>
              <w:t>布袋除尘器对锅炉颗粒物的去除效率为9</w:t>
            </w:r>
            <w:r>
              <w:rPr>
                <w:rFonts w:hint="eastAsia" w:cs="Times New Roman"/>
                <w:b w:val="0"/>
                <w:bCs w:val="0"/>
                <w:color w:val="000000"/>
                <w:sz w:val="24"/>
                <w:lang w:val="en-US" w:eastAsia="zh-CN"/>
              </w:rPr>
              <w:t>9.7</w:t>
            </w:r>
            <w:r>
              <w:rPr>
                <w:rFonts w:hint="eastAsia" w:eastAsia="宋体" w:cs="Times New Roman"/>
                <w:b w:val="0"/>
                <w:bCs w:val="0"/>
                <w:color w:val="000000"/>
                <w:sz w:val="24"/>
                <w:lang w:val="en-US" w:eastAsia="zh-CN"/>
              </w:rPr>
              <w:t>%，锅炉颗粒物产生量为</w:t>
            </w:r>
            <w:r>
              <w:rPr>
                <w:rFonts w:hint="eastAsia" w:cs="Times New Roman"/>
                <w:b w:val="0"/>
                <w:bCs w:val="0"/>
                <w:color w:val="000000"/>
                <w:sz w:val="24"/>
                <w:lang w:val="en-US" w:eastAsia="zh-CN"/>
              </w:rPr>
              <w:t>169.2</w:t>
            </w:r>
            <w:r>
              <w:rPr>
                <w:rFonts w:hint="eastAsia" w:eastAsia="宋体" w:cs="Times New Roman"/>
                <w:b w:val="0"/>
                <w:bCs w:val="0"/>
                <w:color w:val="000000"/>
                <w:sz w:val="24"/>
                <w:lang w:val="en-US" w:eastAsia="zh-CN"/>
              </w:rPr>
              <w:t>t/a，则</w:t>
            </w:r>
            <w:r>
              <w:rPr>
                <w:rFonts w:hint="eastAsia" w:ascii="Times New Roman" w:hAnsi="Times New Roman" w:cs="Times New Roman"/>
                <w:color w:val="auto"/>
                <w:sz w:val="24"/>
                <w:lang w:val="en-US" w:eastAsia="zh-CN"/>
              </w:rPr>
              <w:t>粉尘收集量为</w:t>
            </w:r>
            <w:r>
              <w:rPr>
                <w:rFonts w:hint="eastAsia" w:cs="Times New Roman"/>
                <w:color w:val="auto"/>
                <w:sz w:val="24"/>
                <w:lang w:val="en-US" w:eastAsia="zh-CN"/>
              </w:rPr>
              <w:t>168.692</w:t>
            </w:r>
            <w:r>
              <w:rPr>
                <w:rFonts w:hint="default" w:ascii="Times New Roman" w:hAnsi="Times New Roman" w:cs="Times New Roman"/>
                <w:color w:val="auto"/>
                <w:sz w:val="24"/>
                <w:lang w:val="en-US" w:eastAsia="zh-CN"/>
              </w:rPr>
              <w:t>t/a</w:t>
            </w:r>
            <w:r>
              <w:rPr>
                <w:rFonts w:hint="eastAsia" w:ascii="Times New Roman" w:hAnsi="Times New Roman" w:cs="Times New Roman"/>
                <w:color w:val="auto"/>
                <w:sz w:val="24"/>
                <w:lang w:val="en-US" w:eastAsia="zh-CN"/>
              </w:rPr>
              <w:t>。根据《固体废物分类与代码目录》，属于</w:t>
            </w:r>
            <w:r>
              <w:rPr>
                <w:rFonts w:hint="default" w:ascii="Times New Roman" w:hAnsi="Times New Roman" w:cs="Times New Roman"/>
                <w:color w:val="auto"/>
                <w:sz w:val="24"/>
                <w:lang w:val="en-US" w:eastAsia="zh-CN"/>
              </w:rPr>
              <w:t>SW59</w:t>
            </w:r>
            <w:r>
              <w:rPr>
                <w:rFonts w:hint="eastAsia" w:ascii="Times New Roman" w:hAnsi="Times New Roman" w:cs="Times New Roman"/>
                <w:color w:val="auto"/>
                <w:sz w:val="24"/>
                <w:lang w:val="en-US" w:eastAsia="zh-CN"/>
              </w:rPr>
              <w:t>其他工业固体废物，其代码为</w:t>
            </w:r>
            <w:r>
              <w:rPr>
                <w:rFonts w:hint="default" w:ascii="Times New Roman" w:hAnsi="Times New Roman" w:cs="Times New Roman"/>
                <w:color w:val="auto"/>
                <w:sz w:val="24"/>
                <w:lang w:val="en-US" w:eastAsia="zh-CN"/>
              </w:rPr>
              <w:t>900-099-S59</w:t>
            </w:r>
            <w:r>
              <w:rPr>
                <w:rFonts w:hint="eastAsia" w:ascii="Times New Roman" w:hAnsi="Times New Roman" w:cs="Times New Roman"/>
                <w:color w:val="auto"/>
                <w:sz w:val="24"/>
                <w:lang w:val="en-US" w:eastAsia="zh-CN"/>
              </w:rPr>
              <w:t>，</w:t>
            </w:r>
            <w:r>
              <w:rPr>
                <w:rFonts w:hint="eastAsia" w:ascii="Times New Roman" w:hAnsi="Times New Roman" w:cs="Times New Roman"/>
                <w:color w:val="auto"/>
                <w:sz w:val="24"/>
                <w:szCs w:val="24"/>
                <w:lang w:val="en-US" w:eastAsia="zh-CN"/>
              </w:rPr>
              <w:t>袋装收集后，依托现有项目一间一般</w:t>
            </w:r>
            <w:r>
              <w:rPr>
                <w:rFonts w:hint="eastAsia" w:cs="Times New Roman"/>
                <w:b w:val="0"/>
                <w:bCs w:val="0"/>
                <w:color w:val="FF0000"/>
                <w:kern w:val="0"/>
                <w:sz w:val="24"/>
                <w:lang w:val="en-US" w:eastAsia="zh-CN"/>
              </w:rPr>
              <w:t>工业</w:t>
            </w:r>
            <w:r>
              <w:rPr>
                <w:rFonts w:hint="eastAsia" w:ascii="Times New Roman" w:hAnsi="Times New Roman" w:cs="Times New Roman"/>
                <w:color w:val="auto"/>
                <w:sz w:val="24"/>
                <w:szCs w:val="24"/>
                <w:lang w:val="en-US" w:eastAsia="zh-CN"/>
              </w:rPr>
              <w:t>固体废物暂存间暂存后用作农家肥资源化处理</w:t>
            </w:r>
            <w:r>
              <w:rPr>
                <w:rFonts w:hint="default" w:ascii="Times New Roman" w:hAnsi="Times New Roman" w:cs="Times New Roman"/>
                <w:color w:val="auto"/>
                <w:sz w:val="24"/>
                <w:szCs w:val="24"/>
                <w:lang w:val="en-US" w:eastAsia="zh-CN"/>
              </w:rPr>
              <w:t>。</w:t>
            </w:r>
          </w:p>
          <w:p w14:paraId="55F0068C">
            <w:pPr>
              <w:pStyle w:val="91"/>
              <w:keepNext w:val="0"/>
              <w:keepLines w:val="0"/>
              <w:suppressLineNumbers w:val="0"/>
              <w:adjustRightInd w:val="0"/>
              <w:snapToGrid w:val="0"/>
              <w:spacing w:before="0" w:beforeAutospacing="0" w:after="0" w:afterAutospacing="0" w:line="360" w:lineRule="auto"/>
              <w:ind w:left="0" w:right="0"/>
              <w:rPr>
                <w:rFonts w:hint="eastAsia" w:ascii="Times New Roman" w:hAnsi="Times New Roman" w:cs="Times New Roman"/>
                <w:color w:val="auto"/>
                <w:sz w:val="24"/>
              </w:rPr>
            </w:pPr>
            <w:r>
              <w:rPr>
                <w:rFonts w:hint="eastAsia" w:ascii="Times New Roman" w:hAnsi="Times New Roman" w:cs="Times New Roman"/>
                <w:color w:val="auto"/>
                <w:sz w:val="24"/>
                <w:lang w:val="en-US" w:eastAsia="zh-CN"/>
              </w:rPr>
              <w:t>（3）废离子交换树脂</w:t>
            </w:r>
          </w:p>
          <w:p w14:paraId="270D2E08">
            <w:pPr>
              <w:pStyle w:val="91"/>
              <w:keepNext w:val="0"/>
              <w:keepLines w:val="0"/>
              <w:suppressLineNumbers w:val="0"/>
              <w:adjustRightInd w:val="0"/>
              <w:snapToGrid w:val="0"/>
              <w:spacing w:before="0" w:beforeAutospacing="0" w:after="0" w:afterAutospacing="0" w:line="360" w:lineRule="auto"/>
              <w:ind w:left="0" w:right="0"/>
              <w:rPr>
                <w:rFonts w:hint="eastAsia" w:ascii="Times New Roman" w:hAnsi="Times New Roman" w:cs="Times New Roman"/>
                <w:color w:val="auto"/>
                <w:sz w:val="24"/>
              </w:rPr>
            </w:pPr>
            <w:r>
              <w:rPr>
                <w:rFonts w:hint="eastAsia" w:ascii="Times New Roman" w:hAnsi="Times New Roman" w:cs="Times New Roman"/>
                <w:color w:val="auto"/>
                <w:sz w:val="24"/>
                <w:lang w:val="en-US" w:eastAsia="zh-CN"/>
              </w:rPr>
              <w:t>项目锅炉软化水制备系统需定期更换离子交换树脂，</w:t>
            </w:r>
            <w:r>
              <w:rPr>
                <w:rFonts w:hint="eastAsia" w:cs="Times New Roman"/>
                <w:color w:val="auto"/>
                <w:sz w:val="24"/>
                <w:lang w:val="en-US" w:eastAsia="zh-CN"/>
              </w:rPr>
              <w:t>本项目依托现有工程软化水装置，不新增废离子交换树脂排放量</w:t>
            </w:r>
            <w:r>
              <w:rPr>
                <w:rFonts w:hint="eastAsia" w:ascii="Times New Roman" w:hAnsi="Times New Roman" w:cs="Times New Roman"/>
                <w:color w:val="auto"/>
                <w:sz w:val="24"/>
                <w:lang w:val="en-US" w:eastAsia="zh-CN"/>
              </w:rPr>
              <w:t>。</w:t>
            </w:r>
          </w:p>
          <w:p w14:paraId="1E09AED9">
            <w:pPr>
              <w:pStyle w:val="91"/>
              <w:keepNext w:val="0"/>
              <w:keepLines w:val="0"/>
              <w:suppressLineNumbers w:val="0"/>
              <w:adjustRightInd w:val="0"/>
              <w:snapToGrid w:val="0"/>
              <w:spacing w:before="0" w:beforeAutospacing="0" w:after="0" w:afterAutospacing="0" w:line="360" w:lineRule="auto"/>
              <w:ind w:left="0" w:right="0"/>
              <w:rPr>
                <w:rFonts w:hint="eastAsia" w:ascii="Times New Roman" w:hAnsi="Times New Roman" w:cs="Times New Roman"/>
                <w:color w:val="auto"/>
                <w:sz w:val="24"/>
              </w:rPr>
            </w:pPr>
            <w:r>
              <w:rPr>
                <w:rFonts w:hint="eastAsia" w:ascii="Times New Roman" w:hAnsi="Times New Roman" w:cs="Times New Roman"/>
                <w:color w:val="auto"/>
                <w:sz w:val="24"/>
                <w:lang w:val="en-US" w:eastAsia="zh-CN"/>
              </w:rPr>
              <w:t>（4）废布袋</w:t>
            </w:r>
          </w:p>
          <w:p w14:paraId="45D08D2B">
            <w:pPr>
              <w:pStyle w:val="91"/>
              <w:keepNext w:val="0"/>
              <w:keepLines w:val="0"/>
              <w:suppressLineNumbers w:val="0"/>
              <w:adjustRightInd w:val="0"/>
              <w:snapToGrid w:val="0"/>
              <w:spacing w:before="0" w:beforeAutospacing="0" w:after="0" w:afterAutospacing="0" w:line="360" w:lineRule="auto"/>
              <w:ind w:left="0" w:right="0"/>
              <w:rPr>
                <w:rFonts w:hint="eastAsia" w:ascii="Times New Roman" w:hAnsi="Times New Roman" w:eastAsia="宋体" w:cs="Times New Roman"/>
                <w:color w:val="auto"/>
                <w:sz w:val="24"/>
                <w:lang w:val="en-US" w:eastAsia="zh-CN"/>
              </w:rPr>
            </w:pPr>
            <w:r>
              <w:rPr>
                <w:rFonts w:hint="eastAsia" w:ascii="Times New Roman" w:hAnsi="Times New Roman" w:cs="Times New Roman"/>
                <w:color w:val="auto"/>
                <w:sz w:val="24"/>
                <w:lang w:val="en-US" w:eastAsia="zh-CN"/>
              </w:rPr>
              <w:t>本次技改项目新增一套布袋除尘器用于处理锅炉烟气，布袋需进行定期更换，根据业主提供资料，每</w:t>
            </w:r>
            <w:r>
              <w:rPr>
                <w:rFonts w:hint="eastAsia" w:cs="Times New Roman"/>
                <w:color w:val="auto"/>
                <w:sz w:val="24"/>
                <w:lang w:val="en-US" w:eastAsia="zh-CN"/>
              </w:rPr>
              <w:t>两</w:t>
            </w:r>
            <w:r>
              <w:rPr>
                <w:rFonts w:hint="eastAsia" w:ascii="Times New Roman" w:hAnsi="Times New Roman" w:cs="Times New Roman"/>
                <w:color w:val="auto"/>
                <w:sz w:val="24"/>
                <w:lang w:val="en-US" w:eastAsia="zh-CN"/>
              </w:rPr>
              <w:t>年更换一次，每次更换下来的废布袋量约为</w:t>
            </w:r>
            <w:r>
              <w:rPr>
                <w:rFonts w:hint="eastAsia" w:cs="Times New Roman"/>
                <w:color w:val="auto"/>
                <w:sz w:val="24"/>
                <w:lang w:val="en-US" w:eastAsia="zh-CN"/>
              </w:rPr>
              <w:t>0.4</w:t>
            </w:r>
            <w:r>
              <w:rPr>
                <w:rFonts w:hint="default" w:ascii="Times New Roman" w:hAnsi="Times New Roman" w:cs="Times New Roman"/>
                <w:color w:val="auto"/>
                <w:sz w:val="24"/>
                <w:lang w:val="en-US" w:eastAsia="zh-CN"/>
              </w:rPr>
              <w:t>t</w:t>
            </w:r>
            <w:r>
              <w:rPr>
                <w:rFonts w:hint="eastAsia" w:cs="Times New Roman"/>
                <w:color w:val="auto"/>
                <w:sz w:val="24"/>
                <w:lang w:val="en-US" w:eastAsia="zh-CN"/>
              </w:rPr>
              <w:t>，则每年产生量为0.2t</w:t>
            </w:r>
            <w:r>
              <w:rPr>
                <w:rFonts w:hint="eastAsia" w:ascii="Times New Roman" w:hAnsi="Times New Roman" w:cs="Times New Roman"/>
                <w:color w:val="auto"/>
                <w:sz w:val="24"/>
                <w:lang w:val="en-US" w:eastAsia="zh-CN"/>
              </w:rPr>
              <w:t>。根据《固体废物分</w:t>
            </w:r>
            <w:r>
              <w:rPr>
                <w:rFonts w:hint="eastAsia" w:ascii="Times New Roman" w:hAnsi="Times New Roman" w:eastAsia="宋体" w:cs="Times New Roman"/>
                <w:color w:val="auto"/>
                <w:sz w:val="24"/>
                <w:lang w:val="en-US" w:eastAsia="zh-CN"/>
              </w:rPr>
              <w:t>类与代码目录》，属于</w:t>
            </w:r>
            <w:r>
              <w:rPr>
                <w:rFonts w:hint="default" w:ascii="Times New Roman" w:hAnsi="Times New Roman" w:eastAsia="宋体" w:cs="Times New Roman"/>
                <w:color w:val="auto"/>
                <w:sz w:val="24"/>
                <w:lang w:val="en-US" w:eastAsia="zh-CN"/>
              </w:rPr>
              <w:t>SW</w:t>
            </w:r>
            <w:r>
              <w:rPr>
                <w:rFonts w:hint="eastAsia" w:cs="Times New Roman"/>
                <w:color w:val="auto"/>
                <w:sz w:val="24"/>
                <w:lang w:val="en-US" w:eastAsia="zh-CN"/>
              </w:rPr>
              <w:t>59其他工业固体废物</w:t>
            </w:r>
            <w:r>
              <w:rPr>
                <w:rFonts w:hint="eastAsia" w:ascii="Times New Roman" w:hAnsi="Times New Roman" w:eastAsia="宋体" w:cs="Times New Roman"/>
                <w:color w:val="auto"/>
                <w:sz w:val="24"/>
                <w:lang w:val="en-US" w:eastAsia="zh-CN"/>
              </w:rPr>
              <w:t>，一般固废代码为</w:t>
            </w:r>
            <w:r>
              <w:rPr>
                <w:rFonts w:hint="default" w:ascii="Times New Roman" w:hAnsi="Times New Roman" w:eastAsia="宋体" w:cs="Times New Roman"/>
                <w:color w:val="auto"/>
                <w:sz w:val="24"/>
                <w:lang w:val="en-US" w:eastAsia="zh-CN"/>
              </w:rPr>
              <w:t>900-0</w:t>
            </w:r>
            <w:r>
              <w:rPr>
                <w:rFonts w:hint="eastAsia" w:cs="Times New Roman"/>
                <w:color w:val="auto"/>
                <w:sz w:val="24"/>
                <w:lang w:val="en-US" w:eastAsia="zh-CN"/>
              </w:rPr>
              <w:t>09-S59</w:t>
            </w:r>
            <w:r>
              <w:rPr>
                <w:rFonts w:hint="eastAsia" w:ascii="Times New Roman" w:hAnsi="Times New Roman" w:eastAsia="宋体" w:cs="Times New Roman"/>
                <w:color w:val="auto"/>
                <w:sz w:val="24"/>
                <w:lang w:val="en-US" w:eastAsia="zh-CN"/>
              </w:rPr>
              <w:t>，</w:t>
            </w:r>
            <w:r>
              <w:rPr>
                <w:rFonts w:hint="eastAsia" w:ascii="Times New Roman" w:hAnsi="Times New Roman" w:cs="Times New Roman"/>
                <w:color w:val="auto"/>
                <w:sz w:val="24"/>
                <w:szCs w:val="24"/>
                <w:lang w:val="en-US" w:eastAsia="zh-CN"/>
              </w:rPr>
              <w:t>依托现有项目一间一般</w:t>
            </w:r>
            <w:r>
              <w:rPr>
                <w:rFonts w:hint="eastAsia" w:cs="Times New Roman"/>
                <w:b w:val="0"/>
                <w:bCs w:val="0"/>
                <w:color w:val="FF0000"/>
                <w:kern w:val="0"/>
                <w:sz w:val="24"/>
                <w:lang w:val="en-US" w:eastAsia="zh-CN"/>
              </w:rPr>
              <w:t>工业</w:t>
            </w:r>
            <w:r>
              <w:rPr>
                <w:rFonts w:hint="eastAsia" w:ascii="Times New Roman" w:hAnsi="Times New Roman" w:cs="Times New Roman"/>
                <w:color w:val="auto"/>
                <w:sz w:val="24"/>
                <w:szCs w:val="24"/>
                <w:lang w:val="en-US" w:eastAsia="zh-CN"/>
              </w:rPr>
              <w:t>固体废物暂存间暂存后</w:t>
            </w:r>
            <w:r>
              <w:rPr>
                <w:rFonts w:hint="eastAsia" w:ascii="Times New Roman" w:hAnsi="Times New Roman" w:eastAsia="宋体" w:cs="Times New Roman"/>
                <w:color w:val="auto"/>
                <w:sz w:val="24"/>
                <w:lang w:val="en-US" w:eastAsia="zh-CN"/>
              </w:rPr>
              <w:t>交由相关单位进行回收。</w:t>
            </w:r>
          </w:p>
          <w:p w14:paraId="13D97D9B">
            <w:pPr>
              <w:pStyle w:val="91"/>
              <w:keepNext w:val="0"/>
              <w:keepLines w:val="0"/>
              <w:suppressLineNumbers w:val="0"/>
              <w:adjustRightInd w:val="0"/>
              <w:snapToGrid w:val="0"/>
              <w:spacing w:before="0" w:beforeAutospacing="0" w:after="0" w:afterAutospacing="0" w:line="360" w:lineRule="auto"/>
              <w:ind w:left="0" w:right="0"/>
              <w:rPr>
                <w:rFonts w:hint="default" w:ascii="Times New Roman" w:hAnsi="Times New Roman" w:cs="Times New Roman"/>
                <w:color w:val="auto"/>
                <w:sz w:val="24"/>
                <w:lang w:val="en-US"/>
              </w:rPr>
            </w:pPr>
            <w:r>
              <w:rPr>
                <w:rFonts w:hint="eastAsia" w:ascii="Times New Roman" w:hAnsi="Times New Roman" w:cs="Times New Roman"/>
                <w:color w:val="auto"/>
                <w:sz w:val="24"/>
                <w:lang w:val="en-US" w:eastAsia="zh-CN"/>
              </w:rPr>
              <w:t>（5）污水处理污泥</w:t>
            </w:r>
          </w:p>
          <w:p w14:paraId="01FA3452">
            <w:pPr>
              <w:pStyle w:val="91"/>
              <w:keepNext w:val="0"/>
              <w:keepLines w:val="0"/>
              <w:suppressLineNumbers w:val="0"/>
              <w:adjustRightInd w:val="0"/>
              <w:snapToGrid w:val="0"/>
              <w:spacing w:before="0" w:beforeAutospacing="0" w:after="0" w:afterAutospacing="0" w:line="360" w:lineRule="auto"/>
              <w:ind w:left="0" w:right="0"/>
              <w:rPr>
                <w:rFonts w:hint="eastAsia" w:ascii="Times New Roman" w:hAnsi="Times New Roman" w:eastAsia="宋体" w:cs="Times New Roman"/>
                <w:color w:val="FF0000"/>
                <w:sz w:val="24"/>
                <w:lang w:val="en-US" w:eastAsia="zh-CN"/>
              </w:rPr>
            </w:pPr>
            <w:r>
              <w:rPr>
                <w:rFonts w:hint="eastAsia" w:ascii="Times New Roman" w:hAnsi="Times New Roman" w:cs="Times New Roman"/>
                <w:color w:val="FF0000"/>
                <w:sz w:val="24"/>
                <w:szCs w:val="24"/>
                <w:vertAlign w:val="baseline"/>
                <w:lang w:val="en-US" w:eastAsia="zh-CN" w:bidi="ar"/>
              </w:rPr>
              <w:t>本项目属于锅炉技改项目，</w:t>
            </w:r>
            <w:r>
              <w:rPr>
                <w:rFonts w:hint="eastAsia" w:cs="Times New Roman"/>
                <w:color w:val="FF0000"/>
                <w:sz w:val="24"/>
                <w:szCs w:val="24"/>
                <w:lang w:val="en-US" w:eastAsia="zh-CN" w:bidi="ar"/>
              </w:rPr>
              <w:t>此次技改项目</w:t>
            </w:r>
            <w:r>
              <w:rPr>
                <w:rFonts w:hint="eastAsia" w:cs="Times New Roman"/>
                <w:color w:val="FF0000"/>
                <w:sz w:val="24"/>
                <w:szCs w:val="24"/>
                <w:lang w:val="en-US" w:eastAsia="zh-CN"/>
              </w:rPr>
              <w:t>在</w:t>
            </w:r>
            <w:r>
              <w:rPr>
                <w:rFonts w:hint="default" w:ascii="Times New Roman" w:hAnsi="Times New Roman" w:eastAsia="宋体" w:cs="Times New Roman"/>
                <w:color w:val="FF0000"/>
                <w:sz w:val="24"/>
                <w:szCs w:val="24"/>
                <w:lang w:val="en-US" w:eastAsia="zh-CN"/>
              </w:rPr>
              <w:t>原有一台6t/h生物质锅炉基础上申请增加一台6t/h生物质锅炉</w:t>
            </w:r>
            <w:r>
              <w:rPr>
                <w:rFonts w:hint="default" w:ascii="Times New Roman" w:hAnsi="Times New Roman" w:cs="Times New Roman"/>
                <w:color w:val="FF0000"/>
                <w:sz w:val="24"/>
                <w:szCs w:val="24"/>
                <w:lang w:val="en-US" w:eastAsia="zh-CN"/>
              </w:rPr>
              <w:t>，</w:t>
            </w:r>
            <w:r>
              <w:rPr>
                <w:rFonts w:hint="eastAsia" w:ascii="Times New Roman" w:hAnsi="Times New Roman" w:cs="Times New Roman"/>
                <w:color w:val="FF0000"/>
                <w:sz w:val="24"/>
                <w:szCs w:val="24"/>
                <w:lang w:val="en-US" w:eastAsia="zh-CN"/>
              </w:rPr>
              <w:t>原有</w:t>
            </w:r>
            <w:r>
              <w:rPr>
                <w:rFonts w:hint="default" w:ascii="Times New Roman" w:hAnsi="Times New Roman" w:cs="Times New Roman"/>
                <w:color w:val="FF0000"/>
                <w:sz w:val="24"/>
                <w:szCs w:val="24"/>
                <w:lang w:val="en-US" w:eastAsia="zh-CN"/>
              </w:rPr>
              <w:t>锅炉</w:t>
            </w:r>
            <w:r>
              <w:rPr>
                <w:rFonts w:hint="eastAsia" w:cs="Times New Roman"/>
                <w:color w:val="FF0000"/>
                <w:sz w:val="24"/>
                <w:szCs w:val="24"/>
                <w:lang w:val="en-US" w:eastAsia="zh-CN"/>
              </w:rPr>
              <w:t>作为</w:t>
            </w:r>
            <w:r>
              <w:rPr>
                <w:rFonts w:hint="default" w:ascii="Times New Roman" w:hAnsi="Times New Roman" w:cs="Times New Roman"/>
                <w:color w:val="FF0000"/>
                <w:sz w:val="24"/>
                <w:szCs w:val="24"/>
                <w:lang w:val="en-US" w:eastAsia="zh-CN"/>
              </w:rPr>
              <w:t>备用锅炉使用，2台锅炉不同时运行，锅炉年总运行时长</w:t>
            </w:r>
            <w:r>
              <w:rPr>
                <w:rFonts w:hint="eastAsia" w:ascii="Times New Roman" w:hAnsi="Times New Roman" w:cs="Times New Roman"/>
                <w:color w:val="FF0000"/>
                <w:sz w:val="24"/>
                <w:szCs w:val="24"/>
                <w:lang w:val="en-US" w:eastAsia="zh-CN"/>
              </w:rPr>
              <w:t>为</w:t>
            </w:r>
            <w:r>
              <w:rPr>
                <w:rFonts w:hint="eastAsia" w:cs="Times New Roman"/>
                <w:color w:val="FF0000"/>
                <w:sz w:val="24"/>
                <w:szCs w:val="24"/>
                <w:lang w:val="en-US" w:eastAsia="zh-CN"/>
              </w:rPr>
              <w:t>4650</w:t>
            </w:r>
            <w:r>
              <w:rPr>
                <w:rFonts w:hint="eastAsia" w:ascii="Times New Roman" w:hAnsi="Times New Roman" w:cs="Times New Roman"/>
                <w:color w:val="FF0000"/>
                <w:sz w:val="24"/>
                <w:szCs w:val="24"/>
                <w:lang w:val="en-US" w:eastAsia="zh-CN"/>
              </w:rPr>
              <w:t>h/a，运行时长</w:t>
            </w:r>
            <w:r>
              <w:rPr>
                <w:rFonts w:hint="default" w:ascii="Times New Roman" w:hAnsi="Times New Roman" w:cs="Times New Roman"/>
                <w:color w:val="FF0000"/>
                <w:sz w:val="24"/>
                <w:szCs w:val="24"/>
                <w:lang w:val="en-US" w:eastAsia="zh-CN"/>
              </w:rPr>
              <w:t>不变，故</w:t>
            </w:r>
            <w:r>
              <w:rPr>
                <w:rFonts w:hint="eastAsia" w:cs="Times New Roman"/>
                <w:color w:val="FF0000"/>
                <w:sz w:val="24"/>
                <w:szCs w:val="24"/>
                <w:lang w:val="en-US" w:eastAsia="zh-CN"/>
              </w:rPr>
              <w:t>树脂再生</w:t>
            </w:r>
            <w:r>
              <w:rPr>
                <w:rFonts w:hint="default" w:ascii="Times New Roman" w:hAnsi="Times New Roman" w:cs="Times New Roman"/>
                <w:color w:val="FF0000"/>
                <w:sz w:val="24"/>
                <w:szCs w:val="24"/>
                <w:lang w:val="en-US" w:eastAsia="zh-CN"/>
              </w:rPr>
              <w:t>废水产生量不发生增加</w:t>
            </w:r>
            <w:r>
              <w:rPr>
                <w:rFonts w:hint="eastAsia" w:cs="Times New Roman"/>
                <w:color w:val="FF0000"/>
                <w:sz w:val="24"/>
                <w:lang w:val="en-US" w:eastAsia="zh-CN"/>
              </w:rPr>
              <w:t>，不新增废水处理过程中污泥的排放量</w:t>
            </w:r>
            <w:r>
              <w:rPr>
                <w:rFonts w:hint="eastAsia" w:ascii="Times New Roman" w:hAnsi="Times New Roman" w:cs="Times New Roman"/>
                <w:color w:val="FF0000"/>
                <w:sz w:val="24"/>
                <w:lang w:val="en-US" w:eastAsia="zh-CN"/>
              </w:rPr>
              <w:t>。</w:t>
            </w:r>
          </w:p>
          <w:p w14:paraId="7743FED4">
            <w:pPr>
              <w:spacing w:line="360" w:lineRule="auto"/>
              <w:ind w:firstLine="480" w:firstLineChars="200"/>
              <w:rPr>
                <w:sz w:val="24"/>
              </w:rPr>
            </w:pPr>
            <w:r>
              <w:rPr>
                <w:sz w:val="24"/>
              </w:rPr>
              <w:t>本项目</w:t>
            </w:r>
            <w:r>
              <w:rPr>
                <w:rFonts w:hint="eastAsia"/>
                <w:sz w:val="24"/>
                <w:lang w:val="en-US" w:eastAsia="zh-CN"/>
              </w:rPr>
              <w:t>一般</w:t>
            </w:r>
            <w:r>
              <w:rPr>
                <w:rFonts w:hint="eastAsia" w:cs="Times New Roman"/>
                <w:b w:val="0"/>
                <w:bCs w:val="0"/>
                <w:color w:val="FF0000"/>
                <w:kern w:val="0"/>
                <w:sz w:val="24"/>
                <w:lang w:val="en-US" w:eastAsia="zh-CN"/>
              </w:rPr>
              <w:t>工业</w:t>
            </w:r>
            <w:r>
              <w:rPr>
                <w:sz w:val="24"/>
              </w:rPr>
              <w:t>固体废物产生和处置情况见表4-</w:t>
            </w:r>
            <w:r>
              <w:rPr>
                <w:rFonts w:hint="eastAsia"/>
                <w:sz w:val="24"/>
                <w:lang w:val="en-US" w:eastAsia="zh-CN"/>
              </w:rPr>
              <w:t>10</w:t>
            </w:r>
            <w:r>
              <w:rPr>
                <w:sz w:val="24"/>
              </w:rPr>
              <w:t>。</w:t>
            </w:r>
          </w:p>
          <w:p w14:paraId="259227FF">
            <w:pPr>
              <w:jc w:val="center"/>
              <w:rPr>
                <w:b/>
                <w:bCs/>
                <w:color w:val="auto"/>
                <w:sz w:val="24"/>
                <w:lang w:val="zh-CN"/>
              </w:rPr>
            </w:pPr>
            <w:r>
              <w:rPr>
                <w:b/>
                <w:bCs/>
                <w:color w:val="auto"/>
                <w:sz w:val="24"/>
                <w:lang w:val="zh-CN"/>
              </w:rPr>
              <w:t>表4-</w:t>
            </w:r>
            <w:r>
              <w:rPr>
                <w:rFonts w:hint="eastAsia"/>
                <w:b/>
                <w:bCs/>
                <w:color w:val="auto"/>
                <w:sz w:val="24"/>
                <w:lang w:val="en-US" w:eastAsia="zh-CN"/>
              </w:rPr>
              <w:t>10</w:t>
            </w:r>
            <w:r>
              <w:rPr>
                <w:b/>
                <w:bCs/>
                <w:color w:val="auto"/>
                <w:sz w:val="24"/>
                <w:lang w:val="zh-CN"/>
              </w:rPr>
              <w:t xml:space="preserve">   </w:t>
            </w:r>
            <w:r>
              <w:rPr>
                <w:rFonts w:hint="eastAsia"/>
                <w:b/>
                <w:bCs/>
                <w:color w:val="auto"/>
                <w:sz w:val="24"/>
                <w:lang w:val="en-US" w:eastAsia="zh-CN"/>
              </w:rPr>
              <w:t>一般</w:t>
            </w:r>
            <w:r>
              <w:rPr>
                <w:rFonts w:hint="eastAsia" w:cs="Times New Roman"/>
                <w:b/>
                <w:bCs/>
                <w:color w:val="FF0000"/>
                <w:kern w:val="0"/>
                <w:sz w:val="24"/>
                <w:lang w:val="en-US" w:eastAsia="zh-CN"/>
              </w:rPr>
              <w:t>工业</w:t>
            </w:r>
            <w:r>
              <w:rPr>
                <w:b/>
                <w:bCs/>
                <w:color w:val="auto"/>
                <w:sz w:val="24"/>
                <w:lang w:val="zh-CN"/>
              </w:rPr>
              <w:t>固体废物污染源产生、排放汇总表</w:t>
            </w:r>
          </w:p>
          <w:tbl>
            <w:tblPr>
              <w:tblStyle w:val="2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3"/>
              <w:gridCol w:w="907"/>
              <w:gridCol w:w="903"/>
              <w:gridCol w:w="1313"/>
              <w:gridCol w:w="696"/>
              <w:gridCol w:w="1109"/>
              <w:gridCol w:w="1113"/>
              <w:gridCol w:w="1346"/>
            </w:tblGrid>
            <w:tr w14:paraId="75BFE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073" w:type="dxa"/>
                  <w:vAlign w:val="center"/>
                </w:tcPr>
                <w:p w14:paraId="5CD5A58C">
                  <w:pPr>
                    <w:keepNext w:val="0"/>
                    <w:keepLines w:val="0"/>
                    <w:pageBreakBefore w:val="0"/>
                    <w:widowControl/>
                    <w:kinsoku/>
                    <w:wordWrap/>
                    <w:overflowPunct/>
                    <w:topLinePunct w:val="0"/>
                    <w:bidi w:val="0"/>
                    <w:snapToGrid/>
                    <w:spacing w:line="240" w:lineRule="auto"/>
                    <w:jc w:val="center"/>
                    <w:textAlignment w:val="center"/>
                    <w:rPr>
                      <w:color w:val="auto"/>
                      <w:sz w:val="21"/>
                      <w:szCs w:val="21"/>
                    </w:rPr>
                  </w:pPr>
                  <w:r>
                    <w:rPr>
                      <w:b/>
                      <w:bCs/>
                      <w:color w:val="auto"/>
                      <w:sz w:val="21"/>
                      <w:szCs w:val="21"/>
                    </w:rPr>
                    <w:t>固废产生环节</w:t>
                  </w:r>
                </w:p>
              </w:tc>
              <w:tc>
                <w:tcPr>
                  <w:tcW w:w="907" w:type="dxa"/>
                  <w:vAlign w:val="center"/>
                </w:tcPr>
                <w:p w14:paraId="12506733">
                  <w:pPr>
                    <w:keepNext w:val="0"/>
                    <w:keepLines w:val="0"/>
                    <w:pageBreakBefore w:val="0"/>
                    <w:widowControl/>
                    <w:kinsoku/>
                    <w:wordWrap/>
                    <w:overflowPunct/>
                    <w:topLinePunct w:val="0"/>
                    <w:bidi w:val="0"/>
                    <w:snapToGrid/>
                    <w:spacing w:line="240" w:lineRule="auto"/>
                    <w:jc w:val="center"/>
                    <w:textAlignment w:val="center"/>
                    <w:rPr>
                      <w:color w:val="auto"/>
                      <w:sz w:val="21"/>
                      <w:szCs w:val="21"/>
                    </w:rPr>
                  </w:pPr>
                  <w:r>
                    <w:rPr>
                      <w:b/>
                      <w:bCs/>
                      <w:color w:val="auto"/>
                      <w:sz w:val="21"/>
                      <w:szCs w:val="21"/>
                    </w:rPr>
                    <w:t>固废名称</w:t>
                  </w:r>
                </w:p>
              </w:tc>
              <w:tc>
                <w:tcPr>
                  <w:tcW w:w="903" w:type="dxa"/>
                  <w:vAlign w:val="center"/>
                </w:tcPr>
                <w:p w14:paraId="091DC0B3">
                  <w:pPr>
                    <w:keepNext w:val="0"/>
                    <w:keepLines w:val="0"/>
                    <w:pageBreakBefore w:val="0"/>
                    <w:widowControl/>
                    <w:kinsoku/>
                    <w:wordWrap/>
                    <w:overflowPunct/>
                    <w:topLinePunct w:val="0"/>
                    <w:bidi w:val="0"/>
                    <w:snapToGrid/>
                    <w:spacing w:line="240" w:lineRule="auto"/>
                    <w:jc w:val="center"/>
                    <w:textAlignment w:val="center"/>
                    <w:rPr>
                      <w:color w:val="auto"/>
                      <w:sz w:val="21"/>
                      <w:szCs w:val="21"/>
                    </w:rPr>
                  </w:pPr>
                  <w:r>
                    <w:rPr>
                      <w:b/>
                      <w:bCs/>
                      <w:color w:val="auto"/>
                      <w:sz w:val="21"/>
                      <w:szCs w:val="21"/>
                    </w:rPr>
                    <w:t>固废属性</w:t>
                  </w:r>
                </w:p>
              </w:tc>
              <w:tc>
                <w:tcPr>
                  <w:tcW w:w="1313" w:type="dxa"/>
                  <w:vAlign w:val="center"/>
                </w:tcPr>
                <w:p w14:paraId="2964E367">
                  <w:pPr>
                    <w:keepNext w:val="0"/>
                    <w:keepLines w:val="0"/>
                    <w:pageBreakBefore w:val="0"/>
                    <w:widowControl/>
                    <w:kinsoku/>
                    <w:wordWrap/>
                    <w:overflowPunct/>
                    <w:topLinePunct w:val="0"/>
                    <w:bidi w:val="0"/>
                    <w:snapToGrid/>
                    <w:spacing w:line="240" w:lineRule="auto"/>
                    <w:jc w:val="center"/>
                    <w:textAlignment w:val="center"/>
                    <w:rPr>
                      <w:color w:val="auto"/>
                      <w:sz w:val="21"/>
                      <w:szCs w:val="21"/>
                    </w:rPr>
                  </w:pPr>
                  <w:r>
                    <w:rPr>
                      <w:b/>
                      <w:bCs/>
                      <w:color w:val="auto"/>
                      <w:sz w:val="21"/>
                      <w:szCs w:val="21"/>
                    </w:rPr>
                    <w:t>代码</w:t>
                  </w:r>
                </w:p>
              </w:tc>
              <w:tc>
                <w:tcPr>
                  <w:tcW w:w="696" w:type="dxa"/>
                  <w:vAlign w:val="center"/>
                </w:tcPr>
                <w:p w14:paraId="5FDE9CE9">
                  <w:pPr>
                    <w:pStyle w:val="9"/>
                    <w:keepNext w:val="0"/>
                    <w:keepLines w:val="0"/>
                    <w:pageBreakBefore w:val="0"/>
                    <w:kinsoku/>
                    <w:wordWrap/>
                    <w:overflowPunct/>
                    <w:topLinePunct w:val="0"/>
                    <w:bidi w:val="0"/>
                    <w:snapToGrid/>
                    <w:spacing w:line="240" w:lineRule="auto"/>
                    <w:ind w:left="0" w:firstLine="0"/>
                    <w:jc w:val="center"/>
                    <w:rPr>
                      <w:color w:val="auto"/>
                      <w:sz w:val="21"/>
                      <w:szCs w:val="21"/>
                    </w:rPr>
                  </w:pPr>
                  <w:r>
                    <w:rPr>
                      <w:b/>
                      <w:bCs/>
                      <w:color w:val="auto"/>
                      <w:sz w:val="21"/>
                      <w:szCs w:val="21"/>
                    </w:rPr>
                    <w:t>物理性状</w:t>
                  </w:r>
                </w:p>
              </w:tc>
              <w:tc>
                <w:tcPr>
                  <w:tcW w:w="1109" w:type="dxa"/>
                  <w:vAlign w:val="center"/>
                </w:tcPr>
                <w:p w14:paraId="37E9B271">
                  <w:pPr>
                    <w:pStyle w:val="9"/>
                    <w:keepNext w:val="0"/>
                    <w:keepLines w:val="0"/>
                    <w:pageBreakBefore w:val="0"/>
                    <w:kinsoku/>
                    <w:wordWrap/>
                    <w:overflowPunct/>
                    <w:topLinePunct w:val="0"/>
                    <w:bidi w:val="0"/>
                    <w:snapToGrid/>
                    <w:spacing w:line="240" w:lineRule="auto"/>
                    <w:ind w:left="0" w:firstLine="0"/>
                    <w:jc w:val="center"/>
                    <w:rPr>
                      <w:color w:val="auto"/>
                      <w:sz w:val="21"/>
                      <w:szCs w:val="21"/>
                    </w:rPr>
                  </w:pPr>
                  <w:r>
                    <w:rPr>
                      <w:b/>
                      <w:bCs/>
                      <w:color w:val="auto"/>
                      <w:sz w:val="21"/>
                      <w:szCs w:val="21"/>
                    </w:rPr>
                    <w:t>产生量t/a</w:t>
                  </w:r>
                </w:p>
              </w:tc>
              <w:tc>
                <w:tcPr>
                  <w:tcW w:w="1113" w:type="dxa"/>
                  <w:vAlign w:val="center"/>
                </w:tcPr>
                <w:p w14:paraId="2C2C81BF">
                  <w:pPr>
                    <w:keepNext w:val="0"/>
                    <w:keepLines w:val="0"/>
                    <w:pageBreakBefore w:val="0"/>
                    <w:widowControl/>
                    <w:kinsoku/>
                    <w:wordWrap/>
                    <w:overflowPunct/>
                    <w:topLinePunct w:val="0"/>
                    <w:bidi w:val="0"/>
                    <w:snapToGrid/>
                    <w:spacing w:line="240" w:lineRule="auto"/>
                    <w:jc w:val="center"/>
                    <w:textAlignment w:val="center"/>
                    <w:rPr>
                      <w:color w:val="auto"/>
                      <w:sz w:val="21"/>
                      <w:szCs w:val="21"/>
                    </w:rPr>
                  </w:pPr>
                  <w:r>
                    <w:rPr>
                      <w:b/>
                      <w:bCs/>
                      <w:color w:val="auto"/>
                      <w:sz w:val="21"/>
                      <w:szCs w:val="21"/>
                    </w:rPr>
                    <w:t>贮存方式</w:t>
                  </w:r>
                </w:p>
              </w:tc>
              <w:tc>
                <w:tcPr>
                  <w:tcW w:w="1346" w:type="dxa"/>
                  <w:vAlign w:val="center"/>
                </w:tcPr>
                <w:p w14:paraId="4440D7C8">
                  <w:pPr>
                    <w:keepNext w:val="0"/>
                    <w:keepLines w:val="0"/>
                    <w:pageBreakBefore w:val="0"/>
                    <w:widowControl/>
                    <w:kinsoku/>
                    <w:wordWrap/>
                    <w:overflowPunct/>
                    <w:topLinePunct w:val="0"/>
                    <w:bidi w:val="0"/>
                    <w:snapToGrid/>
                    <w:spacing w:line="240" w:lineRule="auto"/>
                    <w:jc w:val="center"/>
                    <w:textAlignment w:val="center"/>
                    <w:rPr>
                      <w:color w:val="auto"/>
                      <w:sz w:val="21"/>
                      <w:szCs w:val="21"/>
                    </w:rPr>
                  </w:pPr>
                  <w:r>
                    <w:rPr>
                      <w:b/>
                      <w:bCs/>
                      <w:color w:val="auto"/>
                      <w:sz w:val="21"/>
                      <w:szCs w:val="21"/>
                    </w:rPr>
                    <w:t>利用处置方式和去向</w:t>
                  </w:r>
                </w:p>
              </w:tc>
            </w:tr>
            <w:tr w14:paraId="2C2DA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3" w:type="dxa"/>
                  <w:vAlign w:val="center"/>
                </w:tcPr>
                <w:p w14:paraId="5CC364B7">
                  <w:pPr>
                    <w:keepNext w:val="0"/>
                    <w:keepLines w:val="0"/>
                    <w:pageBreakBefore w:val="0"/>
                    <w:widowControl/>
                    <w:kinsoku/>
                    <w:wordWrap/>
                    <w:overflowPunct/>
                    <w:topLinePunct w:val="0"/>
                    <w:bidi w:val="0"/>
                    <w:snapToGrid/>
                    <w:spacing w:line="240" w:lineRule="auto"/>
                    <w:jc w:val="center"/>
                    <w:textAlignment w:val="center"/>
                    <w:rPr>
                      <w:rFonts w:hint="default" w:eastAsia="宋体"/>
                      <w:color w:val="auto"/>
                      <w:sz w:val="21"/>
                      <w:szCs w:val="21"/>
                      <w:lang w:val="en-US" w:eastAsia="zh-CN"/>
                    </w:rPr>
                  </w:pPr>
                  <w:r>
                    <w:rPr>
                      <w:rFonts w:hint="eastAsia"/>
                      <w:color w:val="auto"/>
                      <w:sz w:val="21"/>
                      <w:szCs w:val="21"/>
                      <w:lang w:val="en-US" w:eastAsia="zh-CN"/>
                    </w:rPr>
                    <w:t>烟气处理</w:t>
                  </w:r>
                </w:p>
              </w:tc>
              <w:tc>
                <w:tcPr>
                  <w:tcW w:w="907" w:type="dxa"/>
                  <w:vAlign w:val="center"/>
                </w:tcPr>
                <w:p w14:paraId="02278FA0">
                  <w:pPr>
                    <w:keepNext w:val="0"/>
                    <w:keepLines w:val="0"/>
                    <w:pageBreakBefore w:val="0"/>
                    <w:widowControl/>
                    <w:kinsoku/>
                    <w:wordWrap/>
                    <w:overflowPunct/>
                    <w:topLinePunct w:val="0"/>
                    <w:bidi w:val="0"/>
                    <w:snapToGrid/>
                    <w:spacing w:line="240" w:lineRule="auto"/>
                    <w:jc w:val="center"/>
                    <w:textAlignment w:val="center"/>
                    <w:rPr>
                      <w:rFonts w:hint="eastAsia" w:eastAsia="宋体"/>
                      <w:color w:val="auto"/>
                      <w:sz w:val="21"/>
                      <w:szCs w:val="21"/>
                      <w:lang w:eastAsia="zh-CN"/>
                    </w:rPr>
                  </w:pPr>
                  <w:r>
                    <w:rPr>
                      <w:rFonts w:hint="eastAsia"/>
                      <w:color w:val="auto"/>
                      <w:sz w:val="21"/>
                      <w:szCs w:val="21"/>
                      <w:lang w:val="en-US" w:eastAsia="zh-CN"/>
                    </w:rPr>
                    <w:t>除尘灰</w:t>
                  </w:r>
                </w:p>
              </w:tc>
              <w:tc>
                <w:tcPr>
                  <w:tcW w:w="903" w:type="dxa"/>
                  <w:vMerge w:val="restart"/>
                  <w:vAlign w:val="center"/>
                </w:tcPr>
                <w:p w14:paraId="68A31172">
                  <w:pPr>
                    <w:keepNext w:val="0"/>
                    <w:keepLines w:val="0"/>
                    <w:pageBreakBefore w:val="0"/>
                    <w:widowControl/>
                    <w:kinsoku/>
                    <w:wordWrap/>
                    <w:overflowPunct/>
                    <w:topLinePunct w:val="0"/>
                    <w:bidi w:val="0"/>
                    <w:snapToGrid/>
                    <w:spacing w:line="240" w:lineRule="auto"/>
                    <w:jc w:val="center"/>
                    <w:textAlignment w:val="center"/>
                    <w:rPr>
                      <w:color w:val="auto"/>
                      <w:sz w:val="21"/>
                      <w:szCs w:val="21"/>
                    </w:rPr>
                  </w:pPr>
                  <w:r>
                    <w:rPr>
                      <w:rFonts w:hint="eastAsia"/>
                      <w:color w:val="auto"/>
                      <w:sz w:val="21"/>
                      <w:szCs w:val="21"/>
                    </w:rPr>
                    <w:t>一般</w:t>
                  </w:r>
                  <w:r>
                    <w:rPr>
                      <w:rFonts w:hint="eastAsia"/>
                      <w:color w:val="FF0000"/>
                      <w:sz w:val="21"/>
                      <w:szCs w:val="21"/>
                      <w:lang w:val="en-US" w:eastAsia="zh-CN"/>
                    </w:rPr>
                    <w:t>工业</w:t>
                  </w:r>
                  <w:r>
                    <w:rPr>
                      <w:rFonts w:hint="eastAsia"/>
                      <w:color w:val="auto"/>
                      <w:sz w:val="21"/>
                      <w:szCs w:val="21"/>
                    </w:rPr>
                    <w:t>固体废物</w:t>
                  </w:r>
                </w:p>
              </w:tc>
              <w:tc>
                <w:tcPr>
                  <w:tcW w:w="1313" w:type="dxa"/>
                  <w:vAlign w:val="center"/>
                </w:tcPr>
                <w:p w14:paraId="3735093C">
                  <w:pPr>
                    <w:keepNext w:val="0"/>
                    <w:keepLines w:val="0"/>
                    <w:pageBreakBefore w:val="0"/>
                    <w:widowControl/>
                    <w:kinsoku/>
                    <w:wordWrap/>
                    <w:overflowPunct/>
                    <w:topLinePunct w:val="0"/>
                    <w:bidi w:val="0"/>
                    <w:snapToGrid/>
                    <w:spacing w:line="240" w:lineRule="auto"/>
                    <w:jc w:val="center"/>
                    <w:textAlignment w:val="center"/>
                    <w:rPr>
                      <w:color w:val="FF0000"/>
                      <w:sz w:val="21"/>
                      <w:szCs w:val="21"/>
                    </w:rPr>
                  </w:pPr>
                  <w:r>
                    <w:rPr>
                      <w:rFonts w:hint="default" w:ascii="Times New Roman" w:hAnsi="Times New Roman" w:cs="Times New Roman"/>
                      <w:color w:val="FF0000"/>
                      <w:sz w:val="21"/>
                      <w:szCs w:val="21"/>
                      <w:lang w:val="en-US" w:eastAsia="zh-CN"/>
                    </w:rPr>
                    <w:t>900-099-S59</w:t>
                  </w:r>
                </w:p>
              </w:tc>
              <w:tc>
                <w:tcPr>
                  <w:tcW w:w="696" w:type="dxa"/>
                  <w:vAlign w:val="center"/>
                </w:tcPr>
                <w:p w14:paraId="4915B2C0">
                  <w:pPr>
                    <w:keepNext w:val="0"/>
                    <w:keepLines w:val="0"/>
                    <w:pageBreakBefore w:val="0"/>
                    <w:widowControl/>
                    <w:kinsoku/>
                    <w:wordWrap/>
                    <w:overflowPunct/>
                    <w:topLinePunct w:val="0"/>
                    <w:bidi w:val="0"/>
                    <w:snapToGrid/>
                    <w:spacing w:line="240" w:lineRule="auto"/>
                    <w:jc w:val="center"/>
                    <w:textAlignment w:val="center"/>
                    <w:rPr>
                      <w:color w:val="auto"/>
                      <w:sz w:val="21"/>
                      <w:szCs w:val="21"/>
                    </w:rPr>
                  </w:pPr>
                  <w:r>
                    <w:rPr>
                      <w:rFonts w:hint="eastAsia"/>
                      <w:color w:val="auto"/>
                      <w:sz w:val="21"/>
                      <w:szCs w:val="21"/>
                    </w:rPr>
                    <w:t>固态</w:t>
                  </w:r>
                </w:p>
              </w:tc>
              <w:tc>
                <w:tcPr>
                  <w:tcW w:w="1109" w:type="dxa"/>
                  <w:vAlign w:val="center"/>
                </w:tcPr>
                <w:p w14:paraId="6EB35983">
                  <w:pPr>
                    <w:keepNext w:val="0"/>
                    <w:keepLines w:val="0"/>
                    <w:pageBreakBefore w:val="0"/>
                    <w:widowControl/>
                    <w:kinsoku/>
                    <w:wordWrap/>
                    <w:overflowPunct/>
                    <w:topLinePunct w:val="0"/>
                    <w:bidi w:val="0"/>
                    <w:snapToGrid/>
                    <w:spacing w:line="240" w:lineRule="auto"/>
                    <w:jc w:val="center"/>
                    <w:textAlignment w:val="center"/>
                    <w:rPr>
                      <w:rFonts w:hint="default" w:eastAsia="宋体"/>
                      <w:color w:val="auto"/>
                      <w:sz w:val="21"/>
                      <w:szCs w:val="21"/>
                      <w:lang w:val="en-US" w:eastAsia="zh-CN"/>
                    </w:rPr>
                  </w:pPr>
                  <w:r>
                    <w:rPr>
                      <w:rFonts w:hint="eastAsia"/>
                      <w:color w:val="auto"/>
                      <w:sz w:val="21"/>
                      <w:szCs w:val="21"/>
                      <w:lang w:val="en-US" w:eastAsia="zh-CN"/>
                    </w:rPr>
                    <w:t>168.692</w:t>
                  </w:r>
                </w:p>
              </w:tc>
              <w:tc>
                <w:tcPr>
                  <w:tcW w:w="1113" w:type="dxa"/>
                  <w:vMerge w:val="restart"/>
                  <w:vAlign w:val="center"/>
                </w:tcPr>
                <w:p w14:paraId="0E98826F">
                  <w:pPr>
                    <w:keepNext w:val="0"/>
                    <w:keepLines w:val="0"/>
                    <w:pageBreakBefore w:val="0"/>
                    <w:widowControl/>
                    <w:kinsoku/>
                    <w:wordWrap/>
                    <w:overflowPunct/>
                    <w:topLinePunct w:val="0"/>
                    <w:bidi w:val="0"/>
                    <w:snapToGrid/>
                    <w:spacing w:line="240" w:lineRule="auto"/>
                    <w:jc w:val="center"/>
                    <w:textAlignment w:val="center"/>
                    <w:rPr>
                      <w:rFonts w:ascii="Times New Roman" w:hAnsi="Times New Roman" w:eastAsia="宋体" w:cs="Times New Roman"/>
                      <w:color w:val="auto"/>
                      <w:kern w:val="2"/>
                      <w:sz w:val="21"/>
                      <w:szCs w:val="21"/>
                      <w:lang w:val="en-US" w:eastAsia="zh-CN" w:bidi="ar-SA"/>
                    </w:rPr>
                  </w:pPr>
                  <w:r>
                    <w:rPr>
                      <w:rFonts w:hint="eastAsia"/>
                      <w:color w:val="auto"/>
                      <w:sz w:val="21"/>
                      <w:szCs w:val="21"/>
                    </w:rPr>
                    <w:t>一般固废暂存间</w:t>
                  </w:r>
                </w:p>
              </w:tc>
              <w:tc>
                <w:tcPr>
                  <w:tcW w:w="1346" w:type="dxa"/>
                  <w:vAlign w:val="center"/>
                </w:tcPr>
                <w:p w14:paraId="201B9F1C">
                  <w:pPr>
                    <w:keepNext w:val="0"/>
                    <w:keepLines w:val="0"/>
                    <w:pageBreakBefore w:val="0"/>
                    <w:widowControl/>
                    <w:kinsoku/>
                    <w:wordWrap/>
                    <w:overflowPunct/>
                    <w:topLinePunct w:val="0"/>
                    <w:bidi w:val="0"/>
                    <w:snapToGrid/>
                    <w:spacing w:line="240" w:lineRule="auto"/>
                    <w:jc w:val="center"/>
                    <w:textAlignment w:val="center"/>
                    <w:rPr>
                      <w:color w:val="auto"/>
                      <w:sz w:val="21"/>
                      <w:szCs w:val="21"/>
                    </w:rPr>
                  </w:pPr>
                  <w:r>
                    <w:rPr>
                      <w:rFonts w:hint="eastAsia" w:ascii="Times New Roman" w:hAnsi="Times New Roman" w:cs="Times New Roman"/>
                      <w:color w:val="auto"/>
                      <w:sz w:val="21"/>
                      <w:szCs w:val="21"/>
                      <w:lang w:val="en-US" w:eastAsia="zh-CN"/>
                    </w:rPr>
                    <w:t>用作农家肥</w:t>
                  </w:r>
                </w:p>
              </w:tc>
            </w:tr>
            <w:tr w14:paraId="6D102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3" w:type="dxa"/>
                  <w:vAlign w:val="center"/>
                </w:tcPr>
                <w:p w14:paraId="77E8EAFB">
                  <w:pPr>
                    <w:keepNext w:val="0"/>
                    <w:keepLines w:val="0"/>
                    <w:pageBreakBefore w:val="0"/>
                    <w:widowControl/>
                    <w:kinsoku/>
                    <w:wordWrap/>
                    <w:overflowPunct/>
                    <w:topLinePunct w:val="0"/>
                    <w:bidi w:val="0"/>
                    <w:snapToGrid/>
                    <w:spacing w:line="240" w:lineRule="auto"/>
                    <w:jc w:val="center"/>
                    <w:textAlignment w:val="center"/>
                    <w:rPr>
                      <w:rFonts w:hint="default" w:eastAsia="宋体"/>
                      <w:color w:val="auto"/>
                      <w:sz w:val="21"/>
                      <w:szCs w:val="21"/>
                      <w:lang w:val="en-US" w:eastAsia="zh-CN"/>
                    </w:rPr>
                  </w:pPr>
                  <w:r>
                    <w:rPr>
                      <w:rFonts w:hint="eastAsia"/>
                      <w:color w:val="auto"/>
                      <w:kern w:val="0"/>
                      <w:sz w:val="21"/>
                      <w:szCs w:val="21"/>
                      <w:lang w:val="en-US" w:eastAsia="zh-CN" w:bidi="ar"/>
                    </w:rPr>
                    <w:t>烟气处理</w:t>
                  </w:r>
                </w:p>
              </w:tc>
              <w:tc>
                <w:tcPr>
                  <w:tcW w:w="907" w:type="dxa"/>
                  <w:vAlign w:val="center"/>
                </w:tcPr>
                <w:p w14:paraId="317B5CE1">
                  <w:pPr>
                    <w:keepNext w:val="0"/>
                    <w:keepLines w:val="0"/>
                    <w:pageBreakBefore w:val="0"/>
                    <w:widowControl/>
                    <w:kinsoku/>
                    <w:wordWrap/>
                    <w:overflowPunct/>
                    <w:topLinePunct w:val="0"/>
                    <w:bidi w:val="0"/>
                    <w:snapToGrid/>
                    <w:spacing w:line="240" w:lineRule="auto"/>
                    <w:jc w:val="center"/>
                    <w:textAlignment w:val="center"/>
                    <w:rPr>
                      <w:rFonts w:hint="default" w:eastAsia="宋体"/>
                      <w:color w:val="auto"/>
                      <w:sz w:val="21"/>
                      <w:szCs w:val="21"/>
                      <w:lang w:val="en-US" w:eastAsia="zh-CN"/>
                    </w:rPr>
                  </w:pPr>
                  <w:r>
                    <w:rPr>
                      <w:rFonts w:hint="eastAsia"/>
                      <w:color w:val="auto"/>
                      <w:kern w:val="0"/>
                      <w:sz w:val="21"/>
                      <w:szCs w:val="21"/>
                      <w:lang w:val="en-US" w:eastAsia="zh-CN" w:bidi="ar"/>
                    </w:rPr>
                    <w:t>废布袋</w:t>
                  </w:r>
                </w:p>
              </w:tc>
              <w:tc>
                <w:tcPr>
                  <w:tcW w:w="903" w:type="dxa"/>
                  <w:vMerge w:val="continue"/>
                  <w:vAlign w:val="center"/>
                </w:tcPr>
                <w:p w14:paraId="27BE8596">
                  <w:pPr>
                    <w:keepNext w:val="0"/>
                    <w:keepLines w:val="0"/>
                    <w:pageBreakBefore w:val="0"/>
                    <w:widowControl/>
                    <w:kinsoku/>
                    <w:wordWrap/>
                    <w:overflowPunct/>
                    <w:topLinePunct w:val="0"/>
                    <w:bidi w:val="0"/>
                    <w:snapToGrid/>
                    <w:spacing w:line="240" w:lineRule="auto"/>
                    <w:jc w:val="center"/>
                    <w:textAlignment w:val="center"/>
                    <w:rPr>
                      <w:color w:val="auto"/>
                      <w:sz w:val="21"/>
                      <w:szCs w:val="21"/>
                    </w:rPr>
                  </w:pPr>
                </w:p>
              </w:tc>
              <w:tc>
                <w:tcPr>
                  <w:tcW w:w="1313" w:type="dxa"/>
                  <w:vAlign w:val="center"/>
                </w:tcPr>
                <w:p w14:paraId="35E65A35">
                  <w:pPr>
                    <w:keepNext w:val="0"/>
                    <w:keepLines w:val="0"/>
                    <w:pageBreakBefore w:val="0"/>
                    <w:widowControl/>
                    <w:kinsoku/>
                    <w:wordWrap/>
                    <w:overflowPunct/>
                    <w:topLinePunct w:val="0"/>
                    <w:bidi w:val="0"/>
                    <w:snapToGrid/>
                    <w:spacing w:line="240" w:lineRule="auto"/>
                    <w:jc w:val="center"/>
                    <w:textAlignment w:val="center"/>
                    <w:rPr>
                      <w:color w:val="FF0000"/>
                      <w:sz w:val="21"/>
                      <w:szCs w:val="21"/>
                    </w:rPr>
                  </w:pPr>
                  <w:r>
                    <w:rPr>
                      <w:rFonts w:hint="default" w:ascii="Times New Roman" w:hAnsi="Times New Roman" w:eastAsia="宋体" w:cs="Times New Roman"/>
                      <w:color w:val="FF0000"/>
                      <w:sz w:val="21"/>
                      <w:szCs w:val="21"/>
                      <w:lang w:val="en-US" w:eastAsia="zh-CN"/>
                    </w:rPr>
                    <w:t>900-0</w:t>
                  </w:r>
                  <w:r>
                    <w:rPr>
                      <w:rFonts w:hint="eastAsia" w:cs="Times New Roman"/>
                      <w:color w:val="FF0000"/>
                      <w:sz w:val="21"/>
                      <w:szCs w:val="21"/>
                      <w:lang w:val="en-US" w:eastAsia="zh-CN"/>
                    </w:rPr>
                    <w:t>09-S59</w:t>
                  </w:r>
                </w:p>
              </w:tc>
              <w:tc>
                <w:tcPr>
                  <w:tcW w:w="696" w:type="dxa"/>
                  <w:vAlign w:val="center"/>
                </w:tcPr>
                <w:p w14:paraId="796F86F9">
                  <w:pPr>
                    <w:keepNext w:val="0"/>
                    <w:keepLines w:val="0"/>
                    <w:pageBreakBefore w:val="0"/>
                    <w:widowControl/>
                    <w:kinsoku/>
                    <w:wordWrap/>
                    <w:overflowPunct/>
                    <w:topLinePunct w:val="0"/>
                    <w:bidi w:val="0"/>
                    <w:snapToGrid/>
                    <w:spacing w:line="240" w:lineRule="auto"/>
                    <w:jc w:val="center"/>
                    <w:textAlignment w:val="center"/>
                    <w:rPr>
                      <w:color w:val="auto"/>
                      <w:sz w:val="21"/>
                      <w:szCs w:val="21"/>
                    </w:rPr>
                  </w:pPr>
                  <w:r>
                    <w:rPr>
                      <w:rFonts w:hint="eastAsia"/>
                      <w:color w:val="auto"/>
                      <w:sz w:val="21"/>
                      <w:szCs w:val="21"/>
                    </w:rPr>
                    <w:t>固态</w:t>
                  </w:r>
                </w:p>
              </w:tc>
              <w:tc>
                <w:tcPr>
                  <w:tcW w:w="1109" w:type="dxa"/>
                  <w:vAlign w:val="center"/>
                </w:tcPr>
                <w:p w14:paraId="4FEC3E5D">
                  <w:pPr>
                    <w:keepNext w:val="0"/>
                    <w:keepLines w:val="0"/>
                    <w:pageBreakBefore w:val="0"/>
                    <w:widowControl/>
                    <w:kinsoku/>
                    <w:wordWrap/>
                    <w:overflowPunct/>
                    <w:topLinePunct w:val="0"/>
                    <w:bidi w:val="0"/>
                    <w:snapToGrid/>
                    <w:spacing w:line="240" w:lineRule="auto"/>
                    <w:jc w:val="center"/>
                    <w:textAlignment w:val="center"/>
                    <w:rPr>
                      <w:rFonts w:hint="default" w:eastAsia="宋体"/>
                      <w:color w:val="auto"/>
                      <w:sz w:val="21"/>
                      <w:szCs w:val="21"/>
                      <w:lang w:val="en-US" w:eastAsia="zh-CN"/>
                    </w:rPr>
                  </w:pPr>
                  <w:r>
                    <w:rPr>
                      <w:rFonts w:hint="eastAsia"/>
                      <w:color w:val="auto"/>
                      <w:kern w:val="0"/>
                      <w:sz w:val="21"/>
                      <w:szCs w:val="21"/>
                      <w:lang w:bidi="ar"/>
                    </w:rPr>
                    <w:t>0.</w:t>
                  </w:r>
                  <w:r>
                    <w:rPr>
                      <w:rFonts w:hint="eastAsia"/>
                      <w:color w:val="auto"/>
                      <w:kern w:val="0"/>
                      <w:sz w:val="21"/>
                      <w:szCs w:val="21"/>
                      <w:lang w:val="en-US" w:eastAsia="zh-CN" w:bidi="ar"/>
                    </w:rPr>
                    <w:t>2</w:t>
                  </w:r>
                </w:p>
              </w:tc>
              <w:tc>
                <w:tcPr>
                  <w:tcW w:w="1113" w:type="dxa"/>
                  <w:vMerge w:val="continue"/>
                  <w:vAlign w:val="center"/>
                </w:tcPr>
                <w:p w14:paraId="194A9306">
                  <w:pPr>
                    <w:keepNext w:val="0"/>
                    <w:keepLines w:val="0"/>
                    <w:pageBreakBefore w:val="0"/>
                    <w:widowControl/>
                    <w:kinsoku/>
                    <w:wordWrap/>
                    <w:overflowPunct/>
                    <w:topLinePunct w:val="0"/>
                    <w:bidi w:val="0"/>
                    <w:snapToGrid/>
                    <w:spacing w:line="240" w:lineRule="auto"/>
                    <w:jc w:val="center"/>
                    <w:textAlignment w:val="center"/>
                    <w:rPr>
                      <w:rFonts w:hint="default" w:eastAsia="宋体"/>
                      <w:color w:val="auto"/>
                      <w:sz w:val="21"/>
                      <w:szCs w:val="21"/>
                      <w:lang w:val="en-US" w:eastAsia="zh-CN"/>
                    </w:rPr>
                  </w:pPr>
                </w:p>
              </w:tc>
              <w:tc>
                <w:tcPr>
                  <w:tcW w:w="1346" w:type="dxa"/>
                  <w:vAlign w:val="center"/>
                </w:tcPr>
                <w:p w14:paraId="51250518">
                  <w:pPr>
                    <w:keepNext w:val="0"/>
                    <w:keepLines w:val="0"/>
                    <w:pageBreakBefore w:val="0"/>
                    <w:widowControl/>
                    <w:kinsoku/>
                    <w:wordWrap/>
                    <w:overflowPunct/>
                    <w:topLinePunct w:val="0"/>
                    <w:bidi w:val="0"/>
                    <w:snapToGrid/>
                    <w:spacing w:line="240" w:lineRule="auto"/>
                    <w:jc w:val="center"/>
                    <w:textAlignment w:val="center"/>
                    <w:rPr>
                      <w:rFonts w:hint="eastAsia" w:eastAsia="宋体"/>
                      <w:color w:val="auto"/>
                      <w:sz w:val="21"/>
                      <w:szCs w:val="21"/>
                      <w:lang w:eastAsia="zh-CN"/>
                    </w:rPr>
                  </w:pPr>
                  <w:r>
                    <w:rPr>
                      <w:rFonts w:hint="eastAsia"/>
                      <w:color w:val="auto"/>
                      <w:sz w:val="21"/>
                      <w:szCs w:val="21"/>
                      <w:lang w:val="en-US" w:eastAsia="zh-CN"/>
                    </w:rPr>
                    <w:t>相关单位回收</w:t>
                  </w:r>
                </w:p>
              </w:tc>
            </w:tr>
          </w:tbl>
          <w:p w14:paraId="529839A0">
            <w:pPr>
              <w:pStyle w:val="16"/>
              <w:spacing w:line="360" w:lineRule="auto"/>
              <w:ind w:left="0" w:leftChars="0" w:firstLine="480" w:firstLineChars="200"/>
              <w:rPr>
                <w:sz w:val="24"/>
              </w:rPr>
            </w:pPr>
            <w:r>
              <w:rPr>
                <w:sz w:val="24"/>
              </w:rPr>
              <w:t>综上，建设项目对产生的固体废弃物严格按照上述措施处理、处置和利用后，对周围环境及人体不会产生影响，也不会造成二次污染，故采取的固废治理措施是可行、可靠的。</w:t>
            </w:r>
          </w:p>
          <w:p w14:paraId="3A6408CC">
            <w:pPr>
              <w:spacing w:line="360" w:lineRule="auto"/>
              <w:ind w:firstLine="482" w:firstLineChars="200"/>
              <w:rPr>
                <w:b/>
                <w:bCs/>
                <w:color w:val="auto"/>
                <w:sz w:val="24"/>
              </w:rPr>
            </w:pPr>
            <w:r>
              <w:rPr>
                <w:rFonts w:hint="eastAsia"/>
                <w:b/>
                <w:bCs/>
                <w:color w:val="auto"/>
                <w:sz w:val="24"/>
                <w:lang w:val="en-US" w:eastAsia="zh-CN"/>
              </w:rPr>
              <w:t>2、</w:t>
            </w:r>
            <w:r>
              <w:rPr>
                <w:b/>
                <w:bCs/>
                <w:color w:val="auto"/>
                <w:sz w:val="24"/>
              </w:rPr>
              <w:t>固体废物环境保护措施</w:t>
            </w:r>
          </w:p>
          <w:p w14:paraId="102698D0">
            <w:pPr>
              <w:spacing w:line="360" w:lineRule="auto"/>
              <w:ind w:firstLine="480" w:firstLineChars="200"/>
              <w:rPr>
                <w:rFonts w:hint="default" w:eastAsia="宋体"/>
                <w:color w:val="auto"/>
                <w:sz w:val="24"/>
                <w:lang w:val="en-US" w:eastAsia="zh-CN"/>
              </w:rPr>
            </w:pPr>
            <w:r>
              <w:rPr>
                <w:rFonts w:hint="eastAsia"/>
                <w:color w:val="auto"/>
                <w:sz w:val="24"/>
                <w:lang w:val="en-US" w:eastAsia="zh-CN"/>
              </w:rPr>
              <w:t>本次技改项目不新增用地，</w:t>
            </w:r>
            <w:r>
              <w:rPr>
                <w:color w:val="auto"/>
                <w:sz w:val="24"/>
              </w:rPr>
              <w:t>一般</w:t>
            </w:r>
            <w:r>
              <w:rPr>
                <w:rFonts w:hint="eastAsia" w:cs="Times New Roman"/>
                <w:b w:val="0"/>
                <w:bCs w:val="0"/>
                <w:color w:val="FF0000"/>
                <w:kern w:val="0"/>
                <w:sz w:val="24"/>
                <w:lang w:val="en-US" w:eastAsia="zh-CN"/>
              </w:rPr>
              <w:t>工业</w:t>
            </w:r>
            <w:r>
              <w:rPr>
                <w:color w:val="auto"/>
                <w:sz w:val="24"/>
              </w:rPr>
              <w:t>固体废物暂存间</w:t>
            </w:r>
            <w:r>
              <w:rPr>
                <w:rFonts w:hint="eastAsia"/>
                <w:color w:val="auto"/>
                <w:sz w:val="24"/>
                <w:lang w:val="en-US" w:eastAsia="zh-CN"/>
              </w:rPr>
              <w:t>依托现有项目一间</w:t>
            </w:r>
            <w:r>
              <w:rPr>
                <w:color w:val="auto"/>
                <w:sz w:val="24"/>
              </w:rPr>
              <w:t>占地面</w:t>
            </w:r>
            <w:r>
              <w:rPr>
                <w:rFonts w:hint="eastAsia"/>
                <w:color w:val="auto"/>
                <w:sz w:val="24"/>
                <w:lang w:val="en-US" w:eastAsia="zh-CN"/>
              </w:rPr>
              <w:t>12</w:t>
            </w:r>
            <w:r>
              <w:rPr>
                <w:rFonts w:hint="eastAsia"/>
                <w:color w:val="auto"/>
                <w:sz w:val="24"/>
              </w:rPr>
              <w:t>0</w:t>
            </w:r>
            <w:r>
              <w:rPr>
                <w:color w:val="auto"/>
                <w:sz w:val="24"/>
              </w:rPr>
              <w:t>m</w:t>
            </w:r>
            <w:r>
              <w:rPr>
                <w:color w:val="auto"/>
                <w:sz w:val="24"/>
                <w:vertAlign w:val="superscript"/>
              </w:rPr>
              <w:t>2</w:t>
            </w:r>
            <w:r>
              <w:rPr>
                <w:color w:val="auto"/>
                <w:sz w:val="24"/>
              </w:rPr>
              <w:t>，</w:t>
            </w:r>
            <w:r>
              <w:rPr>
                <w:rFonts w:hint="eastAsia"/>
                <w:color w:val="auto"/>
                <w:sz w:val="24"/>
                <w:lang w:val="en-US" w:eastAsia="zh-CN"/>
              </w:rPr>
              <w:t>容积为180</w:t>
            </w:r>
            <w:r>
              <w:rPr>
                <w:color w:val="auto"/>
                <w:sz w:val="24"/>
              </w:rPr>
              <w:t>m</w:t>
            </w:r>
            <w:r>
              <w:rPr>
                <w:rFonts w:hint="eastAsia"/>
                <w:color w:val="auto"/>
                <w:sz w:val="24"/>
                <w:vertAlign w:val="superscript"/>
                <w:lang w:val="en-US" w:eastAsia="zh-CN"/>
              </w:rPr>
              <w:t>3</w:t>
            </w:r>
            <w:r>
              <w:rPr>
                <w:rFonts w:hint="eastAsia"/>
                <w:color w:val="auto"/>
                <w:sz w:val="24"/>
                <w:vertAlign w:val="baseline"/>
                <w:lang w:val="en-US" w:eastAsia="zh-CN"/>
              </w:rPr>
              <w:t>，</w:t>
            </w:r>
            <w:r>
              <w:rPr>
                <w:color w:val="auto"/>
                <w:sz w:val="24"/>
              </w:rPr>
              <w:t>地面</w:t>
            </w:r>
            <w:r>
              <w:rPr>
                <w:rFonts w:hint="eastAsia"/>
                <w:color w:val="auto"/>
                <w:sz w:val="24"/>
              </w:rPr>
              <w:t>已做</w:t>
            </w:r>
            <w:r>
              <w:rPr>
                <w:color w:val="auto"/>
                <w:sz w:val="24"/>
              </w:rPr>
              <w:t>防渗漏处理，设计贮存周期为</w:t>
            </w:r>
            <w:r>
              <w:rPr>
                <w:rFonts w:hint="eastAsia"/>
                <w:color w:val="auto"/>
                <w:sz w:val="24"/>
                <w:lang w:val="en-US" w:eastAsia="zh-CN"/>
              </w:rPr>
              <w:t>1</w:t>
            </w:r>
            <w:r>
              <w:rPr>
                <w:color w:val="auto"/>
                <w:sz w:val="24"/>
              </w:rPr>
              <w:t>个月，贮存能力为</w:t>
            </w:r>
            <w:r>
              <w:rPr>
                <w:rFonts w:hint="eastAsia"/>
                <w:color w:val="auto"/>
                <w:sz w:val="24"/>
                <w:lang w:val="en-US" w:eastAsia="zh-CN"/>
              </w:rPr>
              <w:t>120</w:t>
            </w:r>
            <w:r>
              <w:rPr>
                <w:color w:val="auto"/>
                <w:sz w:val="24"/>
              </w:rPr>
              <w:t>t</w:t>
            </w:r>
            <w:r>
              <w:rPr>
                <w:rFonts w:hint="eastAsia"/>
                <w:color w:val="auto"/>
                <w:sz w:val="24"/>
                <w:lang w:eastAsia="zh-CN"/>
              </w:rPr>
              <w:t>。</w:t>
            </w:r>
          </w:p>
          <w:p w14:paraId="115B0080">
            <w:pPr>
              <w:jc w:val="center"/>
              <w:rPr>
                <w:b/>
                <w:bCs/>
                <w:color w:val="auto"/>
                <w:sz w:val="24"/>
                <w:lang w:val="zh-CN"/>
              </w:rPr>
            </w:pPr>
            <w:r>
              <w:rPr>
                <w:b/>
                <w:bCs/>
                <w:color w:val="auto"/>
                <w:sz w:val="24"/>
                <w:lang w:val="zh-CN"/>
              </w:rPr>
              <w:t>表4</w:t>
            </w:r>
            <w:r>
              <w:rPr>
                <w:rFonts w:hint="eastAsia"/>
                <w:b/>
                <w:bCs/>
                <w:color w:val="auto"/>
                <w:sz w:val="24"/>
                <w:lang w:val="en-US" w:eastAsia="zh-CN"/>
              </w:rPr>
              <w:t xml:space="preserve">-11  </w:t>
            </w:r>
            <w:r>
              <w:rPr>
                <w:b/>
                <w:bCs/>
                <w:color w:val="auto"/>
                <w:sz w:val="24"/>
                <w:lang w:val="zh-CN"/>
              </w:rPr>
              <w:t>建设项目固体废物贮存场所（设施）基本情况表</w:t>
            </w:r>
          </w:p>
          <w:tbl>
            <w:tblPr>
              <w:tblStyle w:val="27"/>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97"/>
              <w:gridCol w:w="1034"/>
              <w:gridCol w:w="1224"/>
              <w:gridCol w:w="1313"/>
              <w:gridCol w:w="1261"/>
              <w:gridCol w:w="1104"/>
              <w:gridCol w:w="868"/>
              <w:gridCol w:w="1032"/>
            </w:tblGrid>
            <w:tr w14:paraId="488034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298" w:type="pct"/>
                  <w:tcBorders>
                    <w:tl2br w:val="nil"/>
                    <w:tr2bl w:val="nil"/>
                  </w:tcBorders>
                  <w:vAlign w:val="center"/>
                </w:tcPr>
                <w:p w14:paraId="09549B1F">
                  <w:pPr>
                    <w:adjustRightInd w:val="0"/>
                    <w:snapToGrid w:val="0"/>
                    <w:jc w:val="center"/>
                    <w:rPr>
                      <w:color w:val="auto"/>
                      <w:szCs w:val="21"/>
                    </w:rPr>
                  </w:pPr>
                  <w:r>
                    <w:rPr>
                      <w:color w:val="auto"/>
                      <w:szCs w:val="21"/>
                    </w:rPr>
                    <w:t>序号</w:t>
                  </w:r>
                </w:p>
              </w:tc>
              <w:tc>
                <w:tcPr>
                  <w:tcW w:w="620" w:type="pct"/>
                  <w:tcBorders>
                    <w:tl2br w:val="nil"/>
                    <w:tr2bl w:val="nil"/>
                  </w:tcBorders>
                  <w:vAlign w:val="center"/>
                </w:tcPr>
                <w:p w14:paraId="29BCAD30">
                  <w:pPr>
                    <w:adjustRightInd w:val="0"/>
                    <w:snapToGrid w:val="0"/>
                    <w:jc w:val="center"/>
                    <w:rPr>
                      <w:color w:val="auto"/>
                      <w:szCs w:val="21"/>
                    </w:rPr>
                  </w:pPr>
                  <w:r>
                    <w:rPr>
                      <w:color w:val="auto"/>
                      <w:szCs w:val="21"/>
                    </w:rPr>
                    <w:t>贮存场所（设施）</w:t>
                  </w:r>
                </w:p>
                <w:p w14:paraId="76BBD557">
                  <w:pPr>
                    <w:adjustRightInd w:val="0"/>
                    <w:snapToGrid w:val="0"/>
                    <w:jc w:val="center"/>
                    <w:rPr>
                      <w:color w:val="auto"/>
                      <w:szCs w:val="21"/>
                    </w:rPr>
                  </w:pPr>
                  <w:r>
                    <w:rPr>
                      <w:color w:val="auto"/>
                      <w:szCs w:val="21"/>
                    </w:rPr>
                    <w:t>名称</w:t>
                  </w:r>
                </w:p>
              </w:tc>
              <w:tc>
                <w:tcPr>
                  <w:tcW w:w="734" w:type="pct"/>
                  <w:tcBorders>
                    <w:tl2br w:val="nil"/>
                    <w:tr2bl w:val="nil"/>
                  </w:tcBorders>
                  <w:vAlign w:val="center"/>
                </w:tcPr>
                <w:p w14:paraId="61049B71">
                  <w:pPr>
                    <w:adjustRightInd w:val="0"/>
                    <w:snapToGrid w:val="0"/>
                    <w:jc w:val="center"/>
                    <w:rPr>
                      <w:color w:val="auto"/>
                      <w:szCs w:val="21"/>
                    </w:rPr>
                  </w:pPr>
                  <w:r>
                    <w:rPr>
                      <w:color w:val="auto"/>
                      <w:szCs w:val="21"/>
                    </w:rPr>
                    <w:t>固体废物名称</w:t>
                  </w:r>
                </w:p>
              </w:tc>
              <w:tc>
                <w:tcPr>
                  <w:tcW w:w="787" w:type="pct"/>
                  <w:tcBorders>
                    <w:tl2br w:val="nil"/>
                    <w:tr2bl w:val="nil"/>
                  </w:tcBorders>
                  <w:vAlign w:val="center"/>
                </w:tcPr>
                <w:p w14:paraId="0DE73F54">
                  <w:pPr>
                    <w:adjustRightInd w:val="0"/>
                    <w:snapToGrid w:val="0"/>
                    <w:jc w:val="center"/>
                    <w:rPr>
                      <w:color w:val="auto"/>
                      <w:szCs w:val="21"/>
                    </w:rPr>
                  </w:pPr>
                  <w:r>
                    <w:rPr>
                      <w:color w:val="auto"/>
                      <w:szCs w:val="21"/>
                    </w:rPr>
                    <w:t>固废代码</w:t>
                  </w:r>
                </w:p>
              </w:tc>
              <w:tc>
                <w:tcPr>
                  <w:tcW w:w="756" w:type="pct"/>
                  <w:tcBorders>
                    <w:tl2br w:val="nil"/>
                    <w:tr2bl w:val="nil"/>
                  </w:tcBorders>
                  <w:vAlign w:val="center"/>
                </w:tcPr>
                <w:p w14:paraId="704B239C">
                  <w:pPr>
                    <w:adjustRightInd w:val="0"/>
                    <w:snapToGrid w:val="0"/>
                    <w:jc w:val="center"/>
                    <w:rPr>
                      <w:color w:val="auto"/>
                      <w:szCs w:val="21"/>
                    </w:rPr>
                  </w:pPr>
                  <w:r>
                    <w:rPr>
                      <w:color w:val="auto"/>
                      <w:szCs w:val="21"/>
                    </w:rPr>
                    <w:t>占地面积（m</w:t>
                  </w:r>
                  <w:r>
                    <w:rPr>
                      <w:color w:val="auto"/>
                      <w:szCs w:val="21"/>
                      <w:vertAlign w:val="superscript"/>
                    </w:rPr>
                    <w:t>2</w:t>
                  </w:r>
                  <w:r>
                    <w:rPr>
                      <w:color w:val="auto"/>
                      <w:szCs w:val="21"/>
                    </w:rPr>
                    <w:t>）</w:t>
                  </w:r>
                </w:p>
              </w:tc>
              <w:tc>
                <w:tcPr>
                  <w:tcW w:w="662" w:type="pct"/>
                  <w:tcBorders>
                    <w:tl2br w:val="nil"/>
                    <w:tr2bl w:val="nil"/>
                  </w:tcBorders>
                  <w:vAlign w:val="center"/>
                </w:tcPr>
                <w:p w14:paraId="7143E26A">
                  <w:pPr>
                    <w:adjustRightInd w:val="0"/>
                    <w:snapToGrid w:val="0"/>
                    <w:jc w:val="center"/>
                    <w:rPr>
                      <w:color w:val="auto"/>
                      <w:szCs w:val="21"/>
                    </w:rPr>
                  </w:pPr>
                  <w:r>
                    <w:rPr>
                      <w:color w:val="auto"/>
                      <w:szCs w:val="21"/>
                    </w:rPr>
                    <w:t>贮存方式</w:t>
                  </w:r>
                </w:p>
              </w:tc>
              <w:tc>
                <w:tcPr>
                  <w:tcW w:w="520" w:type="pct"/>
                  <w:tcBorders>
                    <w:tl2br w:val="nil"/>
                    <w:tr2bl w:val="nil"/>
                  </w:tcBorders>
                  <w:vAlign w:val="center"/>
                </w:tcPr>
                <w:p w14:paraId="3242B99E">
                  <w:pPr>
                    <w:adjustRightInd w:val="0"/>
                    <w:snapToGrid w:val="0"/>
                    <w:jc w:val="center"/>
                    <w:rPr>
                      <w:color w:val="auto"/>
                      <w:szCs w:val="21"/>
                    </w:rPr>
                  </w:pPr>
                  <w:r>
                    <w:rPr>
                      <w:color w:val="auto"/>
                      <w:szCs w:val="21"/>
                    </w:rPr>
                    <w:t>贮</w:t>
                  </w:r>
                  <w:r>
                    <w:rPr>
                      <w:rFonts w:hint="eastAsia"/>
                      <w:color w:val="auto"/>
                      <w:szCs w:val="21"/>
                    </w:rPr>
                    <w:t>存</w:t>
                  </w:r>
                  <w:r>
                    <w:rPr>
                      <w:color w:val="auto"/>
                      <w:szCs w:val="21"/>
                    </w:rPr>
                    <w:t>能力（t）</w:t>
                  </w:r>
                </w:p>
              </w:tc>
              <w:tc>
                <w:tcPr>
                  <w:tcW w:w="618" w:type="pct"/>
                  <w:tcBorders>
                    <w:tl2br w:val="nil"/>
                    <w:tr2bl w:val="nil"/>
                  </w:tcBorders>
                  <w:vAlign w:val="center"/>
                </w:tcPr>
                <w:p w14:paraId="5DB8404B">
                  <w:pPr>
                    <w:adjustRightInd w:val="0"/>
                    <w:snapToGrid w:val="0"/>
                    <w:jc w:val="center"/>
                    <w:rPr>
                      <w:color w:val="auto"/>
                      <w:szCs w:val="21"/>
                    </w:rPr>
                  </w:pPr>
                  <w:r>
                    <w:rPr>
                      <w:color w:val="auto"/>
                      <w:szCs w:val="21"/>
                    </w:rPr>
                    <w:t>贮存</w:t>
                  </w:r>
                </w:p>
                <w:p w14:paraId="16D1DF8E">
                  <w:pPr>
                    <w:adjustRightInd w:val="0"/>
                    <w:snapToGrid w:val="0"/>
                    <w:jc w:val="center"/>
                    <w:rPr>
                      <w:color w:val="auto"/>
                      <w:szCs w:val="21"/>
                    </w:rPr>
                  </w:pPr>
                  <w:r>
                    <w:rPr>
                      <w:color w:val="auto"/>
                      <w:szCs w:val="21"/>
                    </w:rPr>
                    <w:t>周期</w:t>
                  </w:r>
                </w:p>
              </w:tc>
            </w:tr>
            <w:tr w14:paraId="007741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98" w:type="pct"/>
                  <w:tcBorders>
                    <w:tl2br w:val="nil"/>
                    <w:tr2bl w:val="nil"/>
                  </w:tcBorders>
                  <w:vAlign w:val="center"/>
                </w:tcPr>
                <w:p w14:paraId="6CCCDE2B">
                  <w:pPr>
                    <w:adjustRightInd w:val="0"/>
                    <w:snapToGrid w:val="0"/>
                    <w:jc w:val="center"/>
                    <w:rPr>
                      <w:color w:val="auto"/>
                      <w:sz w:val="21"/>
                      <w:szCs w:val="21"/>
                    </w:rPr>
                  </w:pPr>
                  <w:r>
                    <w:rPr>
                      <w:color w:val="auto"/>
                      <w:sz w:val="21"/>
                      <w:szCs w:val="21"/>
                    </w:rPr>
                    <w:t>1</w:t>
                  </w:r>
                </w:p>
              </w:tc>
              <w:tc>
                <w:tcPr>
                  <w:tcW w:w="620" w:type="pct"/>
                  <w:vMerge w:val="restart"/>
                  <w:tcBorders>
                    <w:tl2br w:val="nil"/>
                    <w:tr2bl w:val="nil"/>
                  </w:tcBorders>
                  <w:vAlign w:val="center"/>
                </w:tcPr>
                <w:p w14:paraId="1B9DBA2A">
                  <w:pPr>
                    <w:adjustRightInd w:val="0"/>
                    <w:snapToGrid w:val="0"/>
                    <w:jc w:val="center"/>
                    <w:rPr>
                      <w:color w:val="auto"/>
                      <w:sz w:val="21"/>
                      <w:szCs w:val="21"/>
                    </w:rPr>
                  </w:pPr>
                  <w:r>
                    <w:rPr>
                      <w:color w:val="auto"/>
                      <w:sz w:val="21"/>
                      <w:szCs w:val="21"/>
                    </w:rPr>
                    <w:t>一般</w:t>
                  </w:r>
                  <w:r>
                    <w:rPr>
                      <w:rFonts w:hint="eastAsia" w:cs="Times New Roman"/>
                      <w:b w:val="0"/>
                      <w:bCs w:val="0"/>
                      <w:color w:val="FF0000"/>
                      <w:kern w:val="0"/>
                      <w:sz w:val="21"/>
                      <w:szCs w:val="21"/>
                      <w:lang w:val="en-US" w:eastAsia="zh-CN"/>
                    </w:rPr>
                    <w:t>工业</w:t>
                  </w:r>
                  <w:r>
                    <w:rPr>
                      <w:rFonts w:hint="eastAsia"/>
                      <w:color w:val="auto"/>
                      <w:sz w:val="21"/>
                      <w:szCs w:val="21"/>
                    </w:rPr>
                    <w:t>固体废物</w:t>
                  </w:r>
                  <w:r>
                    <w:rPr>
                      <w:color w:val="auto"/>
                      <w:sz w:val="21"/>
                      <w:szCs w:val="21"/>
                    </w:rPr>
                    <w:t>暂存间</w:t>
                  </w:r>
                </w:p>
              </w:tc>
              <w:tc>
                <w:tcPr>
                  <w:tcW w:w="734" w:type="pct"/>
                  <w:tcBorders>
                    <w:tl2br w:val="nil"/>
                    <w:tr2bl w:val="nil"/>
                  </w:tcBorders>
                  <w:vAlign w:val="center"/>
                </w:tcPr>
                <w:p w14:paraId="00B2A200">
                  <w:pPr>
                    <w:keepNext w:val="0"/>
                    <w:keepLines w:val="0"/>
                    <w:pageBreakBefore w:val="0"/>
                    <w:widowControl/>
                    <w:kinsoku/>
                    <w:wordWrap/>
                    <w:overflowPunct/>
                    <w:topLinePunct w:val="0"/>
                    <w:bidi w:val="0"/>
                    <w:snapToGrid/>
                    <w:spacing w:line="240" w:lineRule="auto"/>
                    <w:jc w:val="center"/>
                    <w:textAlignment w:val="center"/>
                    <w:rPr>
                      <w:rFonts w:hint="eastAsia" w:eastAsia="宋体"/>
                      <w:color w:val="auto"/>
                      <w:sz w:val="21"/>
                      <w:szCs w:val="21"/>
                      <w:lang w:val="en-US" w:eastAsia="zh-CN"/>
                    </w:rPr>
                  </w:pPr>
                  <w:r>
                    <w:rPr>
                      <w:rFonts w:hint="eastAsia"/>
                      <w:color w:val="auto"/>
                      <w:sz w:val="21"/>
                      <w:szCs w:val="21"/>
                      <w:lang w:val="en-US" w:eastAsia="zh-CN"/>
                    </w:rPr>
                    <w:t>除尘灰</w:t>
                  </w:r>
                </w:p>
              </w:tc>
              <w:tc>
                <w:tcPr>
                  <w:tcW w:w="787" w:type="pct"/>
                  <w:tcBorders>
                    <w:tl2br w:val="nil"/>
                    <w:tr2bl w:val="nil"/>
                  </w:tcBorders>
                  <w:vAlign w:val="center"/>
                </w:tcPr>
                <w:p w14:paraId="63E171AC">
                  <w:pPr>
                    <w:keepNext w:val="0"/>
                    <w:keepLines w:val="0"/>
                    <w:pageBreakBefore w:val="0"/>
                    <w:widowControl/>
                    <w:kinsoku/>
                    <w:wordWrap/>
                    <w:overflowPunct/>
                    <w:topLinePunct w:val="0"/>
                    <w:bidi w:val="0"/>
                    <w:snapToGrid/>
                    <w:spacing w:line="240" w:lineRule="auto"/>
                    <w:jc w:val="center"/>
                    <w:textAlignment w:val="center"/>
                    <w:rPr>
                      <w:color w:val="auto"/>
                      <w:sz w:val="21"/>
                      <w:szCs w:val="21"/>
                    </w:rPr>
                  </w:pPr>
                  <w:r>
                    <w:rPr>
                      <w:rFonts w:hint="default" w:ascii="Times New Roman" w:hAnsi="Times New Roman" w:cs="Times New Roman"/>
                      <w:color w:val="auto"/>
                      <w:sz w:val="21"/>
                      <w:szCs w:val="21"/>
                      <w:lang w:val="en-US" w:eastAsia="zh-CN"/>
                    </w:rPr>
                    <w:t>900-099-S59</w:t>
                  </w:r>
                </w:p>
              </w:tc>
              <w:tc>
                <w:tcPr>
                  <w:tcW w:w="756" w:type="pct"/>
                  <w:vMerge w:val="restart"/>
                  <w:tcBorders>
                    <w:tl2br w:val="nil"/>
                    <w:tr2bl w:val="nil"/>
                  </w:tcBorders>
                  <w:vAlign w:val="center"/>
                </w:tcPr>
                <w:p w14:paraId="0AB37D33">
                  <w:pPr>
                    <w:adjustRightInd w:val="0"/>
                    <w:snapToGrid w:val="0"/>
                    <w:jc w:val="center"/>
                    <w:rPr>
                      <w:rFonts w:hint="default" w:eastAsia="宋体"/>
                      <w:color w:val="auto"/>
                      <w:sz w:val="21"/>
                      <w:szCs w:val="21"/>
                      <w:lang w:val="en-US" w:eastAsia="zh-CN"/>
                    </w:rPr>
                  </w:pPr>
                  <w:r>
                    <w:rPr>
                      <w:rFonts w:hint="eastAsia"/>
                      <w:color w:val="auto"/>
                      <w:sz w:val="21"/>
                      <w:szCs w:val="21"/>
                      <w:lang w:val="en-US" w:eastAsia="zh-CN"/>
                    </w:rPr>
                    <w:t>120</w:t>
                  </w:r>
                </w:p>
              </w:tc>
              <w:tc>
                <w:tcPr>
                  <w:tcW w:w="662" w:type="pct"/>
                  <w:tcBorders>
                    <w:tl2br w:val="nil"/>
                    <w:tr2bl w:val="nil"/>
                  </w:tcBorders>
                  <w:shd w:val="clear" w:color="auto" w:fill="auto"/>
                  <w:vAlign w:val="center"/>
                </w:tcPr>
                <w:p w14:paraId="3E3CA7ED">
                  <w:pPr>
                    <w:adjustRightInd w:val="0"/>
                    <w:snapToGrid w:val="0"/>
                    <w:jc w:val="center"/>
                    <w:rPr>
                      <w:rFonts w:hint="default" w:ascii="Times New Roman" w:hAnsi="Times New Roman" w:eastAsia="宋体" w:cs="Times New Roman"/>
                      <w:color w:val="auto"/>
                      <w:kern w:val="2"/>
                      <w:sz w:val="21"/>
                      <w:szCs w:val="21"/>
                      <w:lang w:val="en-US" w:eastAsia="zh-CN" w:bidi="ar-SA"/>
                    </w:rPr>
                  </w:pPr>
                  <w:r>
                    <w:rPr>
                      <w:color w:val="auto"/>
                      <w:sz w:val="21"/>
                      <w:szCs w:val="21"/>
                    </w:rPr>
                    <w:t>袋装</w:t>
                  </w:r>
                </w:p>
              </w:tc>
              <w:tc>
                <w:tcPr>
                  <w:tcW w:w="520" w:type="pct"/>
                  <w:vMerge w:val="restart"/>
                  <w:tcBorders>
                    <w:tl2br w:val="nil"/>
                    <w:tr2bl w:val="nil"/>
                  </w:tcBorders>
                  <w:vAlign w:val="center"/>
                </w:tcPr>
                <w:p w14:paraId="283EA1C8">
                  <w:pPr>
                    <w:adjustRightInd w:val="0"/>
                    <w:snapToGrid w:val="0"/>
                    <w:jc w:val="center"/>
                    <w:rPr>
                      <w:rFonts w:hint="default" w:eastAsia="宋体"/>
                      <w:color w:val="auto"/>
                      <w:sz w:val="21"/>
                      <w:szCs w:val="21"/>
                      <w:lang w:val="en-US" w:eastAsia="zh-CN"/>
                    </w:rPr>
                  </w:pPr>
                  <w:r>
                    <w:rPr>
                      <w:rFonts w:hint="eastAsia"/>
                      <w:color w:val="auto"/>
                      <w:sz w:val="21"/>
                      <w:szCs w:val="21"/>
                      <w:lang w:val="en-US" w:eastAsia="zh-CN"/>
                    </w:rPr>
                    <w:t>120</w:t>
                  </w:r>
                </w:p>
              </w:tc>
              <w:tc>
                <w:tcPr>
                  <w:tcW w:w="618" w:type="pct"/>
                  <w:vMerge w:val="restart"/>
                  <w:tcBorders>
                    <w:tl2br w:val="nil"/>
                    <w:tr2bl w:val="nil"/>
                  </w:tcBorders>
                  <w:vAlign w:val="center"/>
                </w:tcPr>
                <w:p w14:paraId="4503DA3D">
                  <w:pPr>
                    <w:adjustRightInd w:val="0"/>
                    <w:snapToGrid w:val="0"/>
                    <w:jc w:val="center"/>
                    <w:rPr>
                      <w:color w:val="auto"/>
                      <w:sz w:val="21"/>
                      <w:szCs w:val="21"/>
                    </w:rPr>
                  </w:pPr>
                  <w:r>
                    <w:rPr>
                      <w:rFonts w:hint="eastAsia"/>
                      <w:color w:val="auto"/>
                      <w:sz w:val="21"/>
                      <w:szCs w:val="21"/>
                      <w:lang w:val="en-US" w:eastAsia="zh-CN"/>
                    </w:rPr>
                    <w:t>1</w:t>
                  </w:r>
                  <w:r>
                    <w:rPr>
                      <w:color w:val="auto"/>
                      <w:sz w:val="21"/>
                      <w:szCs w:val="21"/>
                    </w:rPr>
                    <w:t>个月</w:t>
                  </w:r>
                </w:p>
              </w:tc>
            </w:tr>
            <w:tr w14:paraId="7514AC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98" w:type="pct"/>
                  <w:tcBorders>
                    <w:tl2br w:val="nil"/>
                    <w:tr2bl w:val="nil"/>
                  </w:tcBorders>
                  <w:vAlign w:val="center"/>
                </w:tcPr>
                <w:p w14:paraId="278AC5FE">
                  <w:pPr>
                    <w:adjustRightInd w:val="0"/>
                    <w:snapToGrid w:val="0"/>
                    <w:jc w:val="center"/>
                    <w:rPr>
                      <w:color w:val="auto"/>
                      <w:sz w:val="21"/>
                      <w:szCs w:val="21"/>
                    </w:rPr>
                  </w:pPr>
                  <w:r>
                    <w:rPr>
                      <w:rFonts w:hint="eastAsia"/>
                      <w:color w:val="auto"/>
                      <w:sz w:val="21"/>
                      <w:szCs w:val="21"/>
                    </w:rPr>
                    <w:t>2</w:t>
                  </w:r>
                </w:p>
              </w:tc>
              <w:tc>
                <w:tcPr>
                  <w:tcW w:w="620" w:type="pct"/>
                  <w:vMerge w:val="continue"/>
                  <w:tcBorders>
                    <w:tl2br w:val="nil"/>
                    <w:tr2bl w:val="nil"/>
                  </w:tcBorders>
                  <w:vAlign w:val="center"/>
                </w:tcPr>
                <w:p w14:paraId="6824877D">
                  <w:pPr>
                    <w:adjustRightInd w:val="0"/>
                    <w:snapToGrid w:val="0"/>
                    <w:jc w:val="center"/>
                    <w:rPr>
                      <w:color w:val="auto"/>
                      <w:sz w:val="21"/>
                      <w:szCs w:val="21"/>
                    </w:rPr>
                  </w:pPr>
                </w:p>
              </w:tc>
              <w:tc>
                <w:tcPr>
                  <w:tcW w:w="734" w:type="pct"/>
                  <w:tcBorders>
                    <w:tl2br w:val="nil"/>
                    <w:tr2bl w:val="nil"/>
                  </w:tcBorders>
                  <w:vAlign w:val="center"/>
                </w:tcPr>
                <w:p w14:paraId="6603203F">
                  <w:pPr>
                    <w:keepNext w:val="0"/>
                    <w:keepLines w:val="0"/>
                    <w:pageBreakBefore w:val="0"/>
                    <w:widowControl/>
                    <w:kinsoku/>
                    <w:wordWrap/>
                    <w:overflowPunct/>
                    <w:topLinePunct w:val="0"/>
                    <w:bidi w:val="0"/>
                    <w:snapToGrid/>
                    <w:spacing w:line="240" w:lineRule="auto"/>
                    <w:jc w:val="center"/>
                    <w:textAlignment w:val="center"/>
                    <w:rPr>
                      <w:color w:val="auto"/>
                      <w:sz w:val="21"/>
                      <w:szCs w:val="21"/>
                    </w:rPr>
                  </w:pPr>
                  <w:r>
                    <w:rPr>
                      <w:rFonts w:hint="eastAsia"/>
                      <w:color w:val="auto"/>
                      <w:kern w:val="0"/>
                      <w:sz w:val="21"/>
                      <w:szCs w:val="21"/>
                      <w:lang w:val="en-US" w:eastAsia="zh-CN" w:bidi="ar"/>
                    </w:rPr>
                    <w:t>废布袋</w:t>
                  </w:r>
                </w:p>
              </w:tc>
              <w:tc>
                <w:tcPr>
                  <w:tcW w:w="787" w:type="pct"/>
                  <w:tcBorders>
                    <w:tl2br w:val="nil"/>
                    <w:tr2bl w:val="nil"/>
                  </w:tcBorders>
                  <w:vAlign w:val="center"/>
                </w:tcPr>
                <w:p w14:paraId="0EBF4BDD">
                  <w:pPr>
                    <w:keepNext w:val="0"/>
                    <w:keepLines w:val="0"/>
                    <w:pageBreakBefore w:val="0"/>
                    <w:widowControl/>
                    <w:kinsoku/>
                    <w:wordWrap/>
                    <w:overflowPunct/>
                    <w:topLinePunct w:val="0"/>
                    <w:bidi w:val="0"/>
                    <w:snapToGrid/>
                    <w:spacing w:line="240" w:lineRule="auto"/>
                    <w:jc w:val="center"/>
                    <w:textAlignment w:val="center"/>
                    <w:rPr>
                      <w:color w:val="auto"/>
                      <w:sz w:val="21"/>
                      <w:szCs w:val="21"/>
                    </w:rPr>
                  </w:pPr>
                  <w:r>
                    <w:rPr>
                      <w:rFonts w:hint="default" w:ascii="Times New Roman" w:hAnsi="Times New Roman" w:eastAsia="宋体" w:cs="Times New Roman"/>
                      <w:color w:val="auto"/>
                      <w:sz w:val="21"/>
                      <w:szCs w:val="21"/>
                      <w:lang w:val="en-US" w:eastAsia="zh-CN"/>
                    </w:rPr>
                    <w:t>900-0</w:t>
                  </w:r>
                  <w:r>
                    <w:rPr>
                      <w:rFonts w:hint="eastAsia" w:cs="Times New Roman"/>
                      <w:color w:val="auto"/>
                      <w:sz w:val="21"/>
                      <w:szCs w:val="21"/>
                      <w:lang w:val="en-US" w:eastAsia="zh-CN"/>
                    </w:rPr>
                    <w:t>09-S59</w:t>
                  </w:r>
                </w:p>
              </w:tc>
              <w:tc>
                <w:tcPr>
                  <w:tcW w:w="756" w:type="pct"/>
                  <w:vMerge w:val="continue"/>
                  <w:tcBorders>
                    <w:tl2br w:val="nil"/>
                    <w:tr2bl w:val="nil"/>
                  </w:tcBorders>
                  <w:vAlign w:val="center"/>
                </w:tcPr>
                <w:p w14:paraId="2D2F10B0">
                  <w:pPr>
                    <w:adjustRightInd w:val="0"/>
                    <w:snapToGrid w:val="0"/>
                    <w:jc w:val="center"/>
                    <w:rPr>
                      <w:color w:val="auto"/>
                      <w:sz w:val="21"/>
                      <w:szCs w:val="21"/>
                    </w:rPr>
                  </w:pPr>
                </w:p>
              </w:tc>
              <w:tc>
                <w:tcPr>
                  <w:tcW w:w="662" w:type="pct"/>
                  <w:tcBorders>
                    <w:tl2br w:val="nil"/>
                    <w:tr2bl w:val="nil"/>
                  </w:tcBorders>
                  <w:vAlign w:val="center"/>
                </w:tcPr>
                <w:p w14:paraId="0628E9F9">
                  <w:pPr>
                    <w:adjustRightInd w:val="0"/>
                    <w:snapToGrid w:val="0"/>
                    <w:jc w:val="center"/>
                    <w:rPr>
                      <w:color w:val="auto"/>
                      <w:sz w:val="21"/>
                      <w:szCs w:val="21"/>
                    </w:rPr>
                  </w:pPr>
                  <w:r>
                    <w:rPr>
                      <w:color w:val="auto"/>
                      <w:sz w:val="21"/>
                      <w:szCs w:val="21"/>
                    </w:rPr>
                    <w:t>袋装</w:t>
                  </w:r>
                </w:p>
              </w:tc>
              <w:tc>
                <w:tcPr>
                  <w:tcW w:w="520" w:type="pct"/>
                  <w:vMerge w:val="continue"/>
                  <w:tcBorders>
                    <w:tl2br w:val="nil"/>
                    <w:tr2bl w:val="nil"/>
                  </w:tcBorders>
                  <w:vAlign w:val="center"/>
                </w:tcPr>
                <w:p w14:paraId="17487540">
                  <w:pPr>
                    <w:adjustRightInd w:val="0"/>
                    <w:snapToGrid w:val="0"/>
                    <w:jc w:val="center"/>
                    <w:rPr>
                      <w:color w:val="auto"/>
                      <w:sz w:val="21"/>
                      <w:szCs w:val="21"/>
                    </w:rPr>
                  </w:pPr>
                </w:p>
              </w:tc>
              <w:tc>
                <w:tcPr>
                  <w:tcW w:w="618" w:type="pct"/>
                  <w:vMerge w:val="continue"/>
                  <w:tcBorders>
                    <w:tl2br w:val="nil"/>
                    <w:tr2bl w:val="nil"/>
                  </w:tcBorders>
                  <w:vAlign w:val="center"/>
                </w:tcPr>
                <w:p w14:paraId="483CE99D">
                  <w:pPr>
                    <w:adjustRightInd w:val="0"/>
                    <w:snapToGrid w:val="0"/>
                    <w:jc w:val="center"/>
                    <w:rPr>
                      <w:color w:val="auto"/>
                      <w:sz w:val="21"/>
                      <w:szCs w:val="21"/>
                    </w:rPr>
                  </w:pPr>
                </w:p>
              </w:tc>
            </w:tr>
          </w:tbl>
          <w:p w14:paraId="0A03B42B">
            <w:pPr>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textAlignment w:val="auto"/>
              <w:rPr>
                <w:b/>
                <w:bCs/>
                <w:color w:val="auto"/>
                <w:sz w:val="24"/>
                <w:szCs w:val="24"/>
              </w:rPr>
            </w:pPr>
            <w:r>
              <w:rPr>
                <w:rFonts w:hint="eastAsia"/>
                <w:b/>
                <w:bCs/>
                <w:color w:val="auto"/>
                <w:sz w:val="24"/>
                <w:szCs w:val="24"/>
                <w:lang w:val="en-US" w:eastAsia="zh-CN"/>
              </w:rPr>
              <w:t>3、</w:t>
            </w:r>
            <w:r>
              <w:rPr>
                <w:rFonts w:hint="eastAsia"/>
                <w:b/>
                <w:bCs/>
                <w:color w:val="auto"/>
                <w:sz w:val="24"/>
                <w:szCs w:val="24"/>
              </w:rPr>
              <w:t>依托项目可行性分析</w:t>
            </w:r>
          </w:p>
          <w:p w14:paraId="0E477B10">
            <w:pPr>
              <w:spacing w:line="360" w:lineRule="auto"/>
              <w:ind w:firstLine="480" w:firstLineChars="200"/>
              <w:rPr>
                <w:rFonts w:hint="default" w:eastAsia="宋体"/>
                <w:color w:val="auto"/>
                <w:sz w:val="24"/>
                <w:lang w:val="en-US" w:eastAsia="zh-CN"/>
              </w:rPr>
            </w:pPr>
            <w:r>
              <w:rPr>
                <w:rFonts w:hint="eastAsia"/>
                <w:color w:val="auto"/>
                <w:sz w:val="24"/>
                <w:lang w:val="en-US" w:eastAsia="zh-CN"/>
              </w:rPr>
              <w:t>本次技改项目不新增用地，</w:t>
            </w:r>
            <w:r>
              <w:rPr>
                <w:color w:val="auto"/>
                <w:sz w:val="24"/>
              </w:rPr>
              <w:t>一般</w:t>
            </w:r>
            <w:r>
              <w:rPr>
                <w:rFonts w:hint="eastAsia" w:cs="Times New Roman"/>
                <w:b w:val="0"/>
                <w:bCs w:val="0"/>
                <w:color w:val="FF0000"/>
                <w:kern w:val="0"/>
                <w:sz w:val="24"/>
                <w:lang w:val="en-US" w:eastAsia="zh-CN"/>
              </w:rPr>
              <w:t>工业</w:t>
            </w:r>
            <w:r>
              <w:rPr>
                <w:color w:val="auto"/>
                <w:sz w:val="24"/>
              </w:rPr>
              <w:t>固体废物暂存间</w:t>
            </w:r>
            <w:r>
              <w:rPr>
                <w:rFonts w:hint="eastAsia"/>
                <w:color w:val="auto"/>
                <w:sz w:val="24"/>
                <w:lang w:val="en-US" w:eastAsia="zh-CN"/>
              </w:rPr>
              <w:t>依托现有项目一间</w:t>
            </w:r>
            <w:r>
              <w:rPr>
                <w:color w:val="auto"/>
                <w:sz w:val="24"/>
              </w:rPr>
              <w:t>占地</w:t>
            </w:r>
            <w:r>
              <w:rPr>
                <w:rFonts w:hint="eastAsia"/>
                <w:color w:val="auto"/>
                <w:sz w:val="24"/>
                <w:lang w:val="en-US" w:eastAsia="zh-CN"/>
              </w:rPr>
              <w:t>面积12</w:t>
            </w:r>
            <w:r>
              <w:rPr>
                <w:rFonts w:hint="eastAsia"/>
                <w:color w:val="auto"/>
                <w:sz w:val="24"/>
              </w:rPr>
              <w:t>0</w:t>
            </w:r>
            <w:r>
              <w:rPr>
                <w:color w:val="auto"/>
                <w:sz w:val="24"/>
              </w:rPr>
              <w:t>m</w:t>
            </w:r>
            <w:r>
              <w:rPr>
                <w:color w:val="auto"/>
                <w:sz w:val="24"/>
                <w:vertAlign w:val="superscript"/>
              </w:rPr>
              <w:t>2</w:t>
            </w:r>
            <w:r>
              <w:rPr>
                <w:color w:val="auto"/>
                <w:sz w:val="24"/>
              </w:rPr>
              <w:t>，</w:t>
            </w:r>
            <w:r>
              <w:rPr>
                <w:rFonts w:hint="eastAsia"/>
                <w:color w:val="auto"/>
                <w:sz w:val="24"/>
                <w:lang w:val="en-US" w:eastAsia="zh-CN"/>
              </w:rPr>
              <w:t>容积为180</w:t>
            </w:r>
            <w:r>
              <w:rPr>
                <w:color w:val="auto"/>
                <w:sz w:val="24"/>
              </w:rPr>
              <w:t>m</w:t>
            </w:r>
            <w:r>
              <w:rPr>
                <w:rFonts w:hint="eastAsia"/>
                <w:color w:val="auto"/>
                <w:sz w:val="24"/>
                <w:vertAlign w:val="superscript"/>
                <w:lang w:val="en-US" w:eastAsia="zh-CN"/>
              </w:rPr>
              <w:t>3</w:t>
            </w:r>
            <w:r>
              <w:rPr>
                <w:color w:val="auto"/>
                <w:sz w:val="24"/>
              </w:rPr>
              <w:t>，贮存能力为</w:t>
            </w:r>
            <w:r>
              <w:rPr>
                <w:rFonts w:hint="eastAsia"/>
                <w:color w:val="auto"/>
                <w:sz w:val="24"/>
                <w:lang w:val="en-US" w:eastAsia="zh-CN"/>
              </w:rPr>
              <w:t>120</w:t>
            </w:r>
            <w:r>
              <w:rPr>
                <w:color w:val="auto"/>
                <w:sz w:val="24"/>
              </w:rPr>
              <w:t>t</w:t>
            </w:r>
            <w:r>
              <w:rPr>
                <w:rFonts w:hint="eastAsia"/>
                <w:color w:val="auto"/>
                <w:sz w:val="24"/>
                <w:lang w:eastAsia="zh-CN"/>
              </w:rPr>
              <w:t>。</w:t>
            </w:r>
            <w:r>
              <w:rPr>
                <w:rFonts w:hint="eastAsia"/>
                <w:color w:val="auto"/>
                <w:sz w:val="24"/>
                <w:lang w:val="en-US" w:eastAsia="zh-CN"/>
              </w:rPr>
              <w:t>根据分析，本次技改项目一般</w:t>
            </w:r>
            <w:r>
              <w:rPr>
                <w:rFonts w:hint="eastAsia" w:cs="Times New Roman"/>
                <w:b w:val="0"/>
                <w:bCs w:val="0"/>
                <w:color w:val="FF0000"/>
                <w:kern w:val="0"/>
                <w:sz w:val="24"/>
                <w:lang w:val="en-US" w:eastAsia="zh-CN"/>
              </w:rPr>
              <w:t>工业</w:t>
            </w:r>
            <w:r>
              <w:rPr>
                <w:rFonts w:hint="eastAsia"/>
                <w:color w:val="auto"/>
                <w:sz w:val="24"/>
                <w:lang w:val="en-US" w:eastAsia="zh-CN"/>
              </w:rPr>
              <w:t>固体废物最大</w:t>
            </w:r>
            <w:r>
              <w:rPr>
                <w:color w:val="auto"/>
                <w:sz w:val="24"/>
              </w:rPr>
              <w:t>暂存量为</w:t>
            </w:r>
            <w:r>
              <w:rPr>
                <w:rFonts w:hint="eastAsia"/>
                <w:color w:val="auto"/>
                <w:sz w:val="24"/>
                <w:lang w:val="en-US" w:eastAsia="zh-CN"/>
              </w:rPr>
              <w:t>14.158</w:t>
            </w:r>
            <w:r>
              <w:rPr>
                <w:color w:val="auto"/>
                <w:sz w:val="24"/>
              </w:rPr>
              <w:t>t</w:t>
            </w:r>
            <w:r>
              <w:rPr>
                <w:rFonts w:hint="eastAsia"/>
                <w:color w:val="auto"/>
                <w:sz w:val="24"/>
                <w:lang w:eastAsia="zh-CN"/>
              </w:rPr>
              <w:t>，</w:t>
            </w:r>
            <w:r>
              <w:rPr>
                <w:rFonts w:hint="eastAsia"/>
                <w:color w:val="auto"/>
                <w:sz w:val="24"/>
                <w:lang w:val="en-US" w:eastAsia="zh-CN"/>
              </w:rPr>
              <w:t>现有项目现有一般</w:t>
            </w:r>
            <w:r>
              <w:rPr>
                <w:rFonts w:hint="eastAsia" w:cs="Times New Roman"/>
                <w:b w:val="0"/>
                <w:bCs w:val="0"/>
                <w:color w:val="FF0000"/>
                <w:kern w:val="0"/>
                <w:sz w:val="24"/>
                <w:lang w:val="en-US" w:eastAsia="zh-CN"/>
              </w:rPr>
              <w:t>工业</w:t>
            </w:r>
            <w:r>
              <w:rPr>
                <w:rFonts w:hint="eastAsia"/>
                <w:color w:val="auto"/>
                <w:sz w:val="24"/>
                <w:lang w:val="en-US" w:eastAsia="zh-CN"/>
              </w:rPr>
              <w:t>固体废物最大</w:t>
            </w:r>
            <w:r>
              <w:rPr>
                <w:color w:val="auto"/>
                <w:sz w:val="24"/>
              </w:rPr>
              <w:t>暂存量为</w:t>
            </w:r>
            <w:r>
              <w:rPr>
                <w:rFonts w:hint="eastAsia"/>
                <w:color w:val="auto"/>
                <w:sz w:val="24"/>
                <w:lang w:val="en-US" w:eastAsia="zh-CN"/>
              </w:rPr>
              <w:t>69.083t，本项目建成后，现有项目一般</w:t>
            </w:r>
            <w:r>
              <w:rPr>
                <w:rFonts w:hint="eastAsia" w:cs="Times New Roman"/>
                <w:b w:val="0"/>
                <w:bCs w:val="0"/>
                <w:color w:val="FF0000"/>
                <w:kern w:val="0"/>
                <w:sz w:val="24"/>
                <w:lang w:val="en-US" w:eastAsia="zh-CN"/>
              </w:rPr>
              <w:t>工业</w:t>
            </w:r>
            <w:r>
              <w:rPr>
                <w:rFonts w:hint="eastAsia"/>
                <w:color w:val="auto"/>
                <w:sz w:val="24"/>
                <w:lang w:val="en-US" w:eastAsia="zh-CN"/>
              </w:rPr>
              <w:t>固体废物暂存间最大暂存量为83.241t，未超出现有项目一般</w:t>
            </w:r>
            <w:r>
              <w:rPr>
                <w:rFonts w:hint="eastAsia" w:cs="Times New Roman"/>
                <w:b w:val="0"/>
                <w:bCs w:val="0"/>
                <w:color w:val="FF0000"/>
                <w:kern w:val="0"/>
                <w:sz w:val="24"/>
                <w:lang w:val="en-US" w:eastAsia="zh-CN"/>
              </w:rPr>
              <w:t>工业</w:t>
            </w:r>
            <w:r>
              <w:rPr>
                <w:rFonts w:hint="eastAsia"/>
                <w:color w:val="auto"/>
                <w:sz w:val="24"/>
                <w:lang w:val="en-US" w:eastAsia="zh-CN"/>
              </w:rPr>
              <w:t>固体废物暂存间可容纳范围。</w:t>
            </w:r>
          </w:p>
          <w:p w14:paraId="187B052F">
            <w:pPr>
              <w:pStyle w:val="96"/>
              <w:keepNext w:val="0"/>
              <w:keepLines w:val="0"/>
              <w:pageBreakBefore w:val="0"/>
              <w:widowControl w:val="0"/>
              <w:kinsoku/>
              <w:wordWrap/>
              <w:overflowPunct/>
              <w:topLinePunct w:val="0"/>
              <w:autoSpaceDE/>
              <w:autoSpaceDN/>
              <w:bidi w:val="0"/>
              <w:adjustRightInd/>
              <w:snapToGrid/>
              <w:spacing w:line="360" w:lineRule="auto"/>
              <w:ind w:left="0" w:leftChars="0" w:firstLine="480"/>
              <w:jc w:val="left"/>
              <w:textAlignment w:val="auto"/>
              <w:rPr>
                <w:rFonts w:hint="eastAsia"/>
                <w:b/>
                <w:bCs/>
                <w:sz w:val="24"/>
                <w:lang w:val="en-US" w:eastAsia="zh-CN"/>
              </w:rPr>
            </w:pPr>
            <w:r>
              <w:rPr>
                <w:rFonts w:hint="eastAsia"/>
                <w:color w:val="auto"/>
                <w:sz w:val="24"/>
                <w:szCs w:val="24"/>
              </w:rPr>
              <w:t>故</w:t>
            </w:r>
            <w:r>
              <w:rPr>
                <w:rFonts w:hint="eastAsia"/>
                <w:color w:val="auto"/>
                <w:sz w:val="24"/>
                <w:szCs w:val="24"/>
                <w:lang w:val="en-US" w:eastAsia="zh-CN"/>
              </w:rPr>
              <w:t>本次技改项目一般</w:t>
            </w:r>
            <w:r>
              <w:rPr>
                <w:rFonts w:hint="eastAsia" w:cs="Times New Roman"/>
                <w:b w:val="0"/>
                <w:bCs w:val="0"/>
                <w:color w:val="FF0000"/>
                <w:kern w:val="0"/>
                <w:sz w:val="24"/>
                <w:lang w:val="en-US" w:eastAsia="zh-CN"/>
              </w:rPr>
              <w:t>工业</w:t>
            </w:r>
            <w:r>
              <w:rPr>
                <w:rFonts w:hint="eastAsia"/>
                <w:color w:val="auto"/>
                <w:sz w:val="24"/>
                <w:szCs w:val="24"/>
                <w:lang w:val="en-US" w:eastAsia="zh-CN"/>
              </w:rPr>
              <w:t>固体废物依托现有项目一般</w:t>
            </w:r>
            <w:r>
              <w:rPr>
                <w:rFonts w:hint="eastAsia" w:cs="Times New Roman"/>
                <w:b w:val="0"/>
                <w:bCs w:val="0"/>
                <w:color w:val="FF0000"/>
                <w:kern w:val="0"/>
                <w:sz w:val="24"/>
                <w:lang w:val="en-US" w:eastAsia="zh-CN"/>
              </w:rPr>
              <w:t>工业</w:t>
            </w:r>
            <w:r>
              <w:rPr>
                <w:rFonts w:hint="eastAsia"/>
                <w:color w:val="auto"/>
                <w:sz w:val="24"/>
                <w:szCs w:val="24"/>
                <w:lang w:val="en-US" w:eastAsia="zh-CN"/>
              </w:rPr>
              <w:t>固体废物暂存间属于可行的。</w:t>
            </w:r>
          </w:p>
          <w:p w14:paraId="4489FB9D">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b/>
                <w:bCs/>
                <w:sz w:val="24"/>
                <w:lang w:val="zh-CN"/>
              </w:rPr>
            </w:pPr>
            <w:r>
              <w:rPr>
                <w:rFonts w:hint="eastAsia"/>
                <w:b/>
                <w:bCs/>
                <w:sz w:val="24"/>
                <w:lang w:val="en-US" w:eastAsia="zh-CN"/>
              </w:rPr>
              <w:t>五</w:t>
            </w:r>
            <w:r>
              <w:rPr>
                <w:b/>
                <w:bCs/>
                <w:sz w:val="24"/>
              </w:rPr>
              <w:t>、</w:t>
            </w:r>
            <w:r>
              <w:rPr>
                <w:b/>
                <w:bCs/>
                <w:sz w:val="24"/>
                <w:lang w:val="zh-CN"/>
              </w:rPr>
              <w:t>地下水、土壤环境影响分析</w:t>
            </w:r>
          </w:p>
          <w:p w14:paraId="0E4691FA">
            <w:pPr>
              <w:spacing w:line="360" w:lineRule="auto"/>
              <w:ind w:firstLine="482" w:firstLineChars="200"/>
              <w:rPr>
                <w:b/>
                <w:bCs/>
                <w:color w:val="auto"/>
                <w:sz w:val="24"/>
              </w:rPr>
            </w:pPr>
            <w:r>
              <w:rPr>
                <w:rFonts w:hint="eastAsia"/>
                <w:b/>
                <w:bCs/>
                <w:color w:val="auto"/>
                <w:sz w:val="24"/>
                <w:lang w:val="en-US" w:eastAsia="zh-CN"/>
              </w:rPr>
              <w:t>1、</w:t>
            </w:r>
            <w:r>
              <w:rPr>
                <w:b/>
                <w:bCs/>
                <w:color w:val="auto"/>
                <w:sz w:val="24"/>
              </w:rPr>
              <w:t>地下水、土壤污染途径</w:t>
            </w:r>
          </w:p>
          <w:p w14:paraId="132DE4C4">
            <w:pPr>
              <w:pStyle w:val="91"/>
              <w:keepNext w:val="0"/>
              <w:keepLines w:val="0"/>
              <w:suppressLineNumbers w:val="0"/>
              <w:adjustRightInd w:val="0"/>
              <w:snapToGrid w:val="0"/>
              <w:spacing w:before="0" w:beforeAutospacing="0" w:after="0" w:afterAutospacing="0" w:line="360" w:lineRule="auto"/>
              <w:ind w:left="0" w:right="0"/>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根据对本项目生产过程及存储方式等进行分析，本项目对地下水及土壤环境影响的污染源为中和</w:t>
            </w:r>
            <w:r>
              <w:rPr>
                <w:rFonts w:hint="eastAsia" w:cs="Times New Roman"/>
                <w:color w:val="auto"/>
                <w:sz w:val="24"/>
                <w:lang w:val="en-US" w:eastAsia="zh-CN"/>
              </w:rPr>
              <w:t>沉淀</w:t>
            </w:r>
            <w:r>
              <w:rPr>
                <w:rFonts w:hint="eastAsia" w:ascii="Times New Roman" w:hAnsi="Times New Roman" w:eastAsia="宋体" w:cs="Times New Roman"/>
                <w:color w:val="auto"/>
                <w:sz w:val="24"/>
                <w:lang w:val="en-US" w:eastAsia="zh-CN"/>
              </w:rPr>
              <w:t>池，主要污染物为</w:t>
            </w:r>
            <w:r>
              <w:rPr>
                <w:rFonts w:hint="eastAsia"/>
                <w:color w:val="FF0000"/>
                <w:sz w:val="24"/>
                <w:szCs w:val="24"/>
                <w:lang w:val="en-US" w:eastAsia="zh-CN"/>
              </w:rPr>
              <w:t>树脂再生</w:t>
            </w:r>
            <w:r>
              <w:rPr>
                <w:rFonts w:hint="eastAsia"/>
                <w:color w:val="auto"/>
                <w:sz w:val="24"/>
                <w:szCs w:val="24"/>
                <w:lang w:val="en-US" w:eastAsia="zh-CN"/>
              </w:rPr>
              <w:t>废水</w:t>
            </w:r>
            <w:r>
              <w:rPr>
                <w:rFonts w:hint="eastAsia" w:ascii="Times New Roman" w:hAnsi="Times New Roman" w:eastAsia="宋体" w:cs="Times New Roman"/>
                <w:color w:val="auto"/>
                <w:sz w:val="24"/>
                <w:lang w:val="en-US" w:eastAsia="zh-CN"/>
              </w:rPr>
              <w:t>。</w:t>
            </w:r>
          </w:p>
          <w:p w14:paraId="1CAD50CC">
            <w:pPr>
              <w:keepNext w:val="0"/>
              <w:keepLines w:val="0"/>
              <w:suppressLineNumbers w:val="0"/>
              <w:spacing w:before="0" w:beforeAutospacing="0" w:after="0" w:afterAutospacing="0" w:line="360" w:lineRule="auto"/>
              <w:ind w:left="0" w:right="0" w:firstLine="480" w:firstLineChars="200"/>
              <w:rPr>
                <w:rFonts w:hint="eastAsia"/>
                <w:color w:val="auto"/>
                <w:sz w:val="24"/>
                <w:lang w:val="en-US" w:eastAsia="zh-CN"/>
              </w:rPr>
            </w:pPr>
            <w:r>
              <w:rPr>
                <w:rFonts w:hint="eastAsia" w:ascii="Times New Roman" w:hAnsi="Times New Roman" w:eastAsia="宋体" w:cs="Times New Roman"/>
                <w:color w:val="auto"/>
                <w:sz w:val="24"/>
                <w:lang w:val="en-US" w:eastAsia="zh-CN"/>
              </w:rPr>
              <w:t>本项目对地下水及土壤产生污染的途径主要是渗透污染。渗透污染是导致地下水污染的普遍和主要方式，主要产生可能性来自：</w:t>
            </w:r>
            <w:r>
              <w:rPr>
                <w:rFonts w:hint="eastAsia" w:cs="Times New Roman"/>
                <w:color w:val="auto"/>
                <w:sz w:val="24"/>
                <w:lang w:val="en-US" w:eastAsia="zh-CN"/>
              </w:rPr>
              <w:t>项目废水</w:t>
            </w:r>
            <w:r>
              <w:rPr>
                <w:rFonts w:hint="eastAsia" w:ascii="Times New Roman" w:hAnsi="Times New Roman" w:eastAsia="宋体" w:cs="Times New Roman"/>
                <w:color w:val="auto"/>
                <w:sz w:val="24"/>
                <w:lang w:val="en-US" w:eastAsia="zh-CN"/>
              </w:rPr>
              <w:t>在</w:t>
            </w:r>
            <w:r>
              <w:rPr>
                <w:rFonts w:hint="eastAsia" w:cs="Times New Roman"/>
                <w:color w:val="auto"/>
                <w:sz w:val="24"/>
                <w:lang w:val="en-US" w:eastAsia="zh-CN"/>
              </w:rPr>
              <w:t>事故状态下</w:t>
            </w:r>
            <w:r>
              <w:rPr>
                <w:rFonts w:hint="default"/>
                <w:color w:val="auto"/>
                <w:sz w:val="24"/>
              </w:rPr>
              <w:t>排入地表水环境，再渗入补给地下水；或者未采取防渗防漏措施的情况下</w:t>
            </w:r>
            <w:r>
              <w:rPr>
                <w:rFonts w:hint="eastAsia"/>
                <w:color w:val="auto"/>
                <w:sz w:val="24"/>
                <w:lang w:eastAsia="zh-CN"/>
              </w:rPr>
              <w:t>，</w:t>
            </w:r>
            <w:r>
              <w:rPr>
                <w:rFonts w:hint="default"/>
                <w:color w:val="auto"/>
                <w:sz w:val="24"/>
              </w:rPr>
              <w:t>废水直接从构筑物下渗入含水层而污染地下水及土壤。</w:t>
            </w:r>
          </w:p>
          <w:p w14:paraId="35BB5F25">
            <w:pPr>
              <w:spacing w:line="360" w:lineRule="auto"/>
              <w:ind w:firstLine="482" w:firstLineChars="200"/>
              <w:rPr>
                <w:b/>
                <w:bCs/>
                <w:color w:val="auto"/>
                <w:sz w:val="24"/>
              </w:rPr>
            </w:pPr>
            <w:r>
              <w:rPr>
                <w:rFonts w:hint="eastAsia"/>
                <w:b/>
                <w:bCs/>
                <w:color w:val="auto"/>
                <w:sz w:val="24"/>
                <w:lang w:val="en-US" w:eastAsia="zh-CN"/>
              </w:rPr>
              <w:t>2、</w:t>
            </w:r>
            <w:r>
              <w:rPr>
                <w:b/>
                <w:bCs/>
                <w:color w:val="auto"/>
                <w:sz w:val="24"/>
              </w:rPr>
              <w:t>防控措施</w:t>
            </w:r>
          </w:p>
          <w:p w14:paraId="735AC422">
            <w:pPr>
              <w:pStyle w:val="91"/>
              <w:keepNext w:val="0"/>
              <w:keepLines w:val="0"/>
              <w:suppressLineNumbers w:val="0"/>
              <w:adjustRightInd w:val="0"/>
              <w:snapToGrid w:val="0"/>
              <w:spacing w:before="0" w:beforeAutospacing="0" w:after="0" w:afterAutospacing="0" w:line="360" w:lineRule="auto"/>
              <w:ind w:left="0" w:right="0"/>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针对上述情况，企业采取以下措施，以减轻对地下水及土壤的污染。</w:t>
            </w:r>
          </w:p>
          <w:p w14:paraId="048596DF">
            <w:pPr>
              <w:pStyle w:val="91"/>
              <w:keepNext w:val="0"/>
              <w:keepLines w:val="0"/>
              <w:suppressLineNumbers w:val="0"/>
              <w:adjustRightInd w:val="0"/>
              <w:snapToGrid w:val="0"/>
              <w:spacing w:before="0" w:beforeAutospacing="0" w:after="0" w:afterAutospacing="0" w:line="360" w:lineRule="auto"/>
              <w:ind w:left="0" w:right="0"/>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w:t>
            </w:r>
            <w:r>
              <w:rPr>
                <w:rFonts w:hint="default" w:ascii="Times New Roman" w:hAnsi="Times New Roman" w:eastAsia="宋体" w:cs="Times New Roman"/>
                <w:color w:val="auto"/>
                <w:sz w:val="24"/>
                <w:lang w:val="en-US" w:eastAsia="zh-CN"/>
              </w:rPr>
              <w:t>1</w:t>
            </w:r>
            <w:r>
              <w:rPr>
                <w:rFonts w:hint="eastAsia" w:ascii="Times New Roman" w:hAnsi="Times New Roman" w:eastAsia="宋体" w:cs="Times New Roman"/>
                <w:color w:val="auto"/>
                <w:sz w:val="24"/>
                <w:lang w:val="en-US" w:eastAsia="zh-CN"/>
              </w:rPr>
              <w:t>）源头控制措施</w:t>
            </w:r>
          </w:p>
          <w:p w14:paraId="062280C1">
            <w:pPr>
              <w:pStyle w:val="91"/>
              <w:keepNext w:val="0"/>
              <w:keepLines w:val="0"/>
              <w:suppressLineNumbers w:val="0"/>
              <w:adjustRightInd w:val="0"/>
              <w:snapToGrid w:val="0"/>
              <w:spacing w:before="0" w:beforeAutospacing="0" w:after="0" w:afterAutospacing="0" w:line="360" w:lineRule="auto"/>
              <w:ind w:left="0" w:right="0"/>
              <w:rPr>
                <w:rFonts w:hint="eastAsia" w:cs="Times New Roman"/>
                <w:color w:val="auto"/>
                <w:sz w:val="24"/>
                <w:szCs w:val="24"/>
                <w:lang w:val="en-US" w:eastAsia="zh-CN"/>
              </w:rPr>
            </w:pPr>
            <w:r>
              <w:rPr>
                <w:rFonts w:hint="eastAsia" w:ascii="Times New Roman" w:hAnsi="Times New Roman" w:eastAsia="宋体" w:cs="Times New Roman"/>
                <w:color w:val="auto"/>
                <w:sz w:val="24"/>
                <w:lang w:val="en-US" w:eastAsia="zh-CN"/>
              </w:rPr>
              <w:t>项目因锅炉运行产生的废水</w:t>
            </w:r>
            <w:r>
              <w:rPr>
                <w:rFonts w:hint="eastAsia" w:cs="Times New Roman"/>
                <w:color w:val="auto"/>
                <w:sz w:val="24"/>
                <w:lang w:val="en-US" w:eastAsia="zh-CN"/>
              </w:rPr>
              <w:t>依托现有项目已建成的废水处理设施处理后，</w:t>
            </w:r>
            <w:r>
              <w:rPr>
                <w:rFonts w:hint="eastAsia" w:cs="Times New Roman"/>
                <w:color w:val="auto"/>
                <w:sz w:val="24"/>
                <w:szCs w:val="24"/>
                <w:lang w:val="en-US" w:eastAsia="zh-CN"/>
              </w:rPr>
              <w:t>回用于厂区绿化、洒水冷却灰渣等。</w:t>
            </w:r>
          </w:p>
          <w:p w14:paraId="2C828FAF">
            <w:pPr>
              <w:pStyle w:val="91"/>
              <w:keepNext w:val="0"/>
              <w:keepLines w:val="0"/>
              <w:suppressLineNumbers w:val="0"/>
              <w:adjustRightInd w:val="0"/>
              <w:snapToGrid w:val="0"/>
              <w:spacing w:before="0" w:beforeAutospacing="0" w:after="0" w:afterAutospacing="0" w:line="360" w:lineRule="auto"/>
              <w:ind w:left="0" w:right="0"/>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w:t>
            </w:r>
            <w:r>
              <w:rPr>
                <w:rFonts w:hint="default" w:ascii="Times New Roman" w:hAnsi="Times New Roman" w:eastAsia="宋体" w:cs="Times New Roman"/>
                <w:color w:val="auto"/>
                <w:sz w:val="24"/>
                <w:lang w:val="en-US" w:eastAsia="zh-CN"/>
              </w:rPr>
              <w:t>2</w:t>
            </w:r>
            <w:r>
              <w:rPr>
                <w:rFonts w:hint="eastAsia" w:ascii="Times New Roman" w:hAnsi="Times New Roman" w:eastAsia="宋体" w:cs="Times New Roman"/>
                <w:color w:val="auto"/>
                <w:sz w:val="24"/>
                <w:lang w:val="en-US" w:eastAsia="zh-CN"/>
              </w:rPr>
              <w:t>）分区</w:t>
            </w:r>
            <w:r>
              <w:rPr>
                <w:rFonts w:hint="eastAsia" w:cs="Times New Roman"/>
                <w:color w:val="auto"/>
                <w:sz w:val="24"/>
                <w:lang w:val="en-US" w:eastAsia="zh-CN"/>
              </w:rPr>
              <w:t>防渗</w:t>
            </w:r>
            <w:r>
              <w:rPr>
                <w:rFonts w:hint="eastAsia" w:ascii="Times New Roman" w:hAnsi="Times New Roman" w:eastAsia="宋体" w:cs="Times New Roman"/>
                <w:color w:val="auto"/>
                <w:sz w:val="24"/>
                <w:lang w:val="en-US" w:eastAsia="zh-CN"/>
              </w:rPr>
              <w:t>措施</w:t>
            </w:r>
          </w:p>
          <w:p w14:paraId="632E6046">
            <w:pPr>
              <w:widowControl w:val="0"/>
              <w:numPr>
                <w:ilvl w:val="0"/>
                <w:numId w:val="0"/>
              </w:numPr>
              <w:spacing w:line="360" w:lineRule="auto"/>
              <w:ind w:firstLine="480" w:firstLineChars="200"/>
              <w:jc w:val="both"/>
              <w:rPr>
                <w:rFonts w:hint="eastAsia" w:eastAsia="宋体"/>
                <w:color w:val="auto"/>
                <w:sz w:val="24"/>
                <w:lang w:val="en-US" w:eastAsia="zh-CN"/>
              </w:rPr>
            </w:pPr>
            <w:r>
              <w:rPr>
                <w:rFonts w:hint="eastAsia"/>
                <w:color w:val="auto"/>
                <w:sz w:val="24"/>
                <w:lang w:val="en-US" w:eastAsia="zh-CN"/>
              </w:rPr>
              <w:t>本次项目依托现有项目锅炉房进行</w:t>
            </w:r>
            <w:r>
              <w:rPr>
                <w:rFonts w:hint="eastAsia"/>
                <w:color w:val="FF0000"/>
                <w:sz w:val="24"/>
                <w:lang w:val="en-US" w:eastAsia="zh-CN"/>
              </w:rPr>
              <w:t>技改</w:t>
            </w:r>
            <w:r>
              <w:rPr>
                <w:rFonts w:hint="eastAsia"/>
                <w:color w:val="auto"/>
                <w:sz w:val="24"/>
                <w:lang w:val="en-US" w:eastAsia="zh-CN"/>
              </w:rPr>
              <w:t>，固体废物储存、废水处理皆依托</w:t>
            </w:r>
            <w:r>
              <w:rPr>
                <w:rFonts w:hint="eastAsia" w:cs="Times New Roman"/>
                <w:color w:val="auto"/>
                <w:sz w:val="24"/>
                <w:lang w:val="en-US" w:eastAsia="zh-CN"/>
              </w:rPr>
              <w:t>现有项目设施，现有项目已</w:t>
            </w:r>
            <w:r>
              <w:rPr>
                <w:rFonts w:hint="eastAsia"/>
                <w:color w:val="auto"/>
                <w:sz w:val="24"/>
                <w:szCs w:val="24"/>
                <w:lang w:val="en-US" w:eastAsia="zh-CN" w:bidi="ar"/>
              </w:rPr>
              <w:t>针对</w:t>
            </w:r>
            <w:r>
              <w:rPr>
                <w:color w:val="auto"/>
                <w:sz w:val="24"/>
              </w:rPr>
              <w:t>地面区域污染物的性质和生产单元的构筑方式</w:t>
            </w:r>
            <w:r>
              <w:rPr>
                <w:rFonts w:hint="eastAsia"/>
                <w:color w:val="auto"/>
                <w:sz w:val="24"/>
                <w:lang w:eastAsia="zh-CN"/>
              </w:rPr>
              <w:t>，</w:t>
            </w:r>
            <w:r>
              <w:rPr>
                <w:rFonts w:hint="eastAsia"/>
                <w:color w:val="auto"/>
                <w:sz w:val="24"/>
                <w:lang w:val="en-US" w:eastAsia="zh-CN"/>
              </w:rPr>
              <w:t>对锅炉房、中和沉淀池、一般固废暂存间等区域做出一般</w:t>
            </w:r>
            <w:r>
              <w:rPr>
                <w:color w:val="auto"/>
                <w:sz w:val="24"/>
              </w:rPr>
              <w:t>防渗措施</w:t>
            </w:r>
            <w:r>
              <w:rPr>
                <w:rFonts w:hint="eastAsia"/>
                <w:color w:val="auto"/>
                <w:sz w:val="24"/>
                <w:lang w:eastAsia="zh-CN"/>
              </w:rPr>
              <w:t>。</w:t>
            </w:r>
          </w:p>
          <w:p w14:paraId="210110FF">
            <w:pPr>
              <w:pStyle w:val="6"/>
              <w:numPr>
                <w:ilvl w:val="3"/>
                <w:numId w:val="0"/>
              </w:numPr>
              <w:spacing w:line="240" w:lineRule="auto"/>
              <w:jc w:val="center"/>
              <w:rPr>
                <w:rFonts w:ascii="Times New Roman" w:hAnsi="Times New Roman"/>
                <w:color w:val="auto"/>
                <w:sz w:val="24"/>
                <w:szCs w:val="24"/>
              </w:rPr>
            </w:pPr>
            <w:r>
              <w:rPr>
                <w:rFonts w:ascii="Times New Roman" w:hAnsi="Times New Roman"/>
                <w:bCs/>
                <w:color w:val="auto"/>
                <w:sz w:val="24"/>
                <w:szCs w:val="24"/>
              </w:rPr>
              <w:t>表4-</w:t>
            </w:r>
            <w:r>
              <w:rPr>
                <w:rFonts w:hint="eastAsia"/>
                <w:bCs/>
                <w:color w:val="auto"/>
                <w:sz w:val="24"/>
                <w:szCs w:val="24"/>
                <w:lang w:val="en-US" w:eastAsia="zh-CN"/>
              </w:rPr>
              <w:t>12</w:t>
            </w:r>
            <w:r>
              <w:rPr>
                <w:rFonts w:ascii="Times New Roman" w:hAnsi="Times New Roman"/>
                <w:bCs/>
                <w:color w:val="auto"/>
                <w:sz w:val="24"/>
                <w:szCs w:val="24"/>
              </w:rPr>
              <w:t xml:space="preserve">  </w:t>
            </w:r>
            <w:r>
              <w:rPr>
                <w:rFonts w:hint="eastAsia" w:ascii="Times New Roman" w:hAnsi="Times New Roman"/>
                <w:bCs/>
                <w:color w:val="auto"/>
                <w:sz w:val="24"/>
                <w:szCs w:val="24"/>
                <w:lang w:val="en-US" w:eastAsia="zh-CN"/>
              </w:rPr>
              <w:t>所依托项目</w:t>
            </w:r>
            <w:r>
              <w:rPr>
                <w:color w:val="auto"/>
                <w:sz w:val="24"/>
                <w:szCs w:val="24"/>
              </w:rPr>
              <w:t>各单元防腐防渗</w:t>
            </w:r>
            <w:r>
              <w:rPr>
                <w:rFonts w:hint="eastAsia"/>
                <w:color w:val="auto"/>
                <w:sz w:val="24"/>
                <w:szCs w:val="24"/>
              </w:rPr>
              <w:t>措施</w:t>
            </w:r>
          </w:p>
          <w:tbl>
            <w:tblPr>
              <w:tblStyle w:val="27"/>
              <w:tblW w:w="4998" w:type="pct"/>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633"/>
              <w:gridCol w:w="915"/>
              <w:gridCol w:w="6757"/>
            </w:tblGrid>
            <w:tr w14:paraId="770B185C">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72" w:hRule="atLeast"/>
              </w:trPr>
              <w:tc>
                <w:tcPr>
                  <w:tcW w:w="381" w:type="pct"/>
                  <w:tcBorders>
                    <w:left w:val="nil"/>
                    <w:bottom w:val="single" w:color="000000" w:sz="6" w:space="0"/>
                    <w:right w:val="single" w:color="000000" w:sz="6" w:space="0"/>
                  </w:tcBorders>
                  <w:vAlign w:val="center"/>
                </w:tcPr>
                <w:p w14:paraId="4FC2E159">
                  <w:pPr>
                    <w:pStyle w:val="96"/>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序号</w:t>
                  </w:r>
                </w:p>
              </w:tc>
              <w:tc>
                <w:tcPr>
                  <w:tcW w:w="551" w:type="pct"/>
                  <w:tcBorders>
                    <w:left w:val="single" w:color="000000" w:sz="6" w:space="0"/>
                    <w:bottom w:val="single" w:color="000000" w:sz="6" w:space="0"/>
                    <w:right w:val="single" w:color="000000" w:sz="6" w:space="0"/>
                  </w:tcBorders>
                  <w:vAlign w:val="center"/>
                </w:tcPr>
                <w:p w14:paraId="0BBCF9B2">
                  <w:pPr>
                    <w:pStyle w:val="96"/>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名称</w:t>
                  </w:r>
                </w:p>
              </w:tc>
              <w:tc>
                <w:tcPr>
                  <w:tcW w:w="4067" w:type="pct"/>
                  <w:tcBorders>
                    <w:left w:val="single" w:color="000000" w:sz="6" w:space="0"/>
                    <w:bottom w:val="single" w:color="000000" w:sz="6" w:space="0"/>
                    <w:right w:val="nil"/>
                  </w:tcBorders>
                  <w:vAlign w:val="center"/>
                </w:tcPr>
                <w:p w14:paraId="18DE3187">
                  <w:pPr>
                    <w:pStyle w:val="96"/>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防腐、防渗措施</w:t>
                  </w:r>
                </w:p>
              </w:tc>
            </w:tr>
            <w:tr w14:paraId="794BD76D">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5" w:hRule="atLeast"/>
              </w:trPr>
              <w:tc>
                <w:tcPr>
                  <w:tcW w:w="381" w:type="pct"/>
                  <w:tcBorders>
                    <w:top w:val="single" w:color="000000" w:sz="6" w:space="0"/>
                    <w:left w:val="nil"/>
                    <w:bottom w:val="single" w:color="000000" w:sz="6" w:space="0"/>
                    <w:right w:val="single" w:color="000000" w:sz="6" w:space="0"/>
                  </w:tcBorders>
                  <w:vAlign w:val="center"/>
                </w:tcPr>
                <w:p w14:paraId="659376F2">
                  <w:pPr>
                    <w:pStyle w:val="96"/>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w:t>
                  </w:r>
                </w:p>
              </w:tc>
              <w:tc>
                <w:tcPr>
                  <w:tcW w:w="551" w:type="pct"/>
                  <w:tcBorders>
                    <w:top w:val="single" w:color="000000" w:sz="6" w:space="0"/>
                    <w:left w:val="single" w:color="000000" w:sz="6" w:space="0"/>
                    <w:bottom w:val="single" w:color="000000" w:sz="6" w:space="0"/>
                    <w:right w:val="single" w:color="000000" w:sz="6" w:space="0"/>
                  </w:tcBorders>
                  <w:vAlign w:val="center"/>
                </w:tcPr>
                <w:p w14:paraId="1000A815">
                  <w:pPr>
                    <w:pStyle w:val="96"/>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厂区</w:t>
                  </w:r>
                </w:p>
              </w:tc>
              <w:tc>
                <w:tcPr>
                  <w:tcW w:w="4067" w:type="pct"/>
                  <w:tcBorders>
                    <w:top w:val="single" w:color="000000" w:sz="6" w:space="0"/>
                    <w:left w:val="single" w:color="000000" w:sz="6" w:space="0"/>
                    <w:bottom w:val="single" w:color="000000" w:sz="6" w:space="0"/>
                    <w:right w:val="nil"/>
                  </w:tcBorders>
                  <w:vAlign w:val="center"/>
                </w:tcPr>
                <w:p w14:paraId="38D2FCA4">
                  <w:pPr>
                    <w:pStyle w:val="96"/>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生产车间应严格按照建筑防渗设计规范，采</w:t>
                  </w:r>
                  <w:r>
                    <w:rPr>
                      <w:rFonts w:hint="eastAsia" w:cs="Times New Roman"/>
                      <w:color w:val="000000" w:themeColor="text1"/>
                      <w:sz w:val="21"/>
                      <w:szCs w:val="21"/>
                      <w:lang w:val="en-US" w:eastAsia="zh-CN"/>
                      <w14:textFill>
                        <w14:solidFill>
                          <w14:schemeClr w14:val="tx1"/>
                        </w14:solidFill>
                      </w14:textFill>
                    </w:rPr>
                    <w:t>用</w:t>
                  </w:r>
                  <w:r>
                    <w:rPr>
                      <w:rFonts w:hint="default" w:ascii="Times New Roman" w:hAnsi="Times New Roman" w:cs="Times New Roman"/>
                      <w:color w:val="000000" w:themeColor="text1"/>
                      <w:sz w:val="21"/>
                      <w:szCs w:val="21"/>
                      <w14:textFill>
                        <w14:solidFill>
                          <w14:schemeClr w14:val="tx1"/>
                        </w14:solidFill>
                      </w14:textFill>
                    </w:rPr>
                    <w:t>高标号的防水混凝土，装置区集  中做防渗地坪</w:t>
                  </w:r>
                  <w:r>
                    <w:rPr>
                      <w:rFonts w:hint="default" w:ascii="Times New Roman" w:hAnsi="Times New Roman" w:cs="Times New Roman"/>
                      <w:color w:val="000000" w:themeColor="text1"/>
                      <w:sz w:val="21"/>
                      <w:szCs w:val="21"/>
                      <w:lang w:eastAsia="zh-CN"/>
                      <w14:textFill>
                        <w14:solidFill>
                          <w14:schemeClr w14:val="tx1"/>
                        </w14:solidFill>
                      </w14:textFill>
                    </w:rPr>
                    <w:t>。</w:t>
                  </w:r>
                </w:p>
              </w:tc>
            </w:tr>
            <w:tr w14:paraId="7BC088B7">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921" w:hRule="atLeast"/>
              </w:trPr>
              <w:tc>
                <w:tcPr>
                  <w:tcW w:w="381" w:type="pct"/>
                  <w:tcBorders>
                    <w:top w:val="single" w:color="000000" w:sz="6" w:space="0"/>
                    <w:left w:val="nil"/>
                    <w:bottom w:val="single" w:color="000000" w:sz="6" w:space="0"/>
                    <w:right w:val="single" w:color="000000" w:sz="6" w:space="0"/>
                  </w:tcBorders>
                  <w:vAlign w:val="center"/>
                </w:tcPr>
                <w:p w14:paraId="63E7B086">
                  <w:pPr>
                    <w:pStyle w:val="96"/>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color w:val="000000" w:themeColor="text1"/>
                      <w:sz w:val="21"/>
                      <w:szCs w:val="21"/>
                      <w14:textFill>
                        <w14:solidFill>
                          <w14:schemeClr w14:val="tx1"/>
                        </w14:solidFill>
                      </w14:textFill>
                    </w:rPr>
                  </w:pPr>
                </w:p>
                <w:p w14:paraId="44E0F7D1">
                  <w:pPr>
                    <w:pStyle w:val="96"/>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w:t>
                  </w:r>
                </w:p>
              </w:tc>
              <w:tc>
                <w:tcPr>
                  <w:tcW w:w="551" w:type="pct"/>
                  <w:tcBorders>
                    <w:top w:val="single" w:color="000000" w:sz="6" w:space="0"/>
                    <w:left w:val="single" w:color="000000" w:sz="6" w:space="0"/>
                    <w:bottom w:val="single" w:color="000000" w:sz="6" w:space="0"/>
                    <w:right w:val="single" w:color="000000" w:sz="6" w:space="0"/>
                  </w:tcBorders>
                  <w:vAlign w:val="center"/>
                </w:tcPr>
                <w:p w14:paraId="2CBE241D">
                  <w:pPr>
                    <w:pStyle w:val="96"/>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主厂房附属及综合车间和生产装置</w:t>
                  </w:r>
                </w:p>
                <w:p w14:paraId="6589B5DD">
                  <w:pPr>
                    <w:pStyle w:val="96"/>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区</w:t>
                  </w:r>
                </w:p>
              </w:tc>
              <w:tc>
                <w:tcPr>
                  <w:tcW w:w="4067" w:type="pct"/>
                  <w:tcBorders>
                    <w:top w:val="single" w:color="000000" w:sz="6" w:space="0"/>
                    <w:left w:val="single" w:color="000000" w:sz="6" w:space="0"/>
                    <w:bottom w:val="single" w:color="000000" w:sz="6" w:space="0"/>
                    <w:right w:val="nil"/>
                  </w:tcBorders>
                  <w:vAlign w:val="center"/>
                </w:tcPr>
                <w:p w14:paraId="57C97359">
                  <w:pPr>
                    <w:pStyle w:val="96"/>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①严格按照建筑防渗设计规范，采用高标号的防水混凝土；②地坪做严格的防渗措施；③修建降水和浸淋水的集水设施（集水沟和集水池），并在四周设置围堰和边沟，一旦发生跑冒滴漏，确保不污染地下水，重点污染区的防渗设计必须满足《危险废物填埋污染控制标准》（</w:t>
                  </w:r>
                  <w:r>
                    <w:rPr>
                      <w:rFonts w:hint="default" w:ascii="Times New Roman" w:hAnsi="Times New Roman" w:cs="Times New Roman"/>
                      <w:color w:val="000000" w:themeColor="text1"/>
                      <w14:textFill>
                        <w14:solidFill>
                          <w14:schemeClr w14:val="tx1"/>
                        </w14:solidFill>
                      </w14:textFill>
                    </w:rPr>
                    <w:t>GB18597-2023</w:t>
                  </w:r>
                  <w:r>
                    <w:rPr>
                      <w:rFonts w:hint="default" w:ascii="Times New Roman" w:hAnsi="Times New Roman" w:cs="Times New Roman"/>
                      <w:color w:val="000000" w:themeColor="text1"/>
                      <w:sz w:val="21"/>
                      <w:szCs w:val="21"/>
                      <w14:textFill>
                        <w14:solidFill>
                          <w14:schemeClr w14:val="tx1"/>
                        </w14:solidFill>
                      </w14:textFill>
                    </w:rPr>
                    <w:t>）要求。</w:t>
                  </w:r>
                </w:p>
              </w:tc>
            </w:tr>
            <w:tr w14:paraId="0742CBCD">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527" w:hRule="atLeast"/>
              </w:trPr>
              <w:tc>
                <w:tcPr>
                  <w:tcW w:w="381" w:type="pct"/>
                  <w:tcBorders>
                    <w:top w:val="single" w:color="000000" w:sz="6" w:space="0"/>
                    <w:left w:val="nil"/>
                    <w:bottom w:val="single" w:color="000000" w:sz="6" w:space="0"/>
                    <w:right w:val="single" w:color="000000" w:sz="6" w:space="0"/>
                  </w:tcBorders>
                  <w:vAlign w:val="center"/>
                </w:tcPr>
                <w:p w14:paraId="5921275B">
                  <w:pPr>
                    <w:pStyle w:val="96"/>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w:t>
                  </w:r>
                </w:p>
              </w:tc>
              <w:tc>
                <w:tcPr>
                  <w:tcW w:w="551" w:type="pct"/>
                  <w:tcBorders>
                    <w:top w:val="single" w:color="000000" w:sz="6" w:space="0"/>
                    <w:left w:val="single" w:color="000000" w:sz="6" w:space="0"/>
                    <w:bottom w:val="single" w:color="000000" w:sz="6" w:space="0"/>
                    <w:right w:val="single" w:color="000000" w:sz="6" w:space="0"/>
                  </w:tcBorders>
                  <w:vAlign w:val="center"/>
                </w:tcPr>
                <w:p w14:paraId="088FDBD6">
                  <w:pPr>
                    <w:pStyle w:val="96"/>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管道、阀门</w:t>
                  </w:r>
                </w:p>
              </w:tc>
              <w:tc>
                <w:tcPr>
                  <w:tcW w:w="4067" w:type="pct"/>
                  <w:tcBorders>
                    <w:top w:val="single" w:color="000000" w:sz="6" w:space="0"/>
                    <w:left w:val="single" w:color="000000" w:sz="6" w:space="0"/>
                    <w:bottom w:val="single" w:color="000000" w:sz="6" w:space="0"/>
                    <w:right w:val="nil"/>
                  </w:tcBorders>
                  <w:vAlign w:val="center"/>
                </w:tcPr>
                <w:p w14:paraId="412F56B4">
                  <w:pPr>
                    <w:pStyle w:val="96"/>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①对管道、阀门严格检查，有质量问题的及时更换，阀门采用优质产品；②在工艺条件允许的情况下，管道置在地上，如出现渗漏问题及时解决；③对工艺要求必须地下走管的废（污）水管道、阀门设专门防渗管沟，管沟上设活动观察顶盖，以便出现渗漏问题及时观察、解决，管沟与污水集水井相连，  并设计合理的排水坡度，便于废水排至集水井，然后统一排入污水</w:t>
                  </w:r>
                  <w:r>
                    <w:rPr>
                      <w:rFonts w:hint="default" w:ascii="Times New Roman" w:hAnsi="Times New Roman" w:cs="Times New Roman"/>
                      <w:color w:val="000000" w:themeColor="text1"/>
                      <w:sz w:val="21"/>
                      <w:szCs w:val="21"/>
                      <w:lang w:val="en-US" w:eastAsia="zh-CN"/>
                      <w14:textFill>
                        <w14:solidFill>
                          <w14:schemeClr w14:val="tx1"/>
                        </w14:solidFill>
                      </w14:textFill>
                    </w:rPr>
                    <w:t>收集池内。</w:t>
                  </w:r>
                </w:p>
              </w:tc>
            </w:tr>
            <w:tr w14:paraId="330CE0FB">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14" w:hRule="atLeast"/>
              </w:trPr>
              <w:tc>
                <w:tcPr>
                  <w:tcW w:w="381" w:type="pct"/>
                  <w:tcBorders>
                    <w:top w:val="single" w:color="000000" w:sz="6" w:space="0"/>
                    <w:left w:val="nil"/>
                    <w:right w:val="single" w:color="000000" w:sz="6" w:space="0"/>
                  </w:tcBorders>
                  <w:vAlign w:val="center"/>
                </w:tcPr>
                <w:p w14:paraId="09D2A4D2">
                  <w:pPr>
                    <w:pStyle w:val="96"/>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
                      <w:color w:val="000000" w:themeColor="text1"/>
                      <w:sz w:val="21"/>
                      <w:szCs w:val="21"/>
                      <w14:textFill>
                        <w14:solidFill>
                          <w14:schemeClr w14:val="tx1"/>
                        </w14:solidFill>
                      </w14:textFill>
                    </w:rPr>
                  </w:pPr>
                </w:p>
                <w:p w14:paraId="5903023F">
                  <w:pPr>
                    <w:pStyle w:val="96"/>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4</w:t>
                  </w:r>
                </w:p>
              </w:tc>
              <w:tc>
                <w:tcPr>
                  <w:tcW w:w="551" w:type="pct"/>
                  <w:tcBorders>
                    <w:top w:val="single" w:color="000000" w:sz="6" w:space="0"/>
                    <w:left w:val="single" w:color="000000" w:sz="6" w:space="0"/>
                    <w:right w:val="single" w:color="000000" w:sz="6" w:space="0"/>
                  </w:tcBorders>
                  <w:vAlign w:val="center"/>
                </w:tcPr>
                <w:p w14:paraId="0E29DB47">
                  <w:pPr>
                    <w:pStyle w:val="96"/>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污水处理设施</w:t>
                  </w:r>
                </w:p>
              </w:tc>
              <w:tc>
                <w:tcPr>
                  <w:tcW w:w="4067" w:type="pct"/>
                  <w:tcBorders>
                    <w:top w:val="single" w:color="000000" w:sz="6" w:space="0"/>
                    <w:left w:val="single" w:color="000000" w:sz="6" w:space="0"/>
                    <w:right w:val="nil"/>
                  </w:tcBorders>
                  <w:vAlign w:val="center"/>
                </w:tcPr>
                <w:p w14:paraId="565B0670">
                  <w:pPr>
                    <w:pStyle w:val="96"/>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①采用防水抗渗混凝土；②为减小混凝土收缩对结构的影响，混凝土内掺入抗裂型防水剂。③拆模后，混凝土表面涂刷澎内传水泥基渗透结晶型防水涂料两遍。④结构外壁</w:t>
                  </w:r>
                  <w:r>
                    <w:rPr>
                      <w:rFonts w:hint="default" w:ascii="Times New Roman" w:hAnsi="Times New Roman" w:eastAsia="Times New Roman" w:cs="Times New Roman"/>
                      <w:color w:val="000000" w:themeColor="text1"/>
                      <w:sz w:val="21"/>
                      <w:szCs w:val="21"/>
                      <w14:textFill>
                        <w14:solidFill>
                          <w14:schemeClr w14:val="tx1"/>
                        </w14:solidFill>
                      </w14:textFill>
                    </w:rPr>
                    <w:t>0</w:t>
                  </w:r>
                  <w:r>
                    <w:rPr>
                      <w:rFonts w:hint="default" w:ascii="Times New Roman" w:hAnsi="Times New Roman" w:cs="Times New Roman"/>
                      <w:color w:val="000000" w:themeColor="text1"/>
                      <w:sz w:val="21"/>
                      <w:szCs w:val="21"/>
                      <w14:textFill>
                        <w14:solidFill>
                          <w14:schemeClr w14:val="tx1"/>
                        </w14:solidFill>
                      </w14:textFill>
                    </w:rPr>
                    <w:t>米</w:t>
                  </w:r>
                  <w:r>
                    <w:rPr>
                      <w:rFonts w:hint="default" w:ascii="Times New Roman" w:hAnsi="Times New Roman" w:cs="Times New Roman"/>
                      <w:color w:val="000000" w:themeColor="text1"/>
                      <w:sz w:val="21"/>
                      <w:szCs w:val="21"/>
                      <w:lang w:val="en-US" w:eastAsia="zh-CN"/>
                      <w14:textFill>
                        <w14:solidFill>
                          <w14:schemeClr w14:val="tx1"/>
                        </w14:solidFill>
                      </w14:textFill>
                    </w:rPr>
                    <w:t>以</w:t>
                  </w:r>
                  <w:r>
                    <w:rPr>
                      <w:rFonts w:hint="default" w:ascii="Times New Roman" w:hAnsi="Times New Roman" w:cs="Times New Roman"/>
                      <w:color w:val="000000" w:themeColor="text1"/>
                      <w:sz w:val="21"/>
                      <w:szCs w:val="21"/>
                      <w14:textFill>
                        <w14:solidFill>
                          <w14:schemeClr w14:val="tx1"/>
                        </w14:solidFill>
                      </w14:textFill>
                    </w:rPr>
                    <w:t>下须做地下卷材防水，防水卷材选用三元乙丙。</w:t>
                  </w:r>
                </w:p>
              </w:tc>
            </w:tr>
          </w:tbl>
          <w:p w14:paraId="3AC21C7A">
            <w:pPr>
              <w:spacing w:line="360" w:lineRule="auto"/>
              <w:ind w:firstLine="480" w:firstLineChars="200"/>
              <w:rPr>
                <w:rFonts w:hint="eastAsia" w:ascii="Times New Roman" w:hAnsi="Times New Roman" w:eastAsia="宋体" w:cs="Times New Roman"/>
                <w:color w:val="auto"/>
                <w:sz w:val="24"/>
              </w:rPr>
            </w:pPr>
            <w:r>
              <w:rPr>
                <w:rFonts w:hint="eastAsia"/>
                <w:sz w:val="24"/>
              </w:rPr>
              <w:t>由</w:t>
            </w:r>
            <w:r>
              <w:rPr>
                <w:rFonts w:hint="eastAsia"/>
                <w:sz w:val="24"/>
                <w:lang w:val="en-US" w:eastAsia="zh-CN"/>
              </w:rPr>
              <w:t>所依托项目</w:t>
            </w:r>
            <w:r>
              <w:rPr>
                <w:rFonts w:hint="eastAsia"/>
                <w:sz w:val="24"/>
              </w:rPr>
              <w:t>分区防控措施来看，</w:t>
            </w:r>
            <w:r>
              <w:rPr>
                <w:rFonts w:hint="eastAsia"/>
                <w:sz w:val="24"/>
                <w:lang w:val="en-US" w:eastAsia="zh-CN"/>
              </w:rPr>
              <w:t>所依托项目</w:t>
            </w:r>
            <w:r>
              <w:rPr>
                <w:rFonts w:hint="eastAsia"/>
                <w:sz w:val="24"/>
              </w:rPr>
              <w:t>厂房已根据区域风险做防渗处理。</w:t>
            </w:r>
            <w:r>
              <w:rPr>
                <w:rFonts w:hint="eastAsia"/>
                <w:sz w:val="24"/>
                <w:lang w:val="en-US" w:eastAsia="zh-CN"/>
              </w:rPr>
              <w:t>故</w:t>
            </w:r>
            <w:r>
              <w:rPr>
                <w:rFonts w:hint="eastAsia" w:ascii="Times New Roman" w:hAnsi="Times New Roman" w:eastAsia="宋体" w:cs="Times New Roman"/>
                <w:color w:val="auto"/>
                <w:sz w:val="24"/>
                <w:lang w:val="en-US" w:eastAsia="zh-CN"/>
              </w:rPr>
              <w:t>本项目在加强维护和厂区环境管理的前提下，可有效控制项目产生的污染物下渗现象，避免污染地下水和土壤，因此项目不会对区域地下水、土壤环境产生明显影响。</w:t>
            </w:r>
          </w:p>
          <w:p w14:paraId="7FEFB744">
            <w:pPr>
              <w:spacing w:line="360" w:lineRule="auto"/>
              <w:ind w:firstLine="480" w:firstLineChars="200"/>
              <w:rPr>
                <w:sz w:val="24"/>
              </w:rPr>
            </w:pPr>
            <w:r>
              <w:rPr>
                <w:sz w:val="24"/>
              </w:rPr>
              <w:t>3）地下水及土壤污染监控</w:t>
            </w:r>
          </w:p>
          <w:p w14:paraId="2BAB0347">
            <w:pPr>
              <w:spacing w:line="360" w:lineRule="auto"/>
              <w:ind w:firstLine="480" w:firstLineChars="200"/>
              <w:rPr>
                <w:sz w:val="24"/>
              </w:rPr>
            </w:pPr>
            <w:r>
              <w:rPr>
                <w:sz w:val="24"/>
              </w:rPr>
              <w:t>根据《环境影响评价技术导则 地下水环境》（HJ610-2016），项目为Ⅳ类建设项目，故本项目可不开展地下水环境质量跟踪监测；根据《环境影响评价技术导则 土壤环境（试行）》（HJ964-2018），项目为Ⅳ类建设项目，故本项目可不开展土壤环境质量跟踪监测。</w:t>
            </w:r>
          </w:p>
          <w:p w14:paraId="206B57F0">
            <w:pPr>
              <w:spacing w:line="360" w:lineRule="auto"/>
              <w:ind w:firstLine="480" w:firstLineChars="200"/>
              <w:rPr>
                <w:sz w:val="24"/>
              </w:rPr>
            </w:pPr>
            <w:r>
              <w:rPr>
                <w:sz w:val="24"/>
              </w:rPr>
              <w:t>鉴于项目不以地下水作为供水水源，采取上述措施后，预计项目的建设对周围地下水环境影响不大，对土壤环境的影响也较小。</w:t>
            </w:r>
          </w:p>
          <w:p w14:paraId="21ED2905">
            <w:pPr>
              <w:spacing w:line="360" w:lineRule="auto"/>
              <w:ind w:firstLine="482" w:firstLineChars="200"/>
              <w:rPr>
                <w:b/>
                <w:bCs/>
                <w:sz w:val="24"/>
              </w:rPr>
            </w:pPr>
            <w:r>
              <w:rPr>
                <w:rFonts w:hint="eastAsia"/>
                <w:b/>
                <w:bCs/>
                <w:sz w:val="24"/>
                <w:lang w:val="en-US" w:eastAsia="zh-CN"/>
              </w:rPr>
              <w:t>六</w:t>
            </w:r>
            <w:r>
              <w:rPr>
                <w:b/>
                <w:bCs/>
                <w:sz w:val="24"/>
              </w:rPr>
              <w:t>、环境管理</w:t>
            </w:r>
          </w:p>
          <w:p w14:paraId="7472AE95">
            <w:pPr>
              <w:keepNext w:val="0"/>
              <w:keepLines w:val="0"/>
              <w:suppressLineNumbers w:val="0"/>
              <w:topLinePunct/>
              <w:spacing w:before="0" w:beforeAutospacing="0" w:after="0" w:afterAutospacing="0" w:line="360" w:lineRule="auto"/>
              <w:ind w:left="0" w:right="0" w:firstLine="480" w:firstLineChars="200"/>
              <w:textAlignment w:val="baseline"/>
              <w:rPr>
                <w:rFonts w:hint="eastAsia" w:ascii="宋体" w:hAnsi="宋体" w:cs="宋体"/>
                <w:color w:val="auto"/>
                <w:sz w:val="24"/>
                <w:szCs w:val="24"/>
              </w:rPr>
            </w:pPr>
            <w:r>
              <w:rPr>
                <w:rFonts w:hint="eastAsia" w:ascii="宋体" w:hAnsi="宋体" w:cs="宋体"/>
                <w:color w:val="auto"/>
                <w:sz w:val="24"/>
                <w:szCs w:val="24"/>
              </w:rPr>
              <w:t>环境风险评价应以突发性事故导致的危险物质环境急性损害防控为目标，对建设项目的环境风险进行分析、预测和评估，提出环境风险预防、控制、减缓措施，明确环境风险监控及应急建议要求，为建设项目环境风险防控提供科学依据。</w:t>
            </w:r>
          </w:p>
          <w:p w14:paraId="0E9103B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val="0"/>
                <w:bCs w:val="0"/>
                <w:color w:val="auto"/>
                <w:sz w:val="24"/>
                <w:szCs w:val="24"/>
                <w:lang w:val="en-US" w:eastAsia="zh-CN"/>
              </w:rPr>
              <w:t>本项目</w:t>
            </w:r>
            <w:r>
              <w:rPr>
                <w:rFonts w:hint="eastAsia" w:ascii="Times New Roman" w:hAnsi="Times New Roman" w:eastAsia="宋体" w:cs="Times New Roman"/>
                <w:b w:val="0"/>
                <w:bCs w:val="0"/>
                <w:color w:val="auto"/>
                <w:sz w:val="24"/>
                <w:szCs w:val="24"/>
                <w:lang w:val="en-US" w:eastAsia="zh-CN"/>
              </w:rPr>
              <w:t>为锅炉</w:t>
            </w:r>
            <w:r>
              <w:rPr>
                <w:rFonts w:hint="eastAsia" w:cs="Times New Roman"/>
                <w:b w:val="0"/>
                <w:bCs w:val="0"/>
                <w:color w:val="auto"/>
                <w:sz w:val="24"/>
                <w:szCs w:val="24"/>
                <w:lang w:val="en-US" w:eastAsia="zh-CN"/>
              </w:rPr>
              <w:t>技改</w:t>
            </w:r>
            <w:r>
              <w:rPr>
                <w:rFonts w:hint="eastAsia" w:ascii="Times New Roman" w:hAnsi="Times New Roman" w:eastAsia="宋体" w:cs="Times New Roman"/>
                <w:b w:val="0"/>
                <w:bCs w:val="0"/>
                <w:color w:val="auto"/>
                <w:sz w:val="24"/>
                <w:szCs w:val="24"/>
                <w:lang w:val="en-US" w:eastAsia="zh-CN"/>
              </w:rPr>
              <w:t>项目，原辅料不存在有毒有害和易燃易爆危险物质，不存在重大危险源，风险潜势为</w:t>
            </w:r>
            <w:r>
              <w:rPr>
                <w:rFonts w:hint="default" w:ascii="Times New Roman" w:hAnsi="Times New Roman" w:eastAsia="宋体" w:cs="Times New Roman"/>
                <w:b w:val="0"/>
                <w:bCs w:val="0"/>
                <w:color w:val="auto"/>
                <w:sz w:val="24"/>
                <w:szCs w:val="24"/>
                <w:lang w:val="en-US" w:eastAsia="zh-CN"/>
              </w:rPr>
              <w:t>Ⅰ</w:t>
            </w:r>
            <w:r>
              <w:rPr>
                <w:rFonts w:hint="eastAsia" w:ascii="Times New Roman" w:hAnsi="Times New Roman" w:eastAsia="宋体" w:cs="Times New Roman"/>
                <w:b w:val="0"/>
                <w:bCs w:val="0"/>
                <w:color w:val="auto"/>
                <w:sz w:val="24"/>
                <w:szCs w:val="24"/>
                <w:lang w:val="en-US" w:eastAsia="zh-CN"/>
              </w:rPr>
              <w:t>，环境风险评价工作为简单分析。</w:t>
            </w:r>
          </w:p>
          <w:p w14:paraId="0C3861C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b w:val="0"/>
                <w:bCs w:val="0"/>
                <w:color w:val="auto"/>
                <w:sz w:val="24"/>
                <w:szCs w:val="24"/>
                <w:lang w:val="en-US" w:eastAsia="zh-CN"/>
              </w:rPr>
            </w:pPr>
            <w:r>
              <w:rPr>
                <w:rFonts w:hint="eastAsia" w:ascii="Times New Roman" w:hAnsi="Times New Roman" w:eastAsia="宋体" w:cs="Times New Roman"/>
                <w:b w:val="0"/>
                <w:bCs w:val="0"/>
                <w:color w:val="auto"/>
                <w:sz w:val="24"/>
                <w:szCs w:val="24"/>
                <w:lang w:val="en-US" w:eastAsia="zh-CN"/>
              </w:rPr>
              <w:t>本项目主要环境风险为废气事故</w:t>
            </w:r>
            <w:r>
              <w:rPr>
                <w:rFonts w:hint="eastAsia" w:cs="Times New Roman"/>
                <w:b w:val="0"/>
                <w:bCs w:val="0"/>
                <w:color w:val="auto"/>
                <w:sz w:val="24"/>
                <w:szCs w:val="24"/>
                <w:lang w:val="en-US" w:eastAsia="zh-CN"/>
              </w:rPr>
              <w:t>泄漏</w:t>
            </w:r>
            <w:r>
              <w:rPr>
                <w:rFonts w:hint="eastAsia" w:ascii="Times New Roman" w:hAnsi="Times New Roman" w:eastAsia="宋体" w:cs="Times New Roman"/>
                <w:b w:val="0"/>
                <w:bCs w:val="0"/>
                <w:color w:val="auto"/>
                <w:sz w:val="24"/>
                <w:szCs w:val="24"/>
                <w:lang w:val="en-US" w:eastAsia="zh-CN"/>
              </w:rPr>
              <w:t>风险，污水处理设施损坏导致废水泄漏、操作不当引起的火灾爆炸。</w:t>
            </w:r>
          </w:p>
          <w:p w14:paraId="225D539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b w:val="0"/>
                <w:bCs w:val="0"/>
                <w:color w:val="auto"/>
                <w:sz w:val="24"/>
                <w:szCs w:val="24"/>
                <w:lang w:val="en-US" w:eastAsia="zh-CN"/>
              </w:rPr>
            </w:pPr>
            <w:r>
              <w:rPr>
                <w:rFonts w:hint="eastAsia" w:ascii="Times New Roman" w:hAnsi="Times New Roman" w:eastAsia="宋体" w:cs="Times New Roman"/>
                <w:b w:val="0"/>
                <w:bCs w:val="0"/>
                <w:color w:val="auto"/>
                <w:sz w:val="24"/>
                <w:szCs w:val="24"/>
                <w:lang w:val="en-US" w:eastAsia="zh-CN"/>
              </w:rPr>
              <w:t>建设单位可采取预防措施：</w:t>
            </w:r>
          </w:p>
          <w:p w14:paraId="7D6A9DD5">
            <w:pPr>
              <w:keepNext w:val="0"/>
              <w:keepLines w:val="0"/>
              <w:suppressLineNumbers w:val="0"/>
              <w:bidi w:val="0"/>
              <w:spacing w:before="0" w:beforeAutospacing="0" w:after="0" w:afterAutospacing="0" w:line="360" w:lineRule="auto"/>
              <w:ind w:left="0" w:right="0" w:firstLine="482" w:firstLineChars="200"/>
              <w:rPr>
                <w:rFonts w:hint="eastAsia"/>
                <w:b/>
                <w:bCs/>
                <w:color w:val="auto"/>
                <w:sz w:val="24"/>
                <w:szCs w:val="24"/>
                <w:lang w:eastAsia="zh-CN"/>
              </w:rPr>
            </w:pPr>
            <w:r>
              <w:rPr>
                <w:rFonts w:hint="eastAsia"/>
                <w:b/>
                <w:bCs/>
                <w:color w:val="auto"/>
                <w:sz w:val="24"/>
                <w:szCs w:val="24"/>
                <w:lang w:eastAsia="zh-CN"/>
              </w:rPr>
              <w:t>（</w:t>
            </w:r>
            <w:r>
              <w:rPr>
                <w:rFonts w:hint="eastAsia"/>
                <w:b/>
                <w:bCs/>
                <w:color w:val="auto"/>
                <w:sz w:val="24"/>
                <w:szCs w:val="24"/>
                <w:lang w:val="en-US" w:eastAsia="zh-CN"/>
              </w:rPr>
              <w:t>1</w:t>
            </w:r>
            <w:r>
              <w:rPr>
                <w:rFonts w:hint="eastAsia"/>
                <w:b/>
                <w:bCs/>
                <w:color w:val="auto"/>
                <w:sz w:val="24"/>
                <w:szCs w:val="24"/>
                <w:lang w:eastAsia="zh-CN"/>
              </w:rPr>
              <w:t>）废气处理系统失效防范措施</w:t>
            </w:r>
          </w:p>
          <w:p w14:paraId="5CD0BC88">
            <w:pPr>
              <w:keepNext w:val="0"/>
              <w:keepLines w:val="0"/>
              <w:suppressLineNumbers w:val="0"/>
              <w:bidi w:val="0"/>
              <w:spacing w:before="0" w:beforeAutospacing="0" w:after="0" w:afterAutospacing="0" w:line="360" w:lineRule="auto"/>
              <w:ind w:left="0" w:right="0" w:firstLine="480" w:firstLineChars="200"/>
              <w:rPr>
                <w:rFonts w:hint="eastAsia"/>
                <w:color w:val="auto"/>
                <w:sz w:val="24"/>
                <w:szCs w:val="24"/>
              </w:rPr>
            </w:pPr>
            <w:r>
              <w:rPr>
                <w:rFonts w:hint="eastAsia"/>
                <w:color w:val="auto"/>
                <w:sz w:val="24"/>
                <w:szCs w:val="24"/>
              </w:rPr>
              <w:t>1</w:t>
            </w:r>
            <w:r>
              <w:rPr>
                <w:rFonts w:hint="eastAsia"/>
                <w:color w:val="auto"/>
                <w:sz w:val="24"/>
                <w:szCs w:val="24"/>
                <w:lang w:eastAsia="zh-CN"/>
              </w:rPr>
              <w:t>）</w:t>
            </w:r>
            <w:r>
              <w:rPr>
                <w:rFonts w:hint="eastAsia"/>
                <w:color w:val="auto"/>
                <w:sz w:val="24"/>
                <w:szCs w:val="24"/>
              </w:rPr>
              <w:t>减少废气事故排放风险对策</w:t>
            </w:r>
          </w:p>
          <w:p w14:paraId="084832A1">
            <w:pPr>
              <w:keepNext w:val="0"/>
              <w:keepLines w:val="0"/>
              <w:suppressLineNumbers w:val="0"/>
              <w:bidi w:val="0"/>
              <w:spacing w:before="0" w:beforeAutospacing="0" w:after="0" w:afterAutospacing="0" w:line="360" w:lineRule="auto"/>
              <w:ind w:left="0" w:right="0" w:firstLine="480" w:firstLineChars="200"/>
              <w:rPr>
                <w:rFonts w:hint="eastAsia"/>
                <w:color w:val="auto"/>
                <w:sz w:val="24"/>
                <w:szCs w:val="24"/>
              </w:rPr>
            </w:pPr>
            <w:r>
              <w:rPr>
                <w:rFonts w:hint="eastAsia"/>
                <w:color w:val="auto"/>
                <w:sz w:val="24"/>
                <w:szCs w:val="24"/>
              </w:rPr>
              <w:t>①由专人负责日常环境管理工作，制订“环保管理人员职责”和“环境污染防治措施”制度，加强</w:t>
            </w:r>
            <w:r>
              <w:rPr>
                <w:rFonts w:hint="eastAsia"/>
                <w:color w:val="auto"/>
                <w:sz w:val="24"/>
                <w:szCs w:val="24"/>
                <w:lang w:val="en-US" w:eastAsia="zh-CN"/>
              </w:rPr>
              <w:t>对</w:t>
            </w:r>
            <w:r>
              <w:rPr>
                <w:rFonts w:hint="eastAsia"/>
                <w:color w:val="auto"/>
                <w:sz w:val="24"/>
                <w:szCs w:val="24"/>
              </w:rPr>
              <w:t>废气治理设施的监督和管理。对操作人员进行岗位培训，严格按操作规程进行操作，严禁违章作业 。</w:t>
            </w:r>
          </w:p>
          <w:p w14:paraId="4F96E7C6">
            <w:pPr>
              <w:keepNext w:val="0"/>
              <w:keepLines w:val="0"/>
              <w:suppressLineNumbers w:val="0"/>
              <w:bidi w:val="0"/>
              <w:spacing w:before="0" w:beforeAutospacing="0" w:after="0" w:afterAutospacing="0" w:line="360" w:lineRule="auto"/>
              <w:ind w:left="0" w:right="0" w:firstLine="480" w:firstLineChars="200"/>
              <w:rPr>
                <w:rFonts w:hint="eastAsia"/>
                <w:color w:val="auto"/>
                <w:sz w:val="24"/>
                <w:szCs w:val="24"/>
              </w:rPr>
            </w:pPr>
            <w:r>
              <w:rPr>
                <w:rFonts w:hint="eastAsia"/>
                <w:color w:val="auto"/>
                <w:sz w:val="24"/>
                <w:szCs w:val="24"/>
              </w:rPr>
              <w:t>②加强废气处理设施及设备的定期检修和维护工作，发现事故隐患，及时解决。</w:t>
            </w:r>
          </w:p>
          <w:p w14:paraId="2BAE40E9">
            <w:pPr>
              <w:keepNext w:val="0"/>
              <w:keepLines w:val="0"/>
              <w:suppressLineNumbers w:val="0"/>
              <w:bidi w:val="0"/>
              <w:spacing w:before="0" w:beforeAutospacing="0" w:after="0" w:afterAutospacing="0" w:line="360" w:lineRule="auto"/>
              <w:ind w:left="0" w:right="0" w:firstLine="480" w:firstLineChars="200"/>
              <w:rPr>
                <w:rFonts w:hint="eastAsia"/>
                <w:color w:val="auto"/>
                <w:sz w:val="24"/>
                <w:szCs w:val="24"/>
              </w:rPr>
            </w:pPr>
            <w:r>
              <w:rPr>
                <w:rFonts w:hint="eastAsia"/>
                <w:color w:val="auto"/>
                <w:sz w:val="24"/>
                <w:szCs w:val="24"/>
              </w:rPr>
              <w:t>③严格控制设备及其安装质量：对设备、管线、泵、阀等定期检、保、修；设备及电</w:t>
            </w:r>
            <w:r>
              <w:rPr>
                <w:rFonts w:hint="eastAsia"/>
                <w:color w:val="auto"/>
                <w:sz w:val="24"/>
                <w:szCs w:val="24"/>
                <w:lang w:eastAsia="zh-CN"/>
              </w:rPr>
              <w:t>器</w:t>
            </w:r>
            <w:r>
              <w:rPr>
                <w:rFonts w:hint="eastAsia"/>
                <w:color w:val="auto"/>
                <w:sz w:val="24"/>
                <w:szCs w:val="24"/>
              </w:rPr>
              <w:t xml:space="preserve">按规范和标准安装，定期检修，保证完好状态。 </w:t>
            </w:r>
          </w:p>
          <w:p w14:paraId="01C46AD4">
            <w:pPr>
              <w:keepNext w:val="0"/>
              <w:keepLines w:val="0"/>
              <w:suppressLineNumbers w:val="0"/>
              <w:bidi w:val="0"/>
              <w:spacing w:before="0" w:beforeAutospacing="0" w:after="0" w:afterAutospacing="0" w:line="360" w:lineRule="auto"/>
              <w:ind w:left="0" w:right="0" w:firstLine="480" w:firstLineChars="200"/>
              <w:rPr>
                <w:rFonts w:hint="eastAsia"/>
                <w:color w:val="auto"/>
                <w:sz w:val="24"/>
                <w:szCs w:val="24"/>
              </w:rPr>
            </w:pPr>
            <w:r>
              <w:rPr>
                <w:rFonts w:hint="eastAsia"/>
                <w:color w:val="auto"/>
                <w:sz w:val="24"/>
                <w:szCs w:val="24"/>
              </w:rPr>
              <w:t>2）减少废气事故排放的措施</w:t>
            </w:r>
          </w:p>
          <w:p w14:paraId="6066952B">
            <w:pPr>
              <w:keepNext w:val="0"/>
              <w:keepLines w:val="0"/>
              <w:suppressLineNumbers w:val="0"/>
              <w:bidi w:val="0"/>
              <w:spacing w:before="0" w:beforeAutospacing="0" w:after="0" w:afterAutospacing="0" w:line="360" w:lineRule="auto"/>
              <w:ind w:left="0" w:right="0" w:firstLine="480" w:firstLineChars="200"/>
              <w:rPr>
                <w:rFonts w:hint="eastAsia"/>
                <w:color w:val="auto"/>
                <w:sz w:val="24"/>
                <w:szCs w:val="24"/>
                <w:lang w:eastAsia="zh-CN"/>
              </w:rPr>
            </w:pPr>
            <w:r>
              <w:rPr>
                <w:rFonts w:hint="eastAsia"/>
                <w:color w:val="auto"/>
                <w:sz w:val="24"/>
                <w:szCs w:val="24"/>
              </w:rPr>
              <w:t>在生产过程中加强对</w:t>
            </w:r>
            <w:r>
              <w:rPr>
                <w:rFonts w:hint="eastAsia"/>
                <w:color w:val="auto"/>
                <w:sz w:val="24"/>
                <w:szCs w:val="24"/>
                <w:lang w:eastAsia="zh-CN"/>
              </w:rPr>
              <w:t>废气处理装置</w:t>
            </w:r>
            <w:r>
              <w:rPr>
                <w:rFonts w:hint="eastAsia"/>
                <w:color w:val="auto"/>
                <w:sz w:val="24"/>
                <w:szCs w:val="24"/>
              </w:rPr>
              <w:t>的检修工作，确保其正常运行。在发生故障的情况下，尽可能减少更换时间，减轻事故排放对环境的影响。</w:t>
            </w:r>
            <w:r>
              <w:rPr>
                <w:rFonts w:hint="eastAsia"/>
                <w:color w:val="auto"/>
                <w:sz w:val="24"/>
                <w:szCs w:val="24"/>
                <w:lang w:eastAsia="zh-CN"/>
              </w:rPr>
              <w:t>一旦发现异常，立马停工检修。</w:t>
            </w:r>
          </w:p>
          <w:p w14:paraId="5CF08BDB">
            <w:pPr>
              <w:keepNext w:val="0"/>
              <w:keepLines w:val="0"/>
              <w:suppressLineNumbers w:val="0"/>
              <w:bidi w:val="0"/>
              <w:spacing w:before="0" w:beforeAutospacing="0" w:after="0" w:afterAutospacing="0" w:line="360" w:lineRule="auto"/>
              <w:ind w:left="0" w:right="0" w:firstLine="482" w:firstLineChars="200"/>
              <w:rPr>
                <w:rFonts w:hint="eastAsia" w:ascii="Times New Roman" w:hAnsi="Times New Roman" w:eastAsia="宋体"/>
                <w:b/>
                <w:bCs/>
                <w:color w:val="auto"/>
                <w:sz w:val="24"/>
                <w:szCs w:val="24"/>
                <w:lang w:val="en-US" w:eastAsia="zh-CN"/>
              </w:rPr>
            </w:pPr>
            <w:r>
              <w:rPr>
                <w:rFonts w:hint="eastAsia" w:ascii="Times New Roman" w:hAnsi="Times New Roman" w:eastAsia="宋体"/>
                <w:b/>
                <w:bCs/>
                <w:color w:val="auto"/>
                <w:sz w:val="24"/>
                <w:szCs w:val="24"/>
                <w:lang w:val="en-US" w:eastAsia="zh-CN"/>
              </w:rPr>
              <w:t>（2）废水处理设施失效防范措施</w:t>
            </w:r>
          </w:p>
          <w:p w14:paraId="66071C04">
            <w:pPr>
              <w:keepNext w:val="0"/>
              <w:keepLines w:val="0"/>
              <w:suppressLineNumbers w:val="0"/>
              <w:bidi w:val="0"/>
              <w:spacing w:before="0" w:beforeAutospacing="0" w:after="0" w:afterAutospacing="0" w:line="360" w:lineRule="auto"/>
              <w:ind w:left="0" w:right="0" w:firstLine="480" w:firstLineChars="200"/>
              <w:rPr>
                <w:rFonts w:hint="default"/>
                <w:color w:val="auto"/>
                <w:sz w:val="24"/>
                <w:szCs w:val="24"/>
                <w:lang w:val="en-US" w:eastAsia="zh-CN"/>
              </w:rPr>
            </w:pPr>
            <w:r>
              <w:rPr>
                <w:rFonts w:hint="eastAsia" w:ascii="Times New Roman" w:hAnsi="Times New Roman" w:eastAsia="宋体"/>
                <w:color w:val="auto"/>
                <w:sz w:val="24"/>
                <w:szCs w:val="24"/>
                <w:lang w:val="en-US" w:eastAsia="zh-CN"/>
              </w:rPr>
              <w:t>废水泄漏主要为处理设备、输送管道等破损，导致超标废水泄漏，经雨水管道流至外环境，对外界水体造成污染影响，若发生该类事故，应停止前端废水输送，利用应急沙等对泄漏废水进行吸附，同时通知设计施工单位对破损位置进行维修。</w:t>
            </w:r>
          </w:p>
          <w:p w14:paraId="616562A5">
            <w:pPr>
              <w:keepNext w:val="0"/>
              <w:keepLines w:val="0"/>
              <w:suppressLineNumbers w:val="0"/>
              <w:bidi w:val="0"/>
              <w:spacing w:before="0" w:beforeAutospacing="0" w:after="0" w:afterAutospacing="0" w:line="360" w:lineRule="auto"/>
              <w:ind w:left="0" w:right="0" w:firstLine="482" w:firstLineChars="200"/>
              <w:rPr>
                <w:rFonts w:hint="eastAsia" w:ascii="宋体" w:hAnsi="宋体" w:eastAsia="宋体" w:cs="宋体"/>
                <w:b/>
                <w:bCs/>
                <w:color w:val="auto"/>
                <w:sz w:val="24"/>
                <w:szCs w:val="24"/>
                <w:highlight w:val="none"/>
                <w:lang w:eastAsia="zh-CN"/>
              </w:rPr>
            </w:pPr>
            <w:r>
              <w:rPr>
                <w:rFonts w:hint="eastAsia"/>
                <w:b/>
                <w:bCs/>
                <w:color w:val="auto"/>
                <w:sz w:val="24"/>
                <w:szCs w:val="24"/>
                <w:lang w:eastAsia="zh-CN"/>
              </w:rPr>
              <w:t>（</w:t>
            </w:r>
            <w:r>
              <w:rPr>
                <w:rFonts w:hint="eastAsia"/>
                <w:b/>
                <w:bCs/>
                <w:color w:val="auto"/>
                <w:sz w:val="24"/>
                <w:szCs w:val="24"/>
                <w:lang w:val="en-US" w:eastAsia="zh-CN"/>
              </w:rPr>
              <w:t>3</w:t>
            </w:r>
            <w:r>
              <w:rPr>
                <w:rFonts w:hint="eastAsia"/>
                <w:b/>
                <w:bCs/>
                <w:color w:val="auto"/>
                <w:sz w:val="24"/>
                <w:szCs w:val="24"/>
                <w:lang w:eastAsia="zh-CN"/>
              </w:rPr>
              <w:t>）</w:t>
            </w:r>
            <w:r>
              <w:rPr>
                <w:rFonts w:hint="eastAsia"/>
                <w:b/>
                <w:bCs/>
                <w:color w:val="auto"/>
                <w:sz w:val="24"/>
                <w:szCs w:val="24"/>
              </w:rPr>
              <w:t>发生火灾事故应采取以下措施</w:t>
            </w:r>
            <w:r>
              <w:rPr>
                <w:rFonts w:hint="eastAsia"/>
                <w:b/>
                <w:bCs/>
                <w:color w:val="auto"/>
                <w:sz w:val="24"/>
                <w:szCs w:val="24"/>
                <w:lang w:eastAsia="zh-CN"/>
              </w:rPr>
              <w:t>：</w:t>
            </w:r>
          </w:p>
          <w:p w14:paraId="5A67C526">
            <w:pPr>
              <w:keepNext w:val="0"/>
              <w:keepLines w:val="0"/>
              <w:suppressLineNumbers w:val="0"/>
              <w:bidi w:val="0"/>
              <w:spacing w:before="0" w:beforeAutospacing="0" w:after="0" w:afterAutospacing="0" w:line="360" w:lineRule="auto"/>
              <w:ind w:left="0" w:right="0" w:firstLine="480" w:firstLineChars="200"/>
              <w:rPr>
                <w:rFonts w:hint="eastAsia"/>
                <w:color w:val="auto"/>
                <w:sz w:val="24"/>
                <w:szCs w:val="24"/>
              </w:rPr>
            </w:pPr>
            <w:r>
              <w:rPr>
                <w:rFonts w:hint="eastAsia"/>
                <w:color w:val="auto"/>
                <w:sz w:val="24"/>
                <w:szCs w:val="24"/>
              </w:rPr>
              <w:t>①当发现火情时，应争分夺秒，利用着火点附近的灭火器材、黄沙等应急物资，奋力将小火控制、扑灭。当火灾较小，而身边无灭火器材时，可用扫帚、拖把、衣服等工具，打灭小火。</w:t>
            </w:r>
          </w:p>
          <w:p w14:paraId="42161B6E">
            <w:pPr>
              <w:keepNext w:val="0"/>
              <w:keepLines w:val="0"/>
              <w:suppressLineNumbers w:val="0"/>
              <w:bidi w:val="0"/>
              <w:spacing w:before="0" w:beforeAutospacing="0" w:after="0" w:afterAutospacing="0" w:line="360" w:lineRule="auto"/>
              <w:ind w:left="0" w:right="0" w:firstLine="480" w:firstLineChars="200"/>
              <w:rPr>
                <w:rFonts w:hint="eastAsia"/>
                <w:color w:val="auto"/>
                <w:sz w:val="24"/>
                <w:szCs w:val="24"/>
              </w:rPr>
            </w:pPr>
            <w:r>
              <w:rPr>
                <w:rFonts w:hint="eastAsia"/>
                <w:color w:val="auto"/>
                <w:sz w:val="24"/>
                <w:szCs w:val="24"/>
              </w:rPr>
              <w:t>②当火灾无法小范围扑灭，并有蔓延的趋势时，应及时启动消防应急救援，打开消防栓，对易燃品存放区实施消防水灭火。当火势有无法控制趋势时，并蔓延到其它区域工段或企业时及时拨打消防救援电话。</w:t>
            </w:r>
          </w:p>
          <w:p w14:paraId="5CEA2C9F">
            <w:pPr>
              <w:keepNext w:val="0"/>
              <w:keepLines w:val="0"/>
              <w:suppressLineNumbers w:val="0"/>
              <w:bidi w:val="0"/>
              <w:spacing w:before="0" w:beforeAutospacing="0" w:after="0" w:afterAutospacing="0" w:line="360" w:lineRule="auto"/>
              <w:ind w:left="0" w:right="0" w:firstLine="480" w:firstLineChars="200"/>
              <w:rPr>
                <w:rFonts w:hint="eastAsia"/>
                <w:color w:val="auto"/>
                <w:sz w:val="24"/>
                <w:szCs w:val="24"/>
              </w:rPr>
            </w:pPr>
            <w:r>
              <w:rPr>
                <w:rFonts w:hint="eastAsia"/>
                <w:color w:val="auto"/>
                <w:sz w:val="24"/>
                <w:szCs w:val="24"/>
              </w:rPr>
              <w:t>③遇着火点离临近周边企业较近，有可能影响周边企业厂内职工时，告知</w:t>
            </w:r>
            <w:r>
              <w:rPr>
                <w:rFonts w:hint="eastAsia"/>
                <w:color w:val="auto"/>
                <w:sz w:val="24"/>
                <w:szCs w:val="24"/>
                <w:lang w:eastAsia="zh-CN"/>
              </w:rPr>
              <w:t>做好</w:t>
            </w:r>
            <w:r>
              <w:rPr>
                <w:rFonts w:hint="eastAsia"/>
                <w:color w:val="auto"/>
                <w:sz w:val="24"/>
                <w:szCs w:val="24"/>
              </w:rPr>
              <w:t>相应的防范准备；如若周边企业尚有人员，可与这些企业达成协议，借助其他公司应急资源共同灭火。</w:t>
            </w:r>
          </w:p>
          <w:p w14:paraId="3FFDA3D6">
            <w:pPr>
              <w:keepNext w:val="0"/>
              <w:keepLines w:val="0"/>
              <w:suppressLineNumbers w:val="0"/>
              <w:bidi w:val="0"/>
              <w:spacing w:before="0" w:beforeAutospacing="0" w:after="0" w:afterAutospacing="0" w:line="360" w:lineRule="auto"/>
              <w:ind w:left="0" w:right="0" w:firstLine="480" w:firstLineChars="200"/>
              <w:rPr>
                <w:rFonts w:hint="eastAsia"/>
                <w:color w:val="auto"/>
                <w:sz w:val="24"/>
                <w:szCs w:val="24"/>
              </w:rPr>
            </w:pPr>
            <w:r>
              <w:rPr>
                <w:rFonts w:hint="eastAsia"/>
                <w:color w:val="auto"/>
                <w:sz w:val="24"/>
                <w:szCs w:val="24"/>
              </w:rPr>
              <w:t>④当火灾引燃厂房或其他物质，产生大量刺鼻的浓烟，应急救援队伍应根据浓烟扩散的方向，及时通知下风向的村庄及企业按照事先设定的相关风向条件下的撤离路线撤离至安全地点。</w:t>
            </w:r>
          </w:p>
          <w:p w14:paraId="52DD4021">
            <w:pPr>
              <w:keepNext w:val="0"/>
              <w:keepLines w:val="0"/>
              <w:suppressLineNumbers w:val="0"/>
              <w:bidi w:val="0"/>
              <w:spacing w:before="0" w:beforeAutospacing="0" w:after="0" w:afterAutospacing="0" w:line="360" w:lineRule="auto"/>
              <w:ind w:left="0" w:right="0" w:firstLine="480" w:firstLineChars="200"/>
              <w:rPr>
                <w:rFonts w:hint="eastAsia"/>
                <w:color w:val="auto"/>
                <w:sz w:val="24"/>
                <w:szCs w:val="24"/>
              </w:rPr>
            </w:pPr>
            <w:r>
              <w:rPr>
                <w:rFonts w:hint="eastAsia"/>
                <w:color w:val="auto"/>
                <w:sz w:val="24"/>
                <w:szCs w:val="24"/>
              </w:rPr>
              <w:t>⑤火灾条件下的应急监测应包含CO监测项，通过对下风向不同距离CO浓度的实时监测，</w:t>
            </w:r>
            <w:r>
              <w:rPr>
                <w:rFonts w:hint="eastAsia"/>
                <w:color w:val="auto"/>
                <w:sz w:val="24"/>
                <w:szCs w:val="24"/>
                <w:lang w:eastAsia="zh-CN"/>
              </w:rPr>
              <w:t>应急指挥中心</w:t>
            </w:r>
            <w:r>
              <w:rPr>
                <w:rFonts w:hint="eastAsia"/>
                <w:color w:val="auto"/>
                <w:sz w:val="24"/>
                <w:szCs w:val="24"/>
              </w:rPr>
              <w:t>实时参考，有助于现场救援的指挥。</w:t>
            </w:r>
          </w:p>
          <w:p w14:paraId="4AE215FE">
            <w:pPr>
              <w:keepNext w:val="0"/>
              <w:keepLines w:val="0"/>
              <w:suppressLineNumbers w:val="0"/>
              <w:bidi w:val="0"/>
              <w:spacing w:before="0" w:beforeAutospacing="0" w:after="0" w:afterAutospacing="0" w:line="360" w:lineRule="auto"/>
              <w:ind w:left="0" w:right="0" w:firstLine="480" w:firstLineChars="200"/>
              <w:rPr>
                <w:rFonts w:hint="eastAsia"/>
                <w:color w:val="auto"/>
                <w:sz w:val="24"/>
                <w:szCs w:val="24"/>
              </w:rPr>
            </w:pPr>
            <w:r>
              <w:rPr>
                <w:rFonts w:hint="eastAsia"/>
                <w:color w:val="auto"/>
                <w:sz w:val="24"/>
                <w:szCs w:val="24"/>
              </w:rPr>
              <w:t>⑥紧急撤离</w:t>
            </w:r>
          </w:p>
          <w:p w14:paraId="515F8B60">
            <w:pPr>
              <w:keepNext w:val="0"/>
              <w:keepLines w:val="0"/>
              <w:suppressLineNumbers w:val="0"/>
              <w:bidi w:val="0"/>
              <w:spacing w:before="0" w:beforeAutospacing="0" w:after="0" w:afterAutospacing="0" w:line="360" w:lineRule="auto"/>
              <w:ind w:left="0" w:right="0" w:firstLine="480" w:firstLineChars="200"/>
              <w:rPr>
                <w:rFonts w:hint="eastAsia"/>
                <w:color w:val="auto"/>
                <w:sz w:val="24"/>
                <w:szCs w:val="24"/>
              </w:rPr>
            </w:pPr>
            <w:r>
              <w:rPr>
                <w:rFonts w:hint="eastAsia"/>
                <w:color w:val="auto"/>
                <w:sz w:val="24"/>
                <w:szCs w:val="24"/>
              </w:rPr>
              <w:t>当火灾无法控制，产生大量的浓烟对周围企业员工和村民造成难以预知的影响时，经应急救援指挥中心确认，由现场总指挥下达通知周围敏感点的紧急疏散命令。</w:t>
            </w:r>
          </w:p>
          <w:p w14:paraId="4A4CFFFD">
            <w:pPr>
              <w:keepNext w:val="0"/>
              <w:keepLines w:val="0"/>
              <w:suppressLineNumbers w:val="0"/>
              <w:bidi w:val="0"/>
              <w:spacing w:before="0" w:beforeAutospacing="0" w:after="0" w:afterAutospacing="0" w:line="360" w:lineRule="auto"/>
              <w:ind w:left="0" w:right="0" w:firstLine="480" w:firstLineChars="200"/>
              <w:rPr>
                <w:rFonts w:hint="eastAsia"/>
                <w:color w:val="auto"/>
                <w:sz w:val="24"/>
                <w:szCs w:val="24"/>
              </w:rPr>
            </w:pPr>
            <w:r>
              <w:rPr>
                <w:rFonts w:hint="default"/>
                <w:color w:val="auto"/>
                <w:sz w:val="24"/>
                <w:szCs w:val="24"/>
              </w:rPr>
              <w:t>a</w:t>
            </w:r>
            <w:r>
              <w:rPr>
                <w:rFonts w:hint="eastAsia"/>
                <w:color w:val="auto"/>
                <w:sz w:val="24"/>
                <w:szCs w:val="24"/>
                <w:lang w:eastAsia="zh-CN"/>
              </w:rPr>
              <w:t>.</w:t>
            </w:r>
            <w:r>
              <w:rPr>
                <w:rFonts w:hint="eastAsia"/>
                <w:color w:val="auto"/>
                <w:sz w:val="24"/>
                <w:szCs w:val="24"/>
              </w:rPr>
              <w:t>厂区内人员撤离：当厂区内的火灾无法及时扑灭，火势逐渐扩大的情况下，企业的通讯联络组接到应急救援指挥中心紧急撤离的信号后，及时通过扩音器或广播工具告知厂区内除救援以外人员按照应急疏散路线快速撤离厂区，根据风向标，沿演练的撤离路线撤离至开阔地带。</w:t>
            </w:r>
          </w:p>
          <w:p w14:paraId="3008BB46">
            <w:pPr>
              <w:keepNext w:val="0"/>
              <w:keepLines w:val="0"/>
              <w:suppressLineNumbers w:val="0"/>
              <w:bidi w:val="0"/>
              <w:spacing w:before="0" w:beforeAutospacing="0" w:after="0" w:afterAutospacing="0" w:line="360" w:lineRule="auto"/>
              <w:ind w:left="0" w:right="0" w:firstLine="480" w:firstLineChars="200"/>
              <w:rPr>
                <w:rFonts w:hint="eastAsia"/>
                <w:color w:val="auto"/>
                <w:sz w:val="24"/>
                <w:szCs w:val="24"/>
              </w:rPr>
            </w:pPr>
            <w:r>
              <w:rPr>
                <w:rFonts w:hint="default"/>
                <w:color w:val="auto"/>
                <w:sz w:val="24"/>
                <w:szCs w:val="24"/>
              </w:rPr>
              <w:t>b</w:t>
            </w:r>
            <w:r>
              <w:rPr>
                <w:rFonts w:hint="eastAsia"/>
                <w:color w:val="auto"/>
                <w:sz w:val="24"/>
                <w:szCs w:val="24"/>
                <w:lang w:eastAsia="zh-CN"/>
              </w:rPr>
              <w:t>.</w:t>
            </w:r>
            <w:r>
              <w:rPr>
                <w:rFonts w:hint="eastAsia"/>
                <w:color w:val="auto"/>
                <w:sz w:val="24"/>
                <w:szCs w:val="24"/>
              </w:rPr>
              <w:t>周边企业：当企业的火灾将波及附近的企业时，应及时启动该企业的应急预案，避免火灾造成该公司的财产损失。当企业的火灾产生大量的浓烟对周围企业造成无法预知的影响时，企业应及时通知上述受影响的企业，逆风疏散至浓烟未波及的开阔地带。</w:t>
            </w:r>
          </w:p>
          <w:p w14:paraId="57A02FDF">
            <w:pPr>
              <w:keepNext w:val="0"/>
              <w:keepLines w:val="0"/>
              <w:suppressLineNumbers w:val="0"/>
              <w:spacing w:before="0" w:beforeAutospacing="0" w:after="0" w:afterAutospacing="0" w:line="360" w:lineRule="auto"/>
              <w:ind w:left="0" w:right="0" w:firstLine="480"/>
              <w:rPr>
                <w:rFonts w:hint="eastAsia" w:ascii="Times New Roman" w:hAnsi="Times New Roman" w:eastAsia="宋体" w:cs="Times New Roman"/>
                <w:b w:val="0"/>
                <w:bCs w:val="0"/>
                <w:color w:val="auto"/>
                <w:sz w:val="24"/>
                <w:szCs w:val="24"/>
                <w:lang w:val="en-US" w:eastAsia="zh-CN"/>
              </w:rPr>
            </w:pPr>
            <w:r>
              <w:rPr>
                <w:rFonts w:hint="default"/>
                <w:color w:val="auto"/>
                <w:sz w:val="24"/>
                <w:szCs w:val="24"/>
              </w:rPr>
              <w:t>c</w:t>
            </w:r>
            <w:r>
              <w:rPr>
                <w:rFonts w:hint="eastAsia"/>
                <w:color w:val="auto"/>
                <w:sz w:val="24"/>
                <w:szCs w:val="24"/>
                <w:lang w:eastAsia="zh-CN"/>
              </w:rPr>
              <w:t>.</w:t>
            </w:r>
            <w:r>
              <w:rPr>
                <w:rFonts w:hint="eastAsia"/>
                <w:color w:val="auto"/>
                <w:sz w:val="24"/>
                <w:szCs w:val="24"/>
              </w:rPr>
              <w:t>临近居民：当根据当日的风向判断，火灾产生的浓烟可能飘散至临近居民村庄时，应及时通知上述受影响的村落，逆风疏散至浓烟未波及的开阔地带。</w:t>
            </w:r>
          </w:p>
          <w:p w14:paraId="478D1CC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b w:val="0"/>
                <w:bCs w:val="0"/>
                <w:color w:val="auto"/>
                <w:sz w:val="24"/>
                <w:szCs w:val="24"/>
                <w:lang w:val="en-US" w:eastAsia="zh-CN"/>
              </w:rPr>
            </w:pPr>
            <w:r>
              <w:rPr>
                <w:rFonts w:hint="eastAsia" w:ascii="Times New Roman" w:hAnsi="Times New Roman" w:eastAsia="宋体" w:cs="Times New Roman"/>
                <w:b w:val="0"/>
                <w:bCs w:val="0"/>
                <w:color w:val="auto"/>
                <w:sz w:val="24"/>
                <w:szCs w:val="24"/>
                <w:lang w:val="en-US" w:eastAsia="zh-CN"/>
              </w:rPr>
              <w:t>①制定设备检修制度，</w:t>
            </w:r>
            <w:r>
              <w:rPr>
                <w:rFonts w:hint="eastAsia" w:cs="Times New Roman"/>
                <w:b w:val="0"/>
                <w:bCs w:val="0"/>
                <w:color w:val="auto"/>
                <w:sz w:val="24"/>
                <w:szCs w:val="24"/>
                <w:lang w:val="en-US" w:eastAsia="zh-CN"/>
              </w:rPr>
              <w:t>定期</w:t>
            </w:r>
            <w:r>
              <w:rPr>
                <w:rFonts w:hint="eastAsia" w:ascii="Times New Roman" w:hAnsi="Times New Roman" w:eastAsia="宋体" w:cs="Times New Roman"/>
                <w:b w:val="0"/>
                <w:bCs w:val="0"/>
                <w:color w:val="auto"/>
                <w:sz w:val="24"/>
                <w:szCs w:val="24"/>
                <w:lang w:val="en-US" w:eastAsia="zh-CN"/>
              </w:rPr>
              <w:t>对生产、环保设备进行检修，及时发现问题，防患于未然。</w:t>
            </w:r>
          </w:p>
          <w:p w14:paraId="27E4686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b w:val="0"/>
                <w:bCs w:val="0"/>
                <w:color w:val="auto"/>
                <w:sz w:val="24"/>
                <w:szCs w:val="24"/>
                <w:lang w:val="en-US" w:eastAsia="zh-CN"/>
              </w:rPr>
            </w:pPr>
            <w:r>
              <w:rPr>
                <w:rFonts w:hint="eastAsia" w:ascii="Times New Roman" w:hAnsi="Times New Roman" w:eastAsia="宋体" w:cs="Times New Roman"/>
                <w:b w:val="0"/>
                <w:bCs w:val="0"/>
                <w:color w:val="auto"/>
                <w:sz w:val="24"/>
                <w:szCs w:val="24"/>
                <w:lang w:val="en-US" w:eastAsia="zh-CN"/>
              </w:rPr>
              <w:t>②企业应制定日常安全检查制度，对车间各设施设备进行不</w:t>
            </w:r>
            <w:r>
              <w:rPr>
                <w:rFonts w:hint="eastAsia" w:cs="Times New Roman"/>
                <w:b w:val="0"/>
                <w:bCs w:val="0"/>
                <w:color w:val="auto"/>
                <w:sz w:val="24"/>
                <w:szCs w:val="24"/>
                <w:lang w:val="en-US" w:eastAsia="zh-CN"/>
              </w:rPr>
              <w:t>定时</w:t>
            </w:r>
            <w:r>
              <w:rPr>
                <w:rFonts w:hint="eastAsia" w:ascii="Times New Roman" w:hAnsi="Times New Roman" w:eastAsia="宋体" w:cs="Times New Roman"/>
                <w:b w:val="0"/>
                <w:bCs w:val="0"/>
                <w:color w:val="auto"/>
                <w:sz w:val="24"/>
                <w:szCs w:val="24"/>
                <w:lang w:val="en-US" w:eastAsia="zh-CN"/>
              </w:rPr>
              <w:t>安全检查，专职安全员每工作日进行安全巡查，各班组兼职安全员每班进行巡查。各级人员检查如发现问题，及时向站长汇报，积极采取措施进行整改。同时，企业应对所有员工进行经常性的安全培训，以提高员工的安全经营的基础知识和安全意识。</w:t>
            </w:r>
          </w:p>
          <w:p w14:paraId="1D1E533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b w:val="0"/>
                <w:bCs w:val="0"/>
                <w:color w:val="auto"/>
                <w:sz w:val="24"/>
                <w:szCs w:val="24"/>
                <w:lang w:val="en-US" w:eastAsia="zh-CN"/>
              </w:rPr>
            </w:pPr>
            <w:r>
              <w:rPr>
                <w:rFonts w:hint="eastAsia" w:ascii="Times New Roman" w:hAnsi="Times New Roman" w:eastAsia="宋体" w:cs="Times New Roman"/>
                <w:b w:val="0"/>
                <w:bCs w:val="0"/>
                <w:color w:val="auto"/>
                <w:sz w:val="24"/>
                <w:szCs w:val="24"/>
                <w:lang w:val="en-US" w:eastAsia="zh-CN"/>
              </w:rPr>
              <w:t>项目采取以上事故风险防范措施，制定事故应急措施，杜绝事故的发生，可</w:t>
            </w:r>
            <w:r>
              <w:rPr>
                <w:rFonts w:hint="eastAsia" w:cs="Times New Roman"/>
                <w:b w:val="0"/>
                <w:bCs w:val="0"/>
                <w:color w:val="auto"/>
                <w:sz w:val="24"/>
                <w:szCs w:val="24"/>
                <w:lang w:val="en-US" w:eastAsia="zh-CN"/>
              </w:rPr>
              <w:t>尽可能减少</w:t>
            </w:r>
            <w:r>
              <w:rPr>
                <w:rFonts w:hint="eastAsia" w:ascii="Times New Roman" w:hAnsi="Times New Roman" w:eastAsia="宋体" w:cs="Times New Roman"/>
                <w:b w:val="0"/>
                <w:bCs w:val="0"/>
                <w:color w:val="auto"/>
                <w:sz w:val="24"/>
                <w:szCs w:val="24"/>
                <w:lang w:val="en-US" w:eastAsia="zh-CN"/>
              </w:rPr>
              <w:t>事故造成的损失及因此造成的环境污染。</w:t>
            </w:r>
          </w:p>
          <w:p w14:paraId="2CA61226">
            <w:pPr>
              <w:jc w:val="center"/>
              <w:rPr>
                <w:rFonts w:ascii="Times New Roman" w:hAnsi="Times New Roman" w:eastAsia="宋体" w:cs="Times New Roman"/>
                <w:b/>
                <w:bCs/>
                <w:sz w:val="24"/>
                <w:lang w:val="en-GB"/>
              </w:rPr>
            </w:pPr>
            <w:r>
              <w:rPr>
                <w:rFonts w:ascii="Times New Roman" w:hAnsi="Times New Roman" w:eastAsia="宋体" w:cs="Times New Roman"/>
                <w:b/>
                <w:bCs/>
                <w:sz w:val="24"/>
                <w:lang w:val="en-GB"/>
              </w:rPr>
              <w:t>表</w:t>
            </w:r>
            <w:r>
              <w:rPr>
                <w:rFonts w:ascii="Times New Roman" w:hAnsi="Times New Roman" w:eastAsia="宋体" w:cs="Times New Roman"/>
                <w:b/>
                <w:bCs/>
                <w:sz w:val="24"/>
                <w:lang w:val="zh-CN"/>
              </w:rPr>
              <w:t>4-</w:t>
            </w:r>
            <w:r>
              <w:rPr>
                <w:rFonts w:hint="eastAsia" w:cs="Times New Roman"/>
                <w:b/>
                <w:bCs/>
                <w:sz w:val="24"/>
                <w:lang w:val="en-US" w:eastAsia="zh-CN"/>
              </w:rPr>
              <w:t>13</w:t>
            </w:r>
            <w:r>
              <w:rPr>
                <w:rFonts w:ascii="Times New Roman" w:hAnsi="Times New Roman" w:eastAsia="宋体" w:cs="Times New Roman"/>
                <w:b/>
                <w:bCs/>
                <w:sz w:val="24"/>
                <w:lang w:val="zh-CN"/>
              </w:rPr>
              <w:t xml:space="preserve">  </w:t>
            </w:r>
            <w:r>
              <w:rPr>
                <w:rFonts w:ascii="Times New Roman" w:hAnsi="Times New Roman" w:eastAsia="宋体" w:cs="Times New Roman"/>
                <w:b/>
                <w:bCs/>
                <w:sz w:val="24"/>
                <w:lang w:val="en-GB"/>
              </w:rPr>
              <w:t>建设项目环境风险简单分析内容表</w:t>
            </w:r>
          </w:p>
          <w:tbl>
            <w:tblPr>
              <w:tblStyle w:val="27"/>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192"/>
              <w:gridCol w:w="1097"/>
              <w:gridCol w:w="1774"/>
              <w:gridCol w:w="1226"/>
              <w:gridCol w:w="2144"/>
            </w:tblGrid>
            <w:tr w14:paraId="727033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192" w:type="dxa"/>
                  <w:tcBorders>
                    <w:tl2br w:val="nil"/>
                    <w:tr2bl w:val="nil"/>
                  </w:tcBorders>
                  <w:vAlign w:val="center"/>
                </w:tcPr>
                <w:p w14:paraId="17594279">
                  <w:pPr>
                    <w:pStyle w:val="9"/>
                    <w:spacing w:line="240" w:lineRule="auto"/>
                    <w:ind w:left="0" w:firstLine="0"/>
                    <w:jc w:val="center"/>
                    <w:rPr>
                      <w:b/>
                      <w:bCs/>
                      <w:sz w:val="21"/>
                      <w:szCs w:val="21"/>
                    </w:rPr>
                  </w:pPr>
                  <w:r>
                    <w:rPr>
                      <w:b/>
                      <w:bCs/>
                      <w:sz w:val="21"/>
                      <w:szCs w:val="21"/>
                    </w:rPr>
                    <w:t>建设项目名称</w:t>
                  </w:r>
                </w:p>
              </w:tc>
              <w:tc>
                <w:tcPr>
                  <w:tcW w:w="6241" w:type="dxa"/>
                  <w:gridSpan w:val="4"/>
                  <w:tcBorders>
                    <w:tl2br w:val="nil"/>
                    <w:tr2bl w:val="nil"/>
                  </w:tcBorders>
                  <w:vAlign w:val="center"/>
                </w:tcPr>
                <w:p w14:paraId="3006619C">
                  <w:pPr>
                    <w:pStyle w:val="9"/>
                    <w:spacing w:line="240" w:lineRule="auto"/>
                    <w:ind w:left="0" w:firstLine="0"/>
                    <w:jc w:val="center"/>
                    <w:rPr>
                      <w:sz w:val="21"/>
                      <w:szCs w:val="21"/>
                    </w:rPr>
                  </w:pPr>
                  <w:r>
                    <w:rPr>
                      <w:rFonts w:hint="default" w:ascii="Times New Roman" w:hAnsi="Times New Roman" w:eastAsia="宋体" w:cs="Times New Roman"/>
                      <w:color w:val="auto"/>
                      <w:sz w:val="21"/>
                      <w:szCs w:val="21"/>
                      <w:highlight w:val="none"/>
                      <w:lang w:eastAsia="zh-CN" w:bidi="ar"/>
                    </w:rPr>
                    <w:t>江西高安大北农饲料有限公司新增锅炉项目</w:t>
                  </w:r>
                </w:p>
              </w:tc>
            </w:tr>
            <w:tr w14:paraId="7A24C6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192" w:type="dxa"/>
                  <w:tcBorders>
                    <w:tl2br w:val="nil"/>
                    <w:tr2bl w:val="nil"/>
                  </w:tcBorders>
                  <w:vAlign w:val="center"/>
                </w:tcPr>
                <w:p w14:paraId="33507E72">
                  <w:pPr>
                    <w:pStyle w:val="9"/>
                    <w:spacing w:line="240" w:lineRule="auto"/>
                    <w:ind w:left="0" w:firstLine="0"/>
                    <w:jc w:val="center"/>
                    <w:rPr>
                      <w:sz w:val="21"/>
                      <w:szCs w:val="21"/>
                    </w:rPr>
                  </w:pPr>
                  <w:r>
                    <w:rPr>
                      <w:sz w:val="21"/>
                      <w:szCs w:val="21"/>
                    </w:rPr>
                    <w:t>建设地点</w:t>
                  </w:r>
                </w:p>
              </w:tc>
              <w:tc>
                <w:tcPr>
                  <w:tcW w:w="6241" w:type="dxa"/>
                  <w:gridSpan w:val="4"/>
                  <w:tcBorders>
                    <w:tl2br w:val="nil"/>
                    <w:tr2bl w:val="nil"/>
                  </w:tcBorders>
                  <w:vAlign w:val="center"/>
                </w:tcPr>
                <w:p w14:paraId="3EB11859">
                  <w:pPr>
                    <w:pStyle w:val="9"/>
                    <w:spacing w:line="240" w:lineRule="auto"/>
                    <w:ind w:left="0" w:firstLine="0"/>
                    <w:jc w:val="center"/>
                    <w:rPr>
                      <w:sz w:val="21"/>
                      <w:szCs w:val="21"/>
                    </w:rPr>
                  </w:pPr>
                  <w:r>
                    <w:rPr>
                      <w:rFonts w:hint="default" w:ascii="Times New Roman" w:hAnsi="Times New Roman" w:eastAsia="宋体" w:cs="Times New Roman"/>
                      <w:color w:val="auto"/>
                      <w:kern w:val="24"/>
                      <w:sz w:val="21"/>
                      <w:szCs w:val="21"/>
                      <w:lang w:bidi="ar"/>
                    </w:rPr>
                    <w:t>江西省宜春市高安市八景镇江西高安大北农饲料有限公司</w:t>
                  </w:r>
                </w:p>
              </w:tc>
            </w:tr>
            <w:tr w14:paraId="7FE118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192" w:type="dxa"/>
                  <w:tcBorders>
                    <w:tl2br w:val="nil"/>
                    <w:tr2bl w:val="nil"/>
                  </w:tcBorders>
                  <w:vAlign w:val="center"/>
                </w:tcPr>
                <w:p w14:paraId="716971EA">
                  <w:pPr>
                    <w:pStyle w:val="9"/>
                    <w:spacing w:line="240" w:lineRule="auto"/>
                    <w:ind w:left="0" w:firstLine="0"/>
                    <w:jc w:val="center"/>
                    <w:rPr>
                      <w:sz w:val="21"/>
                      <w:szCs w:val="21"/>
                    </w:rPr>
                  </w:pPr>
                  <w:r>
                    <w:rPr>
                      <w:sz w:val="21"/>
                      <w:szCs w:val="21"/>
                    </w:rPr>
                    <w:t>地理坐标</w:t>
                  </w:r>
                </w:p>
              </w:tc>
              <w:tc>
                <w:tcPr>
                  <w:tcW w:w="1097" w:type="dxa"/>
                  <w:tcBorders>
                    <w:tl2br w:val="nil"/>
                    <w:tr2bl w:val="nil"/>
                  </w:tcBorders>
                  <w:vAlign w:val="center"/>
                </w:tcPr>
                <w:p w14:paraId="72DF0E8E">
                  <w:pPr>
                    <w:pStyle w:val="9"/>
                    <w:spacing w:line="240" w:lineRule="auto"/>
                    <w:ind w:left="0" w:firstLine="0"/>
                    <w:jc w:val="center"/>
                    <w:rPr>
                      <w:sz w:val="21"/>
                      <w:szCs w:val="21"/>
                    </w:rPr>
                  </w:pPr>
                  <w:r>
                    <w:rPr>
                      <w:sz w:val="21"/>
                      <w:szCs w:val="21"/>
                    </w:rPr>
                    <w:t>经度</w:t>
                  </w:r>
                </w:p>
              </w:tc>
              <w:tc>
                <w:tcPr>
                  <w:tcW w:w="1774" w:type="dxa"/>
                  <w:tcBorders>
                    <w:tl2br w:val="nil"/>
                    <w:tr2bl w:val="nil"/>
                  </w:tcBorders>
                  <w:vAlign w:val="center"/>
                </w:tcPr>
                <w:p w14:paraId="018062A2">
                  <w:pPr>
                    <w:pStyle w:val="9"/>
                    <w:spacing w:line="240" w:lineRule="auto"/>
                    <w:ind w:left="0" w:firstLine="0"/>
                    <w:jc w:val="center"/>
                    <w:rPr>
                      <w:sz w:val="21"/>
                      <w:szCs w:val="21"/>
                    </w:rPr>
                  </w:pPr>
                  <w:r>
                    <w:rPr>
                      <w:rFonts w:hint="default" w:ascii="Times New Roman" w:hAnsi="Times New Roman" w:eastAsia="宋体" w:cs="Times New Roman"/>
                      <w:b w:val="0"/>
                      <w:bCs w:val="0"/>
                      <w:color w:val="auto"/>
                      <w:sz w:val="21"/>
                      <w:szCs w:val="21"/>
                    </w:rPr>
                    <w:t>115°30′15.915″</w:t>
                  </w:r>
                </w:p>
              </w:tc>
              <w:tc>
                <w:tcPr>
                  <w:tcW w:w="1226" w:type="dxa"/>
                  <w:tcBorders>
                    <w:tl2br w:val="nil"/>
                    <w:tr2bl w:val="nil"/>
                  </w:tcBorders>
                  <w:vAlign w:val="center"/>
                </w:tcPr>
                <w:p w14:paraId="33F8174C">
                  <w:pPr>
                    <w:pStyle w:val="9"/>
                    <w:spacing w:line="240" w:lineRule="auto"/>
                    <w:ind w:left="0" w:firstLine="0"/>
                    <w:jc w:val="center"/>
                    <w:rPr>
                      <w:sz w:val="21"/>
                      <w:szCs w:val="21"/>
                    </w:rPr>
                  </w:pPr>
                  <w:r>
                    <w:rPr>
                      <w:sz w:val="21"/>
                      <w:szCs w:val="21"/>
                    </w:rPr>
                    <w:t>纬度</w:t>
                  </w:r>
                </w:p>
              </w:tc>
              <w:tc>
                <w:tcPr>
                  <w:tcW w:w="2144" w:type="dxa"/>
                  <w:tcBorders>
                    <w:tl2br w:val="nil"/>
                    <w:tr2bl w:val="nil"/>
                  </w:tcBorders>
                  <w:vAlign w:val="center"/>
                </w:tcPr>
                <w:p w14:paraId="62BD25BF">
                  <w:pPr>
                    <w:pStyle w:val="9"/>
                    <w:spacing w:line="240" w:lineRule="auto"/>
                    <w:ind w:left="0" w:firstLine="0"/>
                    <w:jc w:val="center"/>
                    <w:rPr>
                      <w:sz w:val="21"/>
                      <w:szCs w:val="21"/>
                    </w:rPr>
                  </w:pPr>
                  <w:r>
                    <w:rPr>
                      <w:rFonts w:hint="default" w:ascii="Times New Roman" w:hAnsi="Times New Roman" w:eastAsia="宋体" w:cs="Times New Roman"/>
                      <w:b w:val="0"/>
                      <w:bCs w:val="0"/>
                      <w:color w:val="auto"/>
                      <w:sz w:val="21"/>
                      <w:szCs w:val="21"/>
                    </w:rPr>
                    <w:t>28°8′46.666″</w:t>
                  </w:r>
                </w:p>
              </w:tc>
            </w:tr>
            <w:tr w14:paraId="248103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2192" w:type="dxa"/>
                  <w:tcBorders>
                    <w:tl2br w:val="nil"/>
                    <w:tr2bl w:val="nil"/>
                  </w:tcBorders>
                  <w:vAlign w:val="center"/>
                </w:tcPr>
                <w:p w14:paraId="17CFD8D8">
                  <w:pPr>
                    <w:pStyle w:val="9"/>
                    <w:spacing w:line="240" w:lineRule="auto"/>
                    <w:ind w:left="0" w:firstLine="0"/>
                    <w:jc w:val="center"/>
                    <w:rPr>
                      <w:sz w:val="21"/>
                      <w:szCs w:val="21"/>
                    </w:rPr>
                  </w:pPr>
                  <w:r>
                    <w:rPr>
                      <w:sz w:val="21"/>
                      <w:szCs w:val="21"/>
                    </w:rPr>
                    <w:t>主要危险物质及分布</w:t>
                  </w:r>
                </w:p>
              </w:tc>
              <w:tc>
                <w:tcPr>
                  <w:tcW w:w="6241" w:type="dxa"/>
                  <w:gridSpan w:val="4"/>
                  <w:tcBorders>
                    <w:tl2br w:val="nil"/>
                    <w:tr2bl w:val="nil"/>
                  </w:tcBorders>
                  <w:vAlign w:val="center"/>
                </w:tcPr>
                <w:p w14:paraId="58E92E42">
                  <w:pPr>
                    <w:pStyle w:val="9"/>
                    <w:spacing w:line="240" w:lineRule="auto"/>
                    <w:ind w:left="0" w:firstLine="0"/>
                    <w:jc w:val="center"/>
                    <w:rPr>
                      <w:rFonts w:hint="default" w:eastAsia="宋体"/>
                      <w:sz w:val="21"/>
                      <w:szCs w:val="21"/>
                      <w:lang w:val="en-US" w:eastAsia="zh-CN"/>
                    </w:rPr>
                  </w:pPr>
                  <w:r>
                    <w:rPr>
                      <w:rFonts w:hint="eastAsia" w:cs="Times New Roman"/>
                      <w:color w:val="auto"/>
                      <w:sz w:val="21"/>
                      <w:szCs w:val="21"/>
                      <w:lang w:val="en-US" w:eastAsia="zh-CN"/>
                    </w:rPr>
                    <w:t>不涉及</w:t>
                  </w:r>
                </w:p>
              </w:tc>
            </w:tr>
            <w:tr w14:paraId="27CA3C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2192" w:type="dxa"/>
                  <w:tcBorders>
                    <w:tl2br w:val="nil"/>
                    <w:tr2bl w:val="nil"/>
                  </w:tcBorders>
                  <w:vAlign w:val="center"/>
                </w:tcPr>
                <w:p w14:paraId="69FBEFD7">
                  <w:pPr>
                    <w:pStyle w:val="9"/>
                    <w:spacing w:line="240" w:lineRule="auto"/>
                    <w:ind w:left="0" w:firstLine="0"/>
                    <w:jc w:val="center"/>
                    <w:rPr>
                      <w:sz w:val="21"/>
                      <w:szCs w:val="21"/>
                    </w:rPr>
                  </w:pPr>
                  <w:r>
                    <w:rPr>
                      <w:sz w:val="21"/>
                      <w:szCs w:val="21"/>
                    </w:rPr>
                    <w:t>环境影响途径及危害后果</w:t>
                  </w:r>
                </w:p>
              </w:tc>
              <w:tc>
                <w:tcPr>
                  <w:tcW w:w="6241" w:type="dxa"/>
                  <w:gridSpan w:val="4"/>
                  <w:tcBorders>
                    <w:tl2br w:val="nil"/>
                    <w:tr2bl w:val="nil"/>
                  </w:tcBorders>
                  <w:vAlign w:val="center"/>
                </w:tcPr>
                <w:p w14:paraId="269618F1">
                  <w:pPr>
                    <w:pStyle w:val="9"/>
                    <w:spacing w:line="240" w:lineRule="auto"/>
                    <w:ind w:left="0" w:leftChars="0" w:firstLine="420" w:firstLineChars="200"/>
                    <w:jc w:val="both"/>
                    <w:rPr>
                      <w:rFonts w:hint="eastAsia"/>
                      <w:sz w:val="21"/>
                      <w:szCs w:val="21"/>
                    </w:rPr>
                  </w:pPr>
                  <w:r>
                    <w:rPr>
                      <w:rFonts w:hint="eastAsia" w:ascii="宋体" w:hAnsi="宋体" w:eastAsia="宋体" w:cs="宋体"/>
                      <w:color w:val="auto"/>
                      <w:sz w:val="21"/>
                      <w:szCs w:val="21"/>
                      <w:lang w:val="en-US" w:eastAsia="zh-CN"/>
                    </w:rPr>
                    <w:t>废气事故</w:t>
                  </w:r>
                  <w:r>
                    <w:rPr>
                      <w:rFonts w:hint="eastAsia" w:ascii="宋体" w:hAnsi="宋体" w:cs="宋体"/>
                      <w:color w:val="auto"/>
                      <w:sz w:val="21"/>
                      <w:szCs w:val="21"/>
                      <w:lang w:val="en-US" w:eastAsia="zh-CN"/>
                    </w:rPr>
                    <w:t>泄漏</w:t>
                  </w:r>
                  <w:r>
                    <w:rPr>
                      <w:rFonts w:hint="eastAsia" w:ascii="宋体" w:hAnsi="宋体" w:eastAsia="宋体" w:cs="宋体"/>
                      <w:color w:val="auto"/>
                      <w:sz w:val="21"/>
                      <w:szCs w:val="21"/>
                      <w:lang w:val="en-US" w:eastAsia="zh-CN"/>
                    </w:rPr>
                    <w:t>对大气环境产生影响；</w:t>
                  </w:r>
                  <w:r>
                    <w:rPr>
                      <w:rFonts w:hint="eastAsia" w:ascii="Times New Roman" w:hAnsi="Times New Roman" w:eastAsia="宋体" w:cs="Times New Roman"/>
                      <w:b w:val="0"/>
                      <w:bCs w:val="0"/>
                      <w:color w:val="auto"/>
                      <w:sz w:val="21"/>
                      <w:szCs w:val="21"/>
                      <w:lang w:val="en-US" w:eastAsia="zh-CN"/>
                    </w:rPr>
                    <w:t>污水处理设施损坏导致废水泄漏、操作不当引起的火灾爆炸</w:t>
                  </w:r>
                </w:p>
              </w:tc>
            </w:tr>
            <w:tr w14:paraId="744F19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2192" w:type="dxa"/>
                  <w:tcBorders>
                    <w:tl2br w:val="nil"/>
                    <w:tr2bl w:val="nil"/>
                  </w:tcBorders>
                  <w:vAlign w:val="center"/>
                </w:tcPr>
                <w:p w14:paraId="39637C22">
                  <w:pPr>
                    <w:pStyle w:val="9"/>
                    <w:spacing w:line="240" w:lineRule="auto"/>
                    <w:ind w:left="0" w:firstLine="0"/>
                    <w:jc w:val="center"/>
                    <w:rPr>
                      <w:sz w:val="21"/>
                      <w:szCs w:val="21"/>
                    </w:rPr>
                  </w:pPr>
                  <w:r>
                    <w:rPr>
                      <w:sz w:val="21"/>
                      <w:szCs w:val="21"/>
                    </w:rPr>
                    <w:t>风险防范措施要求</w:t>
                  </w:r>
                </w:p>
              </w:tc>
              <w:tc>
                <w:tcPr>
                  <w:tcW w:w="6241" w:type="dxa"/>
                  <w:gridSpan w:val="4"/>
                  <w:tcBorders>
                    <w:tl2br w:val="nil"/>
                    <w:tr2bl w:val="nil"/>
                  </w:tcBorders>
                  <w:vAlign w:val="center"/>
                </w:tcPr>
                <w:p w14:paraId="685BDBF0">
                  <w:pPr>
                    <w:pStyle w:val="9"/>
                    <w:spacing w:line="240" w:lineRule="auto"/>
                    <w:ind w:left="0" w:firstLine="0"/>
                    <w:jc w:val="both"/>
                    <w:rPr>
                      <w:rFonts w:hint="default" w:eastAsia="宋体"/>
                      <w:sz w:val="21"/>
                      <w:szCs w:val="21"/>
                      <w:lang w:val="en-US" w:eastAsia="zh-CN"/>
                    </w:rPr>
                  </w:pPr>
                  <w:r>
                    <w:rPr>
                      <w:rFonts w:hint="eastAsia" w:ascii="宋体" w:hAnsi="宋体" w:cs="宋体"/>
                      <w:color w:val="auto"/>
                      <w:sz w:val="21"/>
                      <w:szCs w:val="21"/>
                      <w:lang w:val="en-US" w:eastAsia="zh-CN"/>
                    </w:rPr>
                    <w:t>应落实报告提出的环境风险防范措施。按照国家、地方和相关部门要求，落实企业、区域、地方政府环境风险应急体系。</w:t>
                  </w:r>
                </w:p>
              </w:tc>
            </w:tr>
          </w:tbl>
          <w:p w14:paraId="59353260">
            <w:pPr>
              <w:pStyle w:val="48"/>
              <w:keepNext w:val="0"/>
              <w:keepLines w:val="0"/>
              <w:suppressLineNumbers w:val="0"/>
              <w:spacing w:before="0" w:beforeAutospacing="0" w:after="0" w:afterAutospacing="0"/>
              <w:ind w:left="0" w:right="0" w:firstLine="482"/>
              <w:rPr>
                <w:rFonts w:hint="eastAsia"/>
                <w:lang w:val="en-US" w:eastAsia="zh-CN"/>
              </w:rPr>
            </w:pPr>
            <w:r>
              <w:rPr>
                <w:rFonts w:hint="eastAsia" w:ascii="宋体" w:hAnsi="宋体" w:cs="宋体"/>
                <w:color w:val="auto"/>
                <w:sz w:val="24"/>
              </w:rPr>
              <w:t>评价认为项目发生事故</w:t>
            </w:r>
            <w:r>
              <w:rPr>
                <w:rFonts w:hint="eastAsia" w:ascii="宋体" w:hAnsi="宋体" w:cs="宋体"/>
                <w:color w:val="auto"/>
                <w:sz w:val="24"/>
                <w:lang w:eastAsia="zh-CN"/>
              </w:rPr>
              <w:t>概率</w:t>
            </w:r>
            <w:r>
              <w:rPr>
                <w:rFonts w:hint="eastAsia" w:ascii="宋体" w:hAnsi="宋体" w:cs="宋体"/>
                <w:color w:val="auto"/>
                <w:sz w:val="24"/>
              </w:rPr>
              <w:t>很小，通过加强管理其环境风险是可控的。</w:t>
            </w:r>
            <w:r>
              <w:rPr>
                <w:rFonts w:hint="eastAsia" w:ascii="宋体" w:hAnsi="宋体" w:cs="宋体"/>
                <w:color w:val="auto"/>
                <w:sz w:val="24"/>
                <w:szCs w:val="24"/>
              </w:rPr>
              <w:t>因此，本项目风险水平是可以接受的。</w:t>
            </w:r>
          </w:p>
          <w:p w14:paraId="6733EA82">
            <w:pPr>
              <w:spacing w:line="360" w:lineRule="auto"/>
              <w:ind w:firstLine="482" w:firstLineChars="200"/>
              <w:rPr>
                <w:b/>
                <w:bCs/>
                <w:sz w:val="24"/>
              </w:rPr>
            </w:pPr>
            <w:r>
              <w:rPr>
                <w:rFonts w:hint="eastAsia"/>
                <w:b/>
                <w:bCs/>
                <w:sz w:val="24"/>
                <w:lang w:val="en-US" w:eastAsia="zh-CN"/>
              </w:rPr>
              <w:t>七</w:t>
            </w:r>
            <w:r>
              <w:rPr>
                <w:b/>
                <w:bCs/>
                <w:sz w:val="24"/>
              </w:rPr>
              <w:t>、环境管理</w:t>
            </w:r>
          </w:p>
          <w:p w14:paraId="64050956">
            <w:pPr>
              <w:spacing w:line="360" w:lineRule="auto"/>
              <w:ind w:firstLine="480" w:firstLineChars="200"/>
              <w:rPr>
                <w:sz w:val="24"/>
              </w:rPr>
            </w:pPr>
            <w:r>
              <w:rPr>
                <w:sz w:val="24"/>
              </w:rPr>
              <w:t>建设项目环境保护管理是指工程在营运期执行和遵守国家、省、市有关环境保护法律、法规、政策和标准，接受地方生态环境主管部门的环境监督，调整和制定环境保护规划和目标，把不利影响减免到最低限度，加强项目环境管理，及时调整工程运行方式和环境保护措施，最终达到保护环境的目的，取得更好的综合环境效益。</w:t>
            </w:r>
          </w:p>
          <w:p w14:paraId="2D8850F3">
            <w:pPr>
              <w:spacing w:line="360" w:lineRule="auto"/>
              <w:ind w:firstLine="482" w:firstLineChars="200"/>
              <w:rPr>
                <w:b/>
                <w:bCs/>
                <w:sz w:val="24"/>
              </w:rPr>
            </w:pPr>
            <w:r>
              <w:rPr>
                <w:rFonts w:hint="eastAsia"/>
                <w:b/>
                <w:bCs/>
                <w:sz w:val="24"/>
                <w:lang w:val="en-US" w:eastAsia="zh-CN"/>
              </w:rPr>
              <w:t>1、</w:t>
            </w:r>
            <w:r>
              <w:rPr>
                <w:b/>
                <w:bCs/>
                <w:sz w:val="24"/>
              </w:rPr>
              <w:t>环境管理机构与人员</w:t>
            </w:r>
          </w:p>
          <w:p w14:paraId="6A3853E9">
            <w:pPr>
              <w:spacing w:line="360" w:lineRule="auto"/>
              <w:ind w:firstLine="480" w:firstLineChars="200"/>
              <w:rPr>
                <w:sz w:val="24"/>
              </w:rPr>
            </w:pPr>
            <w:r>
              <w:rPr>
                <w:sz w:val="24"/>
              </w:rPr>
              <w:t>运营期环境管理主体为</w:t>
            </w:r>
            <w:r>
              <w:rPr>
                <w:rFonts w:hint="default" w:ascii="Times New Roman" w:hAnsi="Times New Roman" w:eastAsia="宋体" w:cs="Times New Roman"/>
                <w:color w:val="auto"/>
                <w:sz w:val="24"/>
                <w:szCs w:val="24"/>
                <w:highlight w:val="none"/>
                <w:lang w:eastAsia="zh-CN" w:bidi="ar"/>
              </w:rPr>
              <w:t>江西高安大北农饲料有限公司</w:t>
            </w:r>
            <w:r>
              <w:rPr>
                <w:sz w:val="24"/>
              </w:rPr>
              <w:t>，负责具体的环境管理和监测，环境监测可委托有资质的监测单位进行。</w:t>
            </w:r>
          </w:p>
          <w:p w14:paraId="3D253B22">
            <w:pPr>
              <w:spacing w:line="360" w:lineRule="auto"/>
              <w:ind w:firstLine="482" w:firstLineChars="200"/>
              <w:rPr>
                <w:b/>
                <w:bCs/>
                <w:sz w:val="24"/>
              </w:rPr>
            </w:pPr>
            <w:r>
              <w:rPr>
                <w:rFonts w:hint="eastAsia"/>
                <w:b/>
                <w:bCs/>
                <w:sz w:val="24"/>
                <w:lang w:val="en-US" w:eastAsia="zh-CN"/>
              </w:rPr>
              <w:t>2、</w:t>
            </w:r>
            <w:r>
              <w:rPr>
                <w:b/>
                <w:bCs/>
                <w:sz w:val="24"/>
              </w:rPr>
              <w:t>环境管理机构职责</w:t>
            </w:r>
          </w:p>
          <w:p w14:paraId="5AF55EA3">
            <w:pPr>
              <w:spacing w:line="360" w:lineRule="auto"/>
              <w:ind w:firstLine="480" w:firstLineChars="200"/>
              <w:rPr>
                <w:sz w:val="24"/>
              </w:rPr>
            </w:pPr>
            <w:r>
              <w:rPr>
                <w:sz w:val="24"/>
              </w:rPr>
              <w:t>环境管理机构负责项目营运期的环境管理与环境监测工作，主要职责：</w:t>
            </w:r>
          </w:p>
          <w:p w14:paraId="3836F1CF">
            <w:pPr>
              <w:spacing w:line="360" w:lineRule="auto"/>
              <w:ind w:firstLine="480" w:firstLineChars="200"/>
              <w:rPr>
                <w:sz w:val="24"/>
              </w:rPr>
            </w:pPr>
            <w:r>
              <w:rPr>
                <w:sz w:val="24"/>
              </w:rPr>
              <w:t>1）编制、提出该项目营运期的短期环境保护计划及长远环境保护规划。</w:t>
            </w:r>
          </w:p>
          <w:p w14:paraId="26FF407F">
            <w:pPr>
              <w:spacing w:line="360" w:lineRule="auto"/>
              <w:ind w:firstLine="480" w:firstLineChars="200"/>
              <w:rPr>
                <w:sz w:val="24"/>
              </w:rPr>
            </w:pPr>
            <w:r>
              <w:rPr>
                <w:sz w:val="24"/>
              </w:rPr>
              <w:t>2）贯彻落实国家和地方的环境保护法律、法规、政策和标准，直接接受生态环境主管部门的监督、领导，配合生态环境主管部门作好环保工作。</w:t>
            </w:r>
          </w:p>
          <w:p w14:paraId="4EAFDB19">
            <w:pPr>
              <w:spacing w:line="360" w:lineRule="auto"/>
              <w:ind w:firstLine="480" w:firstLineChars="200"/>
              <w:rPr>
                <w:sz w:val="24"/>
              </w:rPr>
            </w:pPr>
            <w:r>
              <w:rPr>
                <w:sz w:val="24"/>
              </w:rPr>
              <w:t>3）领导并组织环境监测工作，制定和实施监测方案，定期向主管部门及生态环境主管部门上报。</w:t>
            </w:r>
          </w:p>
          <w:p w14:paraId="3BEE2089">
            <w:pPr>
              <w:spacing w:line="360" w:lineRule="auto"/>
              <w:ind w:firstLine="480" w:firstLineChars="200"/>
              <w:rPr>
                <w:sz w:val="24"/>
              </w:rPr>
            </w:pPr>
            <w:r>
              <w:rPr>
                <w:sz w:val="24"/>
              </w:rPr>
              <w:t>4）监督项目各排污口污染物排放情况，按《环境保护图形标志-排放口（源）》（GB15562.1-1995）的图形，在各气、水、声排污口（源）挂牌标识，做到各排污口（源）的环保标志明显，便于企业管理和公众监督，确保污染物达到国家排放标准。</w:t>
            </w:r>
          </w:p>
          <w:p w14:paraId="4F1D0B38">
            <w:pPr>
              <w:spacing w:line="360" w:lineRule="auto"/>
              <w:ind w:firstLine="482" w:firstLineChars="200"/>
              <w:rPr>
                <w:b/>
                <w:bCs/>
                <w:sz w:val="24"/>
              </w:rPr>
            </w:pPr>
            <w:r>
              <w:rPr>
                <w:rFonts w:hint="eastAsia"/>
                <w:b/>
                <w:bCs/>
                <w:sz w:val="24"/>
                <w:lang w:val="en-US" w:eastAsia="zh-CN"/>
              </w:rPr>
              <w:t>3、</w:t>
            </w:r>
            <w:r>
              <w:rPr>
                <w:b/>
                <w:bCs/>
                <w:sz w:val="24"/>
              </w:rPr>
              <w:t>项目运营期的环境保护管理</w:t>
            </w:r>
          </w:p>
          <w:p w14:paraId="5D58F19F">
            <w:pPr>
              <w:spacing w:line="360" w:lineRule="auto"/>
              <w:ind w:firstLine="480" w:firstLineChars="200"/>
              <w:rPr>
                <w:sz w:val="24"/>
              </w:rPr>
            </w:pPr>
            <w:r>
              <w:rPr>
                <w:sz w:val="24"/>
              </w:rPr>
              <w:t>1）根据国家环保政策、标准及环境监测要求，制定该项目营运期环保管理规章制度、各种污染物排放控制指标；</w:t>
            </w:r>
          </w:p>
          <w:p w14:paraId="47E26E5C">
            <w:pPr>
              <w:spacing w:line="360" w:lineRule="auto"/>
              <w:ind w:firstLine="480" w:firstLineChars="200"/>
              <w:rPr>
                <w:sz w:val="24"/>
              </w:rPr>
            </w:pPr>
            <w:r>
              <w:rPr>
                <w:sz w:val="24"/>
              </w:rPr>
              <w:t>2）负责该项目内所有环保设施的日常运行管理，保障各环保设施的正常运行，并对环保设施的改进提出积极的建议；</w:t>
            </w:r>
          </w:p>
          <w:p w14:paraId="062B52C5">
            <w:pPr>
              <w:spacing w:line="360" w:lineRule="auto"/>
              <w:ind w:firstLine="480" w:firstLineChars="200"/>
              <w:rPr>
                <w:sz w:val="24"/>
              </w:rPr>
            </w:pPr>
            <w:r>
              <w:rPr>
                <w:sz w:val="24"/>
              </w:rPr>
              <w:t>3）负责该项目营运期环境监测工作，及时掌握该项目污染状况，整理监测数据，建立污染源档案；</w:t>
            </w:r>
          </w:p>
          <w:p w14:paraId="3E73986C">
            <w:pPr>
              <w:spacing w:line="360" w:lineRule="auto"/>
              <w:ind w:firstLine="480" w:firstLineChars="200"/>
              <w:rPr>
                <w:rFonts w:hint="eastAsia" w:eastAsia="宋体"/>
                <w:sz w:val="24"/>
                <w:lang w:eastAsia="zh-CN"/>
              </w:rPr>
            </w:pPr>
            <w:r>
              <w:rPr>
                <w:sz w:val="24"/>
              </w:rPr>
              <w:t>4）负责对本单位职工和周边居民进行环保宣传工作</w:t>
            </w:r>
            <w:r>
              <w:rPr>
                <w:rFonts w:hint="eastAsia"/>
                <w:color w:val="FF0000"/>
                <w:sz w:val="24"/>
                <w:lang w:eastAsia="zh-CN"/>
              </w:rPr>
              <w:t>。</w:t>
            </w:r>
          </w:p>
          <w:p w14:paraId="3A05FA11">
            <w:pPr>
              <w:spacing w:line="360" w:lineRule="auto"/>
              <w:ind w:firstLine="482" w:firstLineChars="200"/>
              <w:rPr>
                <w:b/>
                <w:bCs/>
                <w:sz w:val="24"/>
              </w:rPr>
            </w:pPr>
            <w:r>
              <w:rPr>
                <w:rFonts w:hint="eastAsia"/>
                <w:b/>
                <w:bCs/>
                <w:sz w:val="24"/>
                <w:lang w:val="en-US" w:eastAsia="zh-CN"/>
              </w:rPr>
              <w:t>八</w:t>
            </w:r>
            <w:r>
              <w:rPr>
                <w:b/>
                <w:bCs/>
                <w:sz w:val="24"/>
              </w:rPr>
              <w:t>、排污口规范化要求</w:t>
            </w:r>
          </w:p>
          <w:p w14:paraId="739A2427">
            <w:pPr>
              <w:spacing w:line="360" w:lineRule="auto"/>
              <w:ind w:firstLine="480" w:firstLineChars="200"/>
              <w:rPr>
                <w:sz w:val="24"/>
              </w:rPr>
            </w:pPr>
            <w:r>
              <w:rPr>
                <w:sz w:val="24"/>
              </w:rPr>
              <w:t>根据国家标准《环境保护图形标志-排放口（源）》和生态环境部《排污口规范化整治要求（试行）》的技术要求，企业所有排放口，包括水、气、声、固体废物，必须按照</w:t>
            </w:r>
            <w:r>
              <w:rPr>
                <w:rFonts w:hint="eastAsia"/>
                <w:sz w:val="24"/>
              </w:rPr>
              <w:t>“</w:t>
            </w:r>
            <w:r>
              <w:rPr>
                <w:sz w:val="24"/>
              </w:rPr>
              <w:t>便于计量监测、便于日常现场监督检查</w:t>
            </w:r>
            <w:r>
              <w:rPr>
                <w:rFonts w:hint="eastAsia"/>
                <w:sz w:val="24"/>
              </w:rPr>
              <w:t>”</w:t>
            </w:r>
            <w:r>
              <w:rPr>
                <w:sz w:val="24"/>
              </w:rPr>
              <w:t>的原则和规范化要求，设置与之相适应的环境保护图形标志牌，绘制企业排污口分布图，同时对污水排放口安装流量计，对治理设施安装运行监控装置。排污口的规范化要符合生态环境部门的有关要求。</w:t>
            </w:r>
          </w:p>
          <w:p w14:paraId="2CF7A595">
            <w:pPr>
              <w:spacing w:line="360" w:lineRule="auto"/>
              <w:ind w:firstLine="482" w:firstLineChars="200"/>
              <w:rPr>
                <w:b/>
                <w:bCs/>
                <w:sz w:val="24"/>
              </w:rPr>
            </w:pPr>
            <w:r>
              <w:rPr>
                <w:rFonts w:hint="eastAsia"/>
                <w:b/>
                <w:bCs/>
                <w:sz w:val="24"/>
                <w:lang w:val="en-US" w:eastAsia="zh-CN"/>
              </w:rPr>
              <w:t>1、</w:t>
            </w:r>
            <w:r>
              <w:rPr>
                <w:b/>
                <w:bCs/>
                <w:sz w:val="24"/>
              </w:rPr>
              <w:t>排放口整治要求</w:t>
            </w:r>
          </w:p>
          <w:p w14:paraId="15E0E46B">
            <w:pPr>
              <w:spacing w:line="360" w:lineRule="auto"/>
              <w:ind w:firstLine="480" w:firstLineChars="200"/>
              <w:rPr>
                <w:sz w:val="24"/>
              </w:rPr>
            </w:pPr>
            <w:r>
              <w:rPr>
                <w:rFonts w:hint="eastAsia"/>
                <w:sz w:val="24"/>
                <w:lang w:val="en-US" w:eastAsia="zh-CN"/>
              </w:rPr>
              <w:t>本次技改项目无废水外排，</w:t>
            </w:r>
            <w:r>
              <w:rPr>
                <w:sz w:val="24"/>
              </w:rPr>
              <w:t>废气排气筒应设置便于采样、监测，并符合《污染源监测技术规范》要求的采样口和采样平台，无法满足《规范》要求的应由环境监测部门确认采样口位置。固体废物贮存、堆放场整治要求</w:t>
            </w:r>
            <w:r>
              <w:rPr>
                <w:rFonts w:hint="eastAsia"/>
                <w:sz w:val="24"/>
                <w:lang w:eastAsia="zh-CN"/>
              </w:rPr>
              <w:t>：</w:t>
            </w:r>
            <w:r>
              <w:rPr>
                <w:sz w:val="24"/>
              </w:rPr>
              <w:t>一般</w:t>
            </w:r>
            <w:r>
              <w:rPr>
                <w:rFonts w:hint="eastAsia" w:cs="Times New Roman"/>
                <w:b w:val="0"/>
                <w:bCs w:val="0"/>
                <w:color w:val="FF0000"/>
                <w:kern w:val="0"/>
                <w:sz w:val="24"/>
                <w:lang w:val="en-US" w:eastAsia="zh-CN"/>
              </w:rPr>
              <w:t>工业</w:t>
            </w:r>
            <w:r>
              <w:rPr>
                <w:sz w:val="24"/>
              </w:rPr>
              <w:t>固体废物应设置专用贮存、堆放场地</w:t>
            </w:r>
            <w:r>
              <w:rPr>
                <w:rFonts w:hint="eastAsia"/>
                <w:sz w:val="24"/>
                <w:lang w:eastAsia="zh-CN"/>
              </w:rPr>
              <w:t>。</w:t>
            </w:r>
            <w:r>
              <w:rPr>
                <w:sz w:val="24"/>
              </w:rPr>
              <w:t>在厂界噪声敏感处按《污染源监测技术规范》设置该噪声源的监测点。</w:t>
            </w:r>
          </w:p>
          <w:p w14:paraId="1C62F45D">
            <w:pPr>
              <w:spacing w:line="360" w:lineRule="auto"/>
              <w:ind w:firstLine="482" w:firstLineChars="200"/>
              <w:rPr>
                <w:b/>
                <w:bCs/>
                <w:sz w:val="24"/>
              </w:rPr>
            </w:pPr>
            <w:r>
              <w:rPr>
                <w:rFonts w:hint="eastAsia"/>
                <w:b/>
                <w:bCs/>
                <w:sz w:val="24"/>
                <w:lang w:val="en-US" w:eastAsia="zh-CN"/>
              </w:rPr>
              <w:t>2、</w:t>
            </w:r>
            <w:r>
              <w:rPr>
                <w:b/>
                <w:bCs/>
                <w:sz w:val="24"/>
              </w:rPr>
              <w:t>排放口立标、建档要求</w:t>
            </w:r>
          </w:p>
          <w:p w14:paraId="7A920ADC">
            <w:pPr>
              <w:spacing w:line="360" w:lineRule="auto"/>
              <w:ind w:firstLine="480" w:firstLineChars="200"/>
              <w:rPr>
                <w:sz w:val="24"/>
              </w:rPr>
            </w:pPr>
            <w:r>
              <w:rPr>
                <w:sz w:val="24"/>
              </w:rPr>
              <w:t>1）排放口立标要求</w:t>
            </w:r>
          </w:p>
          <w:p w14:paraId="21AAB5F3">
            <w:pPr>
              <w:spacing w:line="360" w:lineRule="auto"/>
              <w:ind w:firstLine="480" w:firstLineChars="200"/>
              <w:rPr>
                <w:rFonts w:hint="eastAsia" w:eastAsia="宋体"/>
                <w:sz w:val="24"/>
                <w:lang w:eastAsia="zh-CN"/>
              </w:rPr>
            </w:pPr>
            <w:r>
              <w:rPr>
                <w:sz w:val="24"/>
              </w:rPr>
              <w:t>污染物排放口（源）及固体废物贮存、堆放场必须按照国家标准《环境保护图形标志》（GB15562.1-1995）的规定设置与之相适应的环境保护图形标志牌。环境保护图形标志牌设置位置应距污染物排放口（源）、固体废物贮存（堆放）场或采样点较近且醒目处，并能长久保留。一般污染物排放口（源）、固体废物贮存（堆放）场设置提示性环境保护图形标志牌</w:t>
            </w:r>
            <w:r>
              <w:rPr>
                <w:rFonts w:hint="eastAsia"/>
                <w:sz w:val="24"/>
                <w:lang w:eastAsia="zh-CN"/>
              </w:rPr>
              <w:t>。</w:t>
            </w:r>
          </w:p>
          <w:p w14:paraId="75EE397F">
            <w:pPr>
              <w:spacing w:line="360" w:lineRule="auto"/>
              <w:ind w:firstLine="480" w:firstLineChars="200"/>
              <w:rPr>
                <w:sz w:val="24"/>
              </w:rPr>
            </w:pPr>
            <w:r>
              <w:rPr>
                <w:sz w:val="24"/>
              </w:rPr>
              <w:t>2）排放口建档要求</w:t>
            </w:r>
          </w:p>
          <w:p w14:paraId="78DFFFF3">
            <w:pPr>
              <w:spacing w:line="360" w:lineRule="auto"/>
              <w:ind w:firstLine="480" w:firstLineChars="200"/>
              <w:rPr>
                <w:sz w:val="24"/>
              </w:rPr>
            </w:pPr>
            <w:r>
              <w:rPr>
                <w:sz w:val="24"/>
              </w:rPr>
              <w:t>建设单位应使用生态环境部门签发给的《中华人民共和国规范化排放口登记证》并按要求认真填写。登记证与标志牌配套使用，根据登记证的内容建立排放口管理档案，包括排污单位名称、排污口性质及编号、排污口地理位置、排放主要污染物种类、数量、浓度、排污去向、立标情况、处理设施运行情况及整改意见等。</w:t>
            </w:r>
          </w:p>
          <w:p w14:paraId="56B5E5FE">
            <w:pPr>
              <w:spacing w:line="360" w:lineRule="auto"/>
              <w:ind w:firstLine="480" w:firstLineChars="200"/>
              <w:rPr>
                <w:b/>
                <w:bCs/>
                <w:sz w:val="24"/>
              </w:rPr>
            </w:pPr>
            <w:r>
              <w:rPr>
                <w:sz w:val="24"/>
              </w:rPr>
              <w:t>水、气、声、固排污口（源）挂牌标识见表4-</w:t>
            </w:r>
            <w:r>
              <w:rPr>
                <w:rFonts w:hint="eastAsia"/>
                <w:sz w:val="24"/>
                <w:lang w:val="en-US" w:eastAsia="zh-CN"/>
              </w:rPr>
              <w:t>14</w:t>
            </w:r>
            <w:r>
              <w:rPr>
                <w:sz w:val="24"/>
              </w:rPr>
              <w:t>。</w:t>
            </w:r>
          </w:p>
          <w:p w14:paraId="0BA8E2F8">
            <w:pPr>
              <w:pStyle w:val="89"/>
              <w:keepNext w:val="0"/>
              <w:keepLines w:val="0"/>
              <w:pageBreakBefore w:val="0"/>
              <w:widowControl/>
              <w:kinsoku/>
              <w:wordWrap/>
              <w:overflowPunct/>
              <w:topLinePunct w:val="0"/>
              <w:autoSpaceDE/>
              <w:autoSpaceDN/>
              <w:bidi w:val="0"/>
              <w:adjustRightInd w:val="0"/>
              <w:snapToGrid/>
              <w:spacing w:line="240" w:lineRule="auto"/>
              <w:ind w:left="0" w:leftChars="0" w:right="0" w:firstLine="0" w:firstLineChars="0"/>
              <w:jc w:val="center"/>
              <w:textAlignment w:val="baseline"/>
              <w:rPr>
                <w:rFonts w:hint="default" w:ascii="Times New Roman" w:hAnsi="Times New Roman" w:eastAsia="宋体" w:cs="Times New Roman"/>
                <w:b/>
                <w:bCs w:val="0"/>
                <w:color w:val="auto"/>
                <w:spacing w:val="0"/>
                <w:w w:val="100"/>
                <w:position w:val="0"/>
                <w:sz w:val="24"/>
                <w:szCs w:val="24"/>
                <w:highlight w:val="none"/>
                <w:lang w:eastAsia="zh-CN"/>
              </w:rPr>
            </w:pPr>
            <w:r>
              <w:rPr>
                <w:rFonts w:hint="default" w:ascii="Times New Roman" w:hAnsi="Times New Roman" w:eastAsia="宋体" w:cs="Times New Roman"/>
                <w:b/>
                <w:bCs w:val="0"/>
                <w:color w:val="auto"/>
                <w:spacing w:val="0"/>
                <w:w w:val="100"/>
                <w:position w:val="0"/>
                <w:sz w:val="24"/>
                <w:szCs w:val="24"/>
                <w:highlight w:val="none"/>
                <w:lang w:eastAsia="zh-CN"/>
              </w:rPr>
              <w:t>表4-</w:t>
            </w:r>
            <w:r>
              <w:rPr>
                <w:rFonts w:hint="eastAsia" w:cs="Times New Roman"/>
                <w:b/>
                <w:bCs w:val="0"/>
                <w:color w:val="auto"/>
                <w:spacing w:val="0"/>
                <w:w w:val="100"/>
                <w:position w:val="0"/>
                <w:sz w:val="24"/>
                <w:szCs w:val="24"/>
                <w:highlight w:val="none"/>
                <w:lang w:val="en-US" w:eastAsia="zh-CN"/>
              </w:rPr>
              <w:t>14</w:t>
            </w:r>
            <w:r>
              <w:rPr>
                <w:rFonts w:hint="default" w:ascii="Times New Roman" w:hAnsi="Times New Roman" w:eastAsia="宋体" w:cs="Times New Roman"/>
                <w:b/>
                <w:bCs w:val="0"/>
                <w:color w:val="auto"/>
                <w:spacing w:val="0"/>
                <w:w w:val="100"/>
                <w:position w:val="0"/>
                <w:sz w:val="24"/>
                <w:szCs w:val="24"/>
                <w:highlight w:val="none"/>
                <w:lang w:eastAsia="zh-CN"/>
              </w:rPr>
              <w:t xml:space="preserve">  环境保护图形符号一览表</w:t>
            </w:r>
          </w:p>
          <w:tbl>
            <w:tblPr>
              <w:tblStyle w:val="2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497"/>
              <w:gridCol w:w="1497"/>
              <w:gridCol w:w="1492"/>
              <w:gridCol w:w="3194"/>
            </w:tblGrid>
            <w:tr w14:paraId="45ED2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vAlign w:val="center"/>
                </w:tcPr>
                <w:p w14:paraId="429B6AC2">
                  <w:pPr>
                    <w:widowControl/>
                    <w:jc w:val="center"/>
                    <w:textAlignment w:val="center"/>
                    <w:rPr>
                      <w:sz w:val="24"/>
                    </w:rPr>
                  </w:pPr>
                  <w:r>
                    <w:rPr>
                      <w:b/>
                      <w:bCs/>
                    </w:rPr>
                    <w:t>序号</w:t>
                  </w:r>
                </w:p>
              </w:tc>
              <w:tc>
                <w:tcPr>
                  <w:tcW w:w="899" w:type="pct"/>
                  <w:vAlign w:val="center"/>
                </w:tcPr>
                <w:p w14:paraId="7FE57F66">
                  <w:pPr>
                    <w:widowControl/>
                    <w:jc w:val="center"/>
                    <w:textAlignment w:val="center"/>
                    <w:rPr>
                      <w:sz w:val="24"/>
                    </w:rPr>
                  </w:pPr>
                  <w:r>
                    <w:rPr>
                      <w:b/>
                      <w:bCs/>
                    </w:rPr>
                    <w:t>提示图形符号</w:t>
                  </w:r>
                </w:p>
              </w:tc>
              <w:tc>
                <w:tcPr>
                  <w:tcW w:w="899" w:type="pct"/>
                  <w:vAlign w:val="center"/>
                </w:tcPr>
                <w:p w14:paraId="6E666836">
                  <w:pPr>
                    <w:widowControl/>
                    <w:jc w:val="center"/>
                    <w:textAlignment w:val="center"/>
                    <w:rPr>
                      <w:sz w:val="24"/>
                    </w:rPr>
                  </w:pPr>
                  <w:r>
                    <w:rPr>
                      <w:b/>
                      <w:bCs/>
                    </w:rPr>
                    <w:t>警告图形符号</w:t>
                  </w:r>
                </w:p>
              </w:tc>
              <w:tc>
                <w:tcPr>
                  <w:tcW w:w="896" w:type="pct"/>
                  <w:vAlign w:val="center"/>
                </w:tcPr>
                <w:p w14:paraId="5A02506C">
                  <w:pPr>
                    <w:widowControl/>
                    <w:jc w:val="center"/>
                    <w:textAlignment w:val="center"/>
                    <w:rPr>
                      <w:sz w:val="24"/>
                    </w:rPr>
                  </w:pPr>
                  <w:r>
                    <w:rPr>
                      <w:b/>
                      <w:bCs/>
                    </w:rPr>
                    <w:t>名称</w:t>
                  </w:r>
                </w:p>
              </w:tc>
              <w:tc>
                <w:tcPr>
                  <w:tcW w:w="1917" w:type="pct"/>
                  <w:vAlign w:val="center"/>
                </w:tcPr>
                <w:p w14:paraId="27DF49AE">
                  <w:pPr>
                    <w:widowControl/>
                    <w:jc w:val="center"/>
                    <w:textAlignment w:val="center"/>
                    <w:rPr>
                      <w:sz w:val="24"/>
                    </w:rPr>
                  </w:pPr>
                  <w:r>
                    <w:rPr>
                      <w:b/>
                      <w:bCs/>
                    </w:rPr>
                    <w:t>功能</w:t>
                  </w:r>
                </w:p>
              </w:tc>
            </w:tr>
            <w:tr w14:paraId="29D46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vAlign w:val="center"/>
                </w:tcPr>
                <w:p w14:paraId="79BDDCDC">
                  <w:pPr>
                    <w:widowControl/>
                    <w:jc w:val="center"/>
                    <w:textAlignment w:val="center"/>
                    <w:rPr>
                      <w:sz w:val="24"/>
                    </w:rPr>
                  </w:pPr>
                  <w:r>
                    <w:rPr>
                      <w:rFonts w:hint="eastAsia"/>
                      <w:color w:val="000000" w:themeColor="text1"/>
                      <w:kern w:val="0"/>
                      <w:szCs w:val="21"/>
                      <w:lang w:bidi="ar"/>
                      <w14:textFill>
                        <w14:solidFill>
                          <w14:schemeClr w14:val="tx1"/>
                        </w14:solidFill>
                      </w14:textFill>
                    </w:rPr>
                    <w:t>1</w:t>
                  </w:r>
                </w:p>
              </w:tc>
              <w:tc>
                <w:tcPr>
                  <w:tcW w:w="899" w:type="pct"/>
                  <w:vAlign w:val="center"/>
                </w:tcPr>
                <w:p w14:paraId="4B92205A">
                  <w:pPr>
                    <w:widowControl/>
                    <w:jc w:val="center"/>
                    <w:textAlignment w:val="center"/>
                    <w:rPr>
                      <w:sz w:val="24"/>
                    </w:rPr>
                  </w:pPr>
                  <w:r>
                    <w:drawing>
                      <wp:inline distT="0" distB="0" distL="114300" distR="114300">
                        <wp:extent cx="600075" cy="638175"/>
                        <wp:effectExtent l="0" t="0" r="9525" b="9525"/>
                        <wp:docPr id="75" name="图片 48"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48" descr="未标题-1"/>
                                <pic:cNvPicPr>
                                  <a:picLocks noChangeAspect="1"/>
                                </pic:cNvPicPr>
                              </pic:nvPicPr>
                              <pic:blipFill>
                                <a:blip r:embed="rId29"/>
                                <a:stretch>
                                  <a:fillRect/>
                                </a:stretch>
                              </pic:blipFill>
                              <pic:spPr>
                                <a:xfrm>
                                  <a:off x="0" y="0"/>
                                  <a:ext cx="600075" cy="638175"/>
                                </a:xfrm>
                                <a:prstGeom prst="rect">
                                  <a:avLst/>
                                </a:prstGeom>
                                <a:noFill/>
                                <a:ln>
                                  <a:noFill/>
                                </a:ln>
                              </pic:spPr>
                            </pic:pic>
                          </a:graphicData>
                        </a:graphic>
                      </wp:inline>
                    </w:drawing>
                  </w:r>
                </w:p>
              </w:tc>
              <w:tc>
                <w:tcPr>
                  <w:tcW w:w="899" w:type="pct"/>
                  <w:vAlign w:val="center"/>
                </w:tcPr>
                <w:p w14:paraId="2A8628E3">
                  <w:pPr>
                    <w:widowControl/>
                    <w:jc w:val="center"/>
                    <w:textAlignment w:val="center"/>
                    <w:rPr>
                      <w:sz w:val="24"/>
                    </w:rPr>
                  </w:pPr>
                  <w:r>
                    <w:drawing>
                      <wp:inline distT="0" distB="0" distL="114300" distR="114300">
                        <wp:extent cx="666750" cy="628650"/>
                        <wp:effectExtent l="0" t="0" r="0" b="0"/>
                        <wp:docPr id="78" name="图片 49" descr="未标题-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49" descr="未标题-2"/>
                                <pic:cNvPicPr>
                                  <a:picLocks noChangeAspect="1"/>
                                </pic:cNvPicPr>
                              </pic:nvPicPr>
                              <pic:blipFill>
                                <a:blip r:embed="rId30"/>
                                <a:stretch>
                                  <a:fillRect/>
                                </a:stretch>
                              </pic:blipFill>
                              <pic:spPr>
                                <a:xfrm>
                                  <a:off x="0" y="0"/>
                                  <a:ext cx="666750" cy="628650"/>
                                </a:xfrm>
                                <a:prstGeom prst="rect">
                                  <a:avLst/>
                                </a:prstGeom>
                                <a:noFill/>
                                <a:ln>
                                  <a:noFill/>
                                </a:ln>
                              </pic:spPr>
                            </pic:pic>
                          </a:graphicData>
                        </a:graphic>
                      </wp:inline>
                    </w:drawing>
                  </w:r>
                </w:p>
              </w:tc>
              <w:tc>
                <w:tcPr>
                  <w:tcW w:w="896" w:type="pct"/>
                  <w:vAlign w:val="center"/>
                </w:tcPr>
                <w:p w14:paraId="28F7FE01">
                  <w:pPr>
                    <w:widowControl/>
                    <w:jc w:val="center"/>
                    <w:textAlignment w:val="center"/>
                    <w:rPr>
                      <w:sz w:val="24"/>
                    </w:rPr>
                  </w:pPr>
                  <w:r>
                    <w:t>废水排放口</w:t>
                  </w:r>
                </w:p>
              </w:tc>
              <w:tc>
                <w:tcPr>
                  <w:tcW w:w="1917" w:type="pct"/>
                  <w:vAlign w:val="center"/>
                </w:tcPr>
                <w:p w14:paraId="29140060">
                  <w:pPr>
                    <w:widowControl/>
                    <w:jc w:val="center"/>
                    <w:textAlignment w:val="center"/>
                    <w:rPr>
                      <w:sz w:val="24"/>
                    </w:rPr>
                  </w:pPr>
                  <w:r>
                    <w:t>表示废水向水体排放</w:t>
                  </w:r>
                </w:p>
              </w:tc>
            </w:tr>
            <w:tr w14:paraId="0B83E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vAlign w:val="center"/>
                </w:tcPr>
                <w:p w14:paraId="544A7E53">
                  <w:pPr>
                    <w:widowControl/>
                    <w:jc w:val="center"/>
                    <w:textAlignment w:val="center"/>
                    <w:rPr>
                      <w:sz w:val="24"/>
                    </w:rPr>
                  </w:pPr>
                  <w:r>
                    <w:rPr>
                      <w:rFonts w:hint="eastAsia"/>
                      <w:color w:val="000000" w:themeColor="text1"/>
                      <w:kern w:val="0"/>
                      <w:szCs w:val="21"/>
                      <w:lang w:bidi="ar"/>
                      <w14:textFill>
                        <w14:solidFill>
                          <w14:schemeClr w14:val="tx1"/>
                        </w14:solidFill>
                      </w14:textFill>
                    </w:rPr>
                    <w:t>2</w:t>
                  </w:r>
                </w:p>
              </w:tc>
              <w:tc>
                <w:tcPr>
                  <w:tcW w:w="899" w:type="pct"/>
                  <w:vAlign w:val="center"/>
                </w:tcPr>
                <w:p w14:paraId="20AB5022">
                  <w:pPr>
                    <w:widowControl/>
                    <w:jc w:val="center"/>
                    <w:textAlignment w:val="center"/>
                    <w:rPr>
                      <w:sz w:val="24"/>
                    </w:rPr>
                  </w:pPr>
                  <w:r>
                    <w:drawing>
                      <wp:inline distT="0" distB="0" distL="114300" distR="114300">
                        <wp:extent cx="590550" cy="590550"/>
                        <wp:effectExtent l="0" t="0" r="0" b="0"/>
                        <wp:docPr id="38" name="图片 50" descr="未标题-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50" descr="未标题-3"/>
                                <pic:cNvPicPr>
                                  <a:picLocks noChangeAspect="1"/>
                                </pic:cNvPicPr>
                              </pic:nvPicPr>
                              <pic:blipFill>
                                <a:blip r:embed="rId31"/>
                                <a:stretch>
                                  <a:fillRect/>
                                </a:stretch>
                              </pic:blipFill>
                              <pic:spPr>
                                <a:xfrm>
                                  <a:off x="0" y="0"/>
                                  <a:ext cx="590550" cy="590550"/>
                                </a:xfrm>
                                <a:prstGeom prst="rect">
                                  <a:avLst/>
                                </a:prstGeom>
                                <a:noFill/>
                                <a:ln>
                                  <a:noFill/>
                                </a:ln>
                              </pic:spPr>
                            </pic:pic>
                          </a:graphicData>
                        </a:graphic>
                      </wp:inline>
                    </w:drawing>
                  </w:r>
                </w:p>
              </w:tc>
              <w:tc>
                <w:tcPr>
                  <w:tcW w:w="899" w:type="pct"/>
                  <w:vAlign w:val="center"/>
                </w:tcPr>
                <w:p w14:paraId="08CA648E">
                  <w:pPr>
                    <w:widowControl/>
                    <w:jc w:val="center"/>
                    <w:textAlignment w:val="center"/>
                    <w:rPr>
                      <w:sz w:val="24"/>
                    </w:rPr>
                  </w:pPr>
                  <w:r>
                    <w:drawing>
                      <wp:inline distT="0" distB="0" distL="114300" distR="114300">
                        <wp:extent cx="695325" cy="628650"/>
                        <wp:effectExtent l="0" t="0" r="9525" b="0"/>
                        <wp:docPr id="79" name="图片 51" descr="未标题-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51" descr="未标题-4"/>
                                <pic:cNvPicPr>
                                  <a:picLocks noChangeAspect="1"/>
                                </pic:cNvPicPr>
                              </pic:nvPicPr>
                              <pic:blipFill>
                                <a:blip r:embed="rId32"/>
                                <a:stretch>
                                  <a:fillRect/>
                                </a:stretch>
                              </pic:blipFill>
                              <pic:spPr>
                                <a:xfrm>
                                  <a:off x="0" y="0"/>
                                  <a:ext cx="695325" cy="628650"/>
                                </a:xfrm>
                                <a:prstGeom prst="rect">
                                  <a:avLst/>
                                </a:prstGeom>
                                <a:noFill/>
                                <a:ln>
                                  <a:noFill/>
                                </a:ln>
                              </pic:spPr>
                            </pic:pic>
                          </a:graphicData>
                        </a:graphic>
                      </wp:inline>
                    </w:drawing>
                  </w:r>
                </w:p>
              </w:tc>
              <w:tc>
                <w:tcPr>
                  <w:tcW w:w="896" w:type="pct"/>
                  <w:vAlign w:val="center"/>
                </w:tcPr>
                <w:p w14:paraId="5194888E">
                  <w:pPr>
                    <w:widowControl/>
                    <w:jc w:val="center"/>
                    <w:textAlignment w:val="center"/>
                    <w:rPr>
                      <w:sz w:val="24"/>
                    </w:rPr>
                  </w:pPr>
                  <w:r>
                    <w:t>废气排放口</w:t>
                  </w:r>
                </w:p>
              </w:tc>
              <w:tc>
                <w:tcPr>
                  <w:tcW w:w="1917" w:type="pct"/>
                  <w:vAlign w:val="center"/>
                </w:tcPr>
                <w:p w14:paraId="62255115">
                  <w:pPr>
                    <w:widowControl/>
                    <w:jc w:val="center"/>
                    <w:textAlignment w:val="center"/>
                    <w:rPr>
                      <w:sz w:val="24"/>
                    </w:rPr>
                  </w:pPr>
                  <w:r>
                    <w:t>表示废气向大气环境排放</w:t>
                  </w:r>
                </w:p>
              </w:tc>
            </w:tr>
            <w:tr w14:paraId="31156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vAlign w:val="center"/>
                </w:tcPr>
                <w:p w14:paraId="4E571D4C">
                  <w:pPr>
                    <w:widowControl/>
                    <w:jc w:val="center"/>
                    <w:textAlignment w:val="center"/>
                    <w:rPr>
                      <w:sz w:val="24"/>
                    </w:rPr>
                  </w:pPr>
                  <w:r>
                    <w:rPr>
                      <w:rFonts w:hint="eastAsia"/>
                      <w:color w:val="000000" w:themeColor="text1"/>
                      <w:kern w:val="0"/>
                      <w:szCs w:val="21"/>
                      <w:lang w:bidi="ar"/>
                      <w14:textFill>
                        <w14:solidFill>
                          <w14:schemeClr w14:val="tx1"/>
                        </w14:solidFill>
                      </w14:textFill>
                    </w:rPr>
                    <w:t>3</w:t>
                  </w:r>
                </w:p>
              </w:tc>
              <w:tc>
                <w:tcPr>
                  <w:tcW w:w="899" w:type="pct"/>
                  <w:vAlign w:val="center"/>
                </w:tcPr>
                <w:p w14:paraId="2DC94BBD">
                  <w:pPr>
                    <w:widowControl/>
                    <w:jc w:val="center"/>
                    <w:textAlignment w:val="center"/>
                    <w:rPr>
                      <w:sz w:val="24"/>
                    </w:rPr>
                  </w:pPr>
                  <w:r>
                    <w:drawing>
                      <wp:inline distT="0" distB="0" distL="114300" distR="114300">
                        <wp:extent cx="600075" cy="600075"/>
                        <wp:effectExtent l="0" t="0" r="9525" b="9525"/>
                        <wp:docPr id="76" name="图片 52" descr="未标题-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52" descr="未标题-5"/>
                                <pic:cNvPicPr>
                                  <a:picLocks noChangeAspect="1"/>
                                </pic:cNvPicPr>
                              </pic:nvPicPr>
                              <pic:blipFill>
                                <a:blip r:embed="rId33"/>
                                <a:stretch>
                                  <a:fillRect/>
                                </a:stretch>
                              </pic:blipFill>
                              <pic:spPr>
                                <a:xfrm>
                                  <a:off x="0" y="0"/>
                                  <a:ext cx="600075" cy="600075"/>
                                </a:xfrm>
                                <a:prstGeom prst="rect">
                                  <a:avLst/>
                                </a:prstGeom>
                                <a:noFill/>
                                <a:ln>
                                  <a:noFill/>
                                </a:ln>
                              </pic:spPr>
                            </pic:pic>
                          </a:graphicData>
                        </a:graphic>
                      </wp:inline>
                    </w:drawing>
                  </w:r>
                </w:p>
              </w:tc>
              <w:tc>
                <w:tcPr>
                  <w:tcW w:w="899" w:type="pct"/>
                  <w:vAlign w:val="center"/>
                </w:tcPr>
                <w:p w14:paraId="30E8AA0C">
                  <w:pPr>
                    <w:widowControl/>
                    <w:jc w:val="center"/>
                    <w:textAlignment w:val="center"/>
                    <w:rPr>
                      <w:sz w:val="24"/>
                    </w:rPr>
                  </w:pPr>
                  <w:r>
                    <w:drawing>
                      <wp:inline distT="0" distB="0" distL="114300" distR="114300">
                        <wp:extent cx="685800" cy="657225"/>
                        <wp:effectExtent l="0" t="0" r="0" b="9525"/>
                        <wp:docPr id="80" name="图片 53" descr="未标题-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53" descr="未标题-6"/>
                                <pic:cNvPicPr>
                                  <a:picLocks noChangeAspect="1"/>
                                </pic:cNvPicPr>
                              </pic:nvPicPr>
                              <pic:blipFill>
                                <a:blip r:embed="rId34"/>
                                <a:stretch>
                                  <a:fillRect/>
                                </a:stretch>
                              </pic:blipFill>
                              <pic:spPr>
                                <a:xfrm>
                                  <a:off x="0" y="0"/>
                                  <a:ext cx="685800" cy="657225"/>
                                </a:xfrm>
                                <a:prstGeom prst="rect">
                                  <a:avLst/>
                                </a:prstGeom>
                                <a:noFill/>
                                <a:ln>
                                  <a:noFill/>
                                </a:ln>
                              </pic:spPr>
                            </pic:pic>
                          </a:graphicData>
                        </a:graphic>
                      </wp:inline>
                    </w:drawing>
                  </w:r>
                </w:p>
              </w:tc>
              <w:tc>
                <w:tcPr>
                  <w:tcW w:w="896" w:type="pct"/>
                  <w:vAlign w:val="center"/>
                </w:tcPr>
                <w:p w14:paraId="79B6BD48">
                  <w:pPr>
                    <w:widowControl/>
                    <w:jc w:val="center"/>
                    <w:textAlignment w:val="center"/>
                    <w:rPr>
                      <w:sz w:val="24"/>
                    </w:rPr>
                  </w:pPr>
                  <w:r>
                    <w:t>一般固体废物</w:t>
                  </w:r>
                </w:p>
              </w:tc>
              <w:tc>
                <w:tcPr>
                  <w:tcW w:w="1917" w:type="pct"/>
                  <w:vAlign w:val="center"/>
                </w:tcPr>
                <w:p w14:paraId="06C9D60E">
                  <w:pPr>
                    <w:widowControl/>
                    <w:jc w:val="center"/>
                    <w:textAlignment w:val="center"/>
                    <w:rPr>
                      <w:sz w:val="24"/>
                    </w:rPr>
                  </w:pPr>
                  <w:r>
                    <w:t>表示一般固体废物贮存、处置场</w:t>
                  </w:r>
                </w:p>
              </w:tc>
            </w:tr>
            <w:tr w14:paraId="0D5B8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vAlign w:val="center"/>
                </w:tcPr>
                <w:p w14:paraId="1C291745">
                  <w:pPr>
                    <w:widowControl/>
                    <w:jc w:val="center"/>
                    <w:textAlignment w:val="center"/>
                    <w:rPr>
                      <w:sz w:val="24"/>
                    </w:rPr>
                  </w:pPr>
                  <w:r>
                    <w:rPr>
                      <w:rFonts w:hint="eastAsia"/>
                      <w:color w:val="000000" w:themeColor="text1"/>
                      <w:kern w:val="0"/>
                      <w:szCs w:val="21"/>
                      <w:lang w:bidi="ar"/>
                      <w14:textFill>
                        <w14:solidFill>
                          <w14:schemeClr w14:val="tx1"/>
                        </w14:solidFill>
                      </w14:textFill>
                    </w:rPr>
                    <w:t>4</w:t>
                  </w:r>
                </w:p>
              </w:tc>
              <w:tc>
                <w:tcPr>
                  <w:tcW w:w="899" w:type="pct"/>
                  <w:vAlign w:val="center"/>
                </w:tcPr>
                <w:p w14:paraId="6D5BEFF2">
                  <w:pPr>
                    <w:widowControl/>
                    <w:jc w:val="center"/>
                    <w:textAlignment w:val="center"/>
                    <w:rPr>
                      <w:sz w:val="24"/>
                    </w:rPr>
                  </w:pPr>
                  <w:r>
                    <w:drawing>
                      <wp:inline distT="0" distB="0" distL="114300" distR="114300">
                        <wp:extent cx="600075" cy="600075"/>
                        <wp:effectExtent l="0" t="0" r="9525" b="9525"/>
                        <wp:docPr id="77" name="图片 52" descr="未标题-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52" descr="未标题-5"/>
                                <pic:cNvPicPr>
                                  <a:picLocks noChangeAspect="1"/>
                                </pic:cNvPicPr>
                              </pic:nvPicPr>
                              <pic:blipFill>
                                <a:blip r:embed="rId33"/>
                                <a:stretch>
                                  <a:fillRect/>
                                </a:stretch>
                              </pic:blipFill>
                              <pic:spPr>
                                <a:xfrm>
                                  <a:off x="0" y="0"/>
                                  <a:ext cx="600075" cy="600075"/>
                                </a:xfrm>
                                <a:prstGeom prst="rect">
                                  <a:avLst/>
                                </a:prstGeom>
                                <a:noFill/>
                                <a:ln>
                                  <a:noFill/>
                                </a:ln>
                              </pic:spPr>
                            </pic:pic>
                          </a:graphicData>
                        </a:graphic>
                      </wp:inline>
                    </w:drawing>
                  </w:r>
                </w:p>
              </w:tc>
              <w:tc>
                <w:tcPr>
                  <w:tcW w:w="899" w:type="pct"/>
                  <w:vAlign w:val="center"/>
                </w:tcPr>
                <w:p w14:paraId="6FE82961">
                  <w:pPr>
                    <w:widowControl/>
                    <w:jc w:val="center"/>
                    <w:textAlignment w:val="center"/>
                    <w:rPr>
                      <w:sz w:val="24"/>
                    </w:rPr>
                  </w:pPr>
                  <w:r>
                    <w:drawing>
                      <wp:inline distT="0" distB="0" distL="114300" distR="114300">
                        <wp:extent cx="784860" cy="707390"/>
                        <wp:effectExtent l="0" t="0" r="15240" b="16510"/>
                        <wp:docPr id="8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4"/>
                                <pic:cNvPicPr>
                                  <a:picLocks noChangeAspect="1"/>
                                </pic:cNvPicPr>
                              </pic:nvPicPr>
                              <pic:blipFill>
                                <a:blip r:embed="rId35"/>
                                <a:stretch>
                                  <a:fillRect/>
                                </a:stretch>
                              </pic:blipFill>
                              <pic:spPr>
                                <a:xfrm>
                                  <a:off x="0" y="0"/>
                                  <a:ext cx="784860" cy="707390"/>
                                </a:xfrm>
                                <a:prstGeom prst="rect">
                                  <a:avLst/>
                                </a:prstGeom>
                                <a:noFill/>
                                <a:ln>
                                  <a:noFill/>
                                </a:ln>
                              </pic:spPr>
                            </pic:pic>
                          </a:graphicData>
                        </a:graphic>
                      </wp:inline>
                    </w:drawing>
                  </w:r>
                </w:p>
              </w:tc>
              <w:tc>
                <w:tcPr>
                  <w:tcW w:w="896" w:type="pct"/>
                  <w:vAlign w:val="center"/>
                </w:tcPr>
                <w:p w14:paraId="54F19F9C">
                  <w:pPr>
                    <w:widowControl/>
                    <w:jc w:val="center"/>
                    <w:textAlignment w:val="center"/>
                    <w:rPr>
                      <w:sz w:val="24"/>
                    </w:rPr>
                  </w:pPr>
                  <w:r>
                    <w:t>危险废物</w:t>
                  </w:r>
                </w:p>
              </w:tc>
              <w:tc>
                <w:tcPr>
                  <w:tcW w:w="1917" w:type="pct"/>
                  <w:vAlign w:val="center"/>
                </w:tcPr>
                <w:p w14:paraId="2BA7C711">
                  <w:pPr>
                    <w:widowControl/>
                    <w:jc w:val="center"/>
                    <w:textAlignment w:val="center"/>
                    <w:rPr>
                      <w:sz w:val="24"/>
                    </w:rPr>
                  </w:pPr>
                  <w:r>
                    <w:t>表示危险废物贮存、处置场</w:t>
                  </w:r>
                </w:p>
              </w:tc>
            </w:tr>
            <w:tr w14:paraId="46532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vAlign w:val="center"/>
                </w:tcPr>
                <w:p w14:paraId="1F20CAFF">
                  <w:pPr>
                    <w:widowControl/>
                    <w:jc w:val="center"/>
                    <w:textAlignment w:val="center"/>
                    <w:rPr>
                      <w:sz w:val="24"/>
                    </w:rPr>
                  </w:pPr>
                  <w:r>
                    <w:rPr>
                      <w:rFonts w:hint="eastAsia"/>
                      <w:color w:val="000000" w:themeColor="text1"/>
                      <w:kern w:val="0"/>
                      <w:szCs w:val="21"/>
                      <w:lang w:bidi="ar"/>
                      <w14:textFill>
                        <w14:solidFill>
                          <w14:schemeClr w14:val="tx1"/>
                        </w14:solidFill>
                      </w14:textFill>
                    </w:rPr>
                    <w:t>5</w:t>
                  </w:r>
                </w:p>
              </w:tc>
              <w:tc>
                <w:tcPr>
                  <w:tcW w:w="899" w:type="pct"/>
                  <w:vAlign w:val="center"/>
                </w:tcPr>
                <w:p w14:paraId="08FB3D07">
                  <w:pPr>
                    <w:widowControl/>
                    <w:jc w:val="center"/>
                    <w:textAlignment w:val="center"/>
                    <w:rPr>
                      <w:sz w:val="24"/>
                    </w:rPr>
                  </w:pPr>
                  <w:r>
                    <w:drawing>
                      <wp:inline distT="0" distB="0" distL="114300" distR="114300">
                        <wp:extent cx="600075" cy="638175"/>
                        <wp:effectExtent l="0" t="0" r="9525" b="9525"/>
                        <wp:docPr id="56" name="图片 54" descr="未标题-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4" descr="未标题-7"/>
                                <pic:cNvPicPr>
                                  <a:picLocks noChangeAspect="1"/>
                                </pic:cNvPicPr>
                              </pic:nvPicPr>
                              <pic:blipFill>
                                <a:blip r:embed="rId36"/>
                                <a:stretch>
                                  <a:fillRect/>
                                </a:stretch>
                              </pic:blipFill>
                              <pic:spPr>
                                <a:xfrm>
                                  <a:off x="0" y="0"/>
                                  <a:ext cx="600075" cy="638175"/>
                                </a:xfrm>
                                <a:prstGeom prst="rect">
                                  <a:avLst/>
                                </a:prstGeom>
                                <a:noFill/>
                                <a:ln>
                                  <a:noFill/>
                                </a:ln>
                              </pic:spPr>
                            </pic:pic>
                          </a:graphicData>
                        </a:graphic>
                      </wp:inline>
                    </w:drawing>
                  </w:r>
                </w:p>
              </w:tc>
              <w:tc>
                <w:tcPr>
                  <w:tcW w:w="899" w:type="pct"/>
                  <w:vAlign w:val="center"/>
                </w:tcPr>
                <w:p w14:paraId="0294503A">
                  <w:pPr>
                    <w:widowControl/>
                    <w:jc w:val="center"/>
                    <w:textAlignment w:val="center"/>
                    <w:rPr>
                      <w:sz w:val="24"/>
                    </w:rPr>
                  </w:pPr>
                  <w:r>
                    <w:drawing>
                      <wp:inline distT="0" distB="0" distL="114300" distR="114300">
                        <wp:extent cx="695325" cy="628650"/>
                        <wp:effectExtent l="0" t="0" r="9525" b="0"/>
                        <wp:docPr id="58" name="图片 55" descr="未标题-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5" descr="未标题-8"/>
                                <pic:cNvPicPr>
                                  <a:picLocks noChangeAspect="1"/>
                                </pic:cNvPicPr>
                              </pic:nvPicPr>
                              <pic:blipFill>
                                <a:blip r:embed="rId37"/>
                                <a:stretch>
                                  <a:fillRect/>
                                </a:stretch>
                              </pic:blipFill>
                              <pic:spPr>
                                <a:xfrm>
                                  <a:off x="0" y="0"/>
                                  <a:ext cx="695325" cy="628650"/>
                                </a:xfrm>
                                <a:prstGeom prst="rect">
                                  <a:avLst/>
                                </a:prstGeom>
                                <a:noFill/>
                                <a:ln>
                                  <a:noFill/>
                                </a:ln>
                              </pic:spPr>
                            </pic:pic>
                          </a:graphicData>
                        </a:graphic>
                      </wp:inline>
                    </w:drawing>
                  </w:r>
                </w:p>
              </w:tc>
              <w:tc>
                <w:tcPr>
                  <w:tcW w:w="896" w:type="pct"/>
                  <w:vAlign w:val="center"/>
                </w:tcPr>
                <w:p w14:paraId="5975233F">
                  <w:pPr>
                    <w:widowControl/>
                    <w:jc w:val="center"/>
                    <w:textAlignment w:val="center"/>
                    <w:rPr>
                      <w:sz w:val="24"/>
                    </w:rPr>
                  </w:pPr>
                  <w:r>
                    <w:t>噪声排放源</w:t>
                  </w:r>
                </w:p>
              </w:tc>
              <w:tc>
                <w:tcPr>
                  <w:tcW w:w="1917" w:type="pct"/>
                  <w:vAlign w:val="center"/>
                </w:tcPr>
                <w:p w14:paraId="620BBA72">
                  <w:pPr>
                    <w:widowControl/>
                    <w:jc w:val="center"/>
                    <w:textAlignment w:val="center"/>
                    <w:rPr>
                      <w:sz w:val="24"/>
                    </w:rPr>
                  </w:pPr>
                  <w:r>
                    <w:t>表示噪声向外环境排放</w:t>
                  </w:r>
                </w:p>
              </w:tc>
            </w:tr>
          </w:tbl>
          <w:p w14:paraId="30C5C006">
            <w:pPr>
              <w:pStyle w:val="89"/>
              <w:keepNext w:val="0"/>
              <w:keepLines w:val="0"/>
              <w:pageBreakBefore w:val="0"/>
              <w:widowControl/>
              <w:kinsoku/>
              <w:wordWrap/>
              <w:overflowPunct/>
              <w:topLinePunct w:val="0"/>
              <w:autoSpaceDE/>
              <w:autoSpaceDN/>
              <w:bidi w:val="0"/>
              <w:adjustRightInd w:val="0"/>
              <w:snapToGrid/>
              <w:spacing w:line="240" w:lineRule="auto"/>
              <w:ind w:left="0" w:leftChars="0" w:right="0" w:firstLine="0" w:firstLineChars="0"/>
              <w:jc w:val="center"/>
              <w:textAlignment w:val="baseline"/>
              <w:rPr>
                <w:rFonts w:hint="default" w:ascii="Times New Roman" w:hAnsi="Times New Roman" w:eastAsia="宋体" w:cs="Times New Roman"/>
                <w:b/>
                <w:bCs w:val="0"/>
                <w:color w:val="auto"/>
                <w:spacing w:val="0"/>
                <w:w w:val="100"/>
                <w:position w:val="0"/>
                <w:sz w:val="24"/>
                <w:szCs w:val="24"/>
                <w:highlight w:val="none"/>
                <w:lang w:eastAsia="zh-CN"/>
              </w:rPr>
            </w:pPr>
            <w:bookmarkStart w:id="7" w:name="_Ref515821956"/>
            <w:r>
              <w:rPr>
                <w:rFonts w:hint="default" w:ascii="Times New Roman" w:hAnsi="Times New Roman" w:eastAsia="宋体" w:cs="Times New Roman"/>
                <w:b/>
                <w:bCs w:val="0"/>
                <w:color w:val="auto"/>
                <w:spacing w:val="0"/>
                <w:w w:val="100"/>
                <w:position w:val="0"/>
                <w:sz w:val="24"/>
                <w:szCs w:val="24"/>
                <w:highlight w:val="none"/>
                <w:lang w:eastAsia="zh-CN"/>
              </w:rPr>
              <w:t>表</w:t>
            </w:r>
            <w:bookmarkEnd w:id="7"/>
            <w:r>
              <w:rPr>
                <w:rFonts w:hint="default" w:ascii="Times New Roman" w:hAnsi="Times New Roman" w:eastAsia="宋体" w:cs="Times New Roman"/>
                <w:b/>
                <w:bCs w:val="0"/>
                <w:color w:val="auto"/>
                <w:spacing w:val="0"/>
                <w:w w:val="100"/>
                <w:position w:val="0"/>
                <w:sz w:val="24"/>
                <w:szCs w:val="24"/>
                <w:highlight w:val="none"/>
                <w:lang w:eastAsia="zh-CN"/>
              </w:rPr>
              <w:t>4-</w:t>
            </w:r>
            <w:r>
              <w:rPr>
                <w:rFonts w:hint="eastAsia" w:cs="Times New Roman"/>
                <w:b/>
                <w:bCs w:val="0"/>
                <w:color w:val="auto"/>
                <w:spacing w:val="0"/>
                <w:w w:val="100"/>
                <w:position w:val="0"/>
                <w:sz w:val="24"/>
                <w:szCs w:val="24"/>
                <w:highlight w:val="none"/>
                <w:lang w:val="en-US" w:eastAsia="zh-CN"/>
              </w:rPr>
              <w:t>15</w:t>
            </w:r>
            <w:r>
              <w:rPr>
                <w:rFonts w:hint="default" w:ascii="Times New Roman" w:hAnsi="Times New Roman" w:eastAsia="宋体" w:cs="Times New Roman"/>
                <w:b/>
                <w:bCs w:val="0"/>
                <w:color w:val="auto"/>
                <w:spacing w:val="0"/>
                <w:w w:val="100"/>
                <w:position w:val="0"/>
                <w:sz w:val="24"/>
                <w:szCs w:val="24"/>
                <w:highlight w:val="none"/>
                <w:lang w:eastAsia="zh-CN"/>
              </w:rPr>
              <w:t xml:space="preserve"> </w:t>
            </w:r>
            <w:r>
              <w:rPr>
                <w:rFonts w:hint="eastAsia" w:ascii="Times New Roman" w:hAnsi="Times New Roman" w:eastAsia="宋体" w:cs="Times New Roman"/>
                <w:b/>
                <w:bCs w:val="0"/>
                <w:color w:val="auto"/>
                <w:spacing w:val="0"/>
                <w:w w:val="100"/>
                <w:position w:val="0"/>
                <w:sz w:val="24"/>
                <w:szCs w:val="24"/>
                <w:highlight w:val="none"/>
                <w:lang w:eastAsia="zh-CN"/>
              </w:rPr>
              <w:t xml:space="preserve"> </w:t>
            </w:r>
            <w:r>
              <w:rPr>
                <w:rFonts w:hint="default" w:ascii="Times New Roman" w:hAnsi="Times New Roman" w:eastAsia="宋体" w:cs="Times New Roman"/>
                <w:b/>
                <w:bCs w:val="0"/>
                <w:color w:val="auto"/>
                <w:spacing w:val="0"/>
                <w:w w:val="100"/>
                <w:position w:val="0"/>
                <w:sz w:val="24"/>
                <w:szCs w:val="24"/>
                <w:highlight w:val="none"/>
                <w:lang w:eastAsia="zh-CN"/>
              </w:rPr>
              <w:t>环境保护图形标志的形状及颜色表</w:t>
            </w:r>
          </w:p>
          <w:tbl>
            <w:tblPr>
              <w:tblStyle w:val="2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5"/>
              <w:gridCol w:w="2370"/>
              <w:gridCol w:w="1985"/>
              <w:gridCol w:w="1985"/>
            </w:tblGrid>
            <w:tr w14:paraId="0A7DE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2" w:type="pct"/>
                  <w:vAlign w:val="center"/>
                </w:tcPr>
                <w:p w14:paraId="335D493A">
                  <w:pPr>
                    <w:widowControl/>
                    <w:jc w:val="center"/>
                    <w:textAlignment w:val="center"/>
                    <w:rPr>
                      <w:sz w:val="24"/>
                    </w:rPr>
                  </w:pPr>
                  <w:r>
                    <w:rPr>
                      <w:b/>
                      <w:bCs/>
                    </w:rPr>
                    <w:t>标志名称</w:t>
                  </w:r>
                </w:p>
              </w:tc>
              <w:tc>
                <w:tcPr>
                  <w:tcW w:w="1423" w:type="pct"/>
                  <w:vAlign w:val="center"/>
                </w:tcPr>
                <w:p w14:paraId="09452586">
                  <w:pPr>
                    <w:widowControl/>
                    <w:jc w:val="center"/>
                    <w:textAlignment w:val="center"/>
                    <w:rPr>
                      <w:sz w:val="24"/>
                    </w:rPr>
                  </w:pPr>
                  <w:r>
                    <w:rPr>
                      <w:b/>
                      <w:bCs/>
                    </w:rPr>
                    <w:t>形状</w:t>
                  </w:r>
                </w:p>
              </w:tc>
              <w:tc>
                <w:tcPr>
                  <w:tcW w:w="1192" w:type="pct"/>
                  <w:vAlign w:val="center"/>
                </w:tcPr>
                <w:p w14:paraId="0366585B">
                  <w:pPr>
                    <w:widowControl/>
                    <w:jc w:val="center"/>
                    <w:textAlignment w:val="center"/>
                    <w:rPr>
                      <w:sz w:val="24"/>
                    </w:rPr>
                  </w:pPr>
                  <w:r>
                    <w:rPr>
                      <w:b/>
                      <w:bCs/>
                    </w:rPr>
                    <w:t>背景颜色</w:t>
                  </w:r>
                </w:p>
              </w:tc>
              <w:tc>
                <w:tcPr>
                  <w:tcW w:w="1192" w:type="pct"/>
                  <w:vAlign w:val="center"/>
                </w:tcPr>
                <w:p w14:paraId="297CC7E8">
                  <w:pPr>
                    <w:widowControl/>
                    <w:jc w:val="center"/>
                    <w:textAlignment w:val="center"/>
                    <w:rPr>
                      <w:sz w:val="24"/>
                    </w:rPr>
                  </w:pPr>
                  <w:r>
                    <w:rPr>
                      <w:b/>
                      <w:bCs/>
                    </w:rPr>
                    <w:t>图形颜色</w:t>
                  </w:r>
                </w:p>
              </w:tc>
            </w:tr>
            <w:tr w14:paraId="1C8BE0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2" w:type="pct"/>
                  <w:vAlign w:val="center"/>
                </w:tcPr>
                <w:p w14:paraId="6E29C778">
                  <w:pPr>
                    <w:widowControl/>
                    <w:jc w:val="center"/>
                    <w:textAlignment w:val="center"/>
                    <w:rPr>
                      <w:sz w:val="24"/>
                    </w:rPr>
                  </w:pPr>
                  <w:r>
                    <w:t>警告标志</w:t>
                  </w:r>
                </w:p>
              </w:tc>
              <w:tc>
                <w:tcPr>
                  <w:tcW w:w="1423" w:type="pct"/>
                  <w:vAlign w:val="center"/>
                </w:tcPr>
                <w:p w14:paraId="10CFB587">
                  <w:pPr>
                    <w:widowControl/>
                    <w:jc w:val="center"/>
                    <w:textAlignment w:val="center"/>
                    <w:rPr>
                      <w:sz w:val="24"/>
                    </w:rPr>
                  </w:pPr>
                  <w:r>
                    <w:t>三角形边框</w:t>
                  </w:r>
                </w:p>
              </w:tc>
              <w:tc>
                <w:tcPr>
                  <w:tcW w:w="1192" w:type="pct"/>
                  <w:vAlign w:val="center"/>
                </w:tcPr>
                <w:p w14:paraId="0A082DD1">
                  <w:pPr>
                    <w:widowControl/>
                    <w:jc w:val="center"/>
                    <w:textAlignment w:val="center"/>
                    <w:rPr>
                      <w:sz w:val="24"/>
                    </w:rPr>
                  </w:pPr>
                  <w:r>
                    <w:t>黄色</w:t>
                  </w:r>
                </w:p>
              </w:tc>
              <w:tc>
                <w:tcPr>
                  <w:tcW w:w="1192" w:type="pct"/>
                  <w:vAlign w:val="center"/>
                </w:tcPr>
                <w:p w14:paraId="5542961A">
                  <w:pPr>
                    <w:widowControl/>
                    <w:jc w:val="center"/>
                    <w:textAlignment w:val="center"/>
                    <w:rPr>
                      <w:sz w:val="24"/>
                    </w:rPr>
                  </w:pPr>
                  <w:r>
                    <w:t>黑色</w:t>
                  </w:r>
                </w:p>
              </w:tc>
            </w:tr>
            <w:tr w14:paraId="50751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2" w:type="pct"/>
                  <w:vAlign w:val="center"/>
                </w:tcPr>
                <w:p w14:paraId="29ABB877">
                  <w:pPr>
                    <w:widowControl/>
                    <w:jc w:val="center"/>
                    <w:textAlignment w:val="center"/>
                    <w:rPr>
                      <w:sz w:val="24"/>
                    </w:rPr>
                  </w:pPr>
                  <w:r>
                    <w:t>提示标志</w:t>
                  </w:r>
                </w:p>
              </w:tc>
              <w:tc>
                <w:tcPr>
                  <w:tcW w:w="1423" w:type="pct"/>
                  <w:vAlign w:val="center"/>
                </w:tcPr>
                <w:p w14:paraId="4A8A5E4E">
                  <w:pPr>
                    <w:widowControl/>
                    <w:jc w:val="center"/>
                    <w:textAlignment w:val="center"/>
                    <w:rPr>
                      <w:sz w:val="24"/>
                    </w:rPr>
                  </w:pPr>
                  <w:r>
                    <w:t>正方形边框</w:t>
                  </w:r>
                </w:p>
              </w:tc>
              <w:tc>
                <w:tcPr>
                  <w:tcW w:w="1192" w:type="pct"/>
                  <w:vAlign w:val="center"/>
                </w:tcPr>
                <w:p w14:paraId="4A6C4DE3">
                  <w:pPr>
                    <w:widowControl/>
                    <w:jc w:val="center"/>
                    <w:textAlignment w:val="center"/>
                    <w:rPr>
                      <w:sz w:val="24"/>
                    </w:rPr>
                  </w:pPr>
                  <w:r>
                    <w:t>绿色</w:t>
                  </w:r>
                </w:p>
              </w:tc>
              <w:tc>
                <w:tcPr>
                  <w:tcW w:w="1192" w:type="pct"/>
                  <w:vAlign w:val="center"/>
                </w:tcPr>
                <w:p w14:paraId="028F0795">
                  <w:pPr>
                    <w:widowControl/>
                    <w:jc w:val="center"/>
                    <w:textAlignment w:val="center"/>
                    <w:rPr>
                      <w:sz w:val="24"/>
                    </w:rPr>
                  </w:pPr>
                  <w:r>
                    <w:t>白色</w:t>
                  </w:r>
                </w:p>
              </w:tc>
            </w:tr>
          </w:tbl>
          <w:p w14:paraId="7DACA5C9">
            <w:pPr>
              <w:spacing w:line="360" w:lineRule="auto"/>
              <w:ind w:firstLine="482"/>
              <w:rPr>
                <w:b/>
                <w:sz w:val="24"/>
                <w:lang w:val="en-GB"/>
              </w:rPr>
            </w:pPr>
            <w:r>
              <w:rPr>
                <w:rFonts w:hint="eastAsia"/>
                <w:b/>
                <w:sz w:val="24"/>
                <w:lang w:val="en-US" w:eastAsia="zh-CN"/>
              </w:rPr>
              <w:t>九</w:t>
            </w:r>
            <w:r>
              <w:rPr>
                <w:b/>
                <w:sz w:val="24"/>
              </w:rPr>
              <w:t>、</w:t>
            </w:r>
            <w:r>
              <w:rPr>
                <w:b/>
                <w:sz w:val="24"/>
                <w:lang w:val="en-GB"/>
              </w:rPr>
              <w:t>环保设备和投资估算</w:t>
            </w:r>
          </w:p>
          <w:p w14:paraId="79371682">
            <w:pPr>
              <w:pStyle w:val="92"/>
              <w:spacing w:line="360" w:lineRule="auto"/>
              <w:ind w:firstLine="480"/>
              <w:rPr>
                <w:sz w:val="24"/>
                <w:lang w:val="en-GB"/>
              </w:rPr>
            </w:pPr>
            <w:r>
              <w:rPr>
                <w:rFonts w:hint="eastAsia"/>
                <w:sz w:val="24"/>
                <w:lang w:val="en-US" w:eastAsia="zh-CN"/>
              </w:rPr>
              <w:t>本</w:t>
            </w:r>
            <w:r>
              <w:rPr>
                <w:sz w:val="24"/>
              </w:rPr>
              <w:t>项目</w:t>
            </w:r>
            <w:r>
              <w:rPr>
                <w:rFonts w:hint="eastAsia"/>
                <w:sz w:val="24"/>
                <w:lang w:val="en-US" w:eastAsia="zh-CN"/>
              </w:rPr>
              <w:t>锅炉技改项目。工程建设内容主要依托现有项目，本项目</w:t>
            </w:r>
            <w:r>
              <w:rPr>
                <w:sz w:val="24"/>
              </w:rPr>
              <w:t>环保投资主要用于废气</w:t>
            </w:r>
            <w:r>
              <w:rPr>
                <w:rFonts w:hint="eastAsia"/>
                <w:sz w:val="24"/>
                <w:lang w:eastAsia="zh-CN"/>
              </w:rPr>
              <w:t>、</w:t>
            </w:r>
            <w:r>
              <w:rPr>
                <w:rFonts w:hint="eastAsia"/>
                <w:sz w:val="24"/>
                <w:lang w:val="en-US" w:eastAsia="zh-CN"/>
              </w:rPr>
              <w:t>噪声</w:t>
            </w:r>
            <w:r>
              <w:rPr>
                <w:sz w:val="24"/>
              </w:rPr>
              <w:t>治理。本项目总投资额</w:t>
            </w:r>
            <w:r>
              <w:rPr>
                <w:rFonts w:hint="eastAsia"/>
                <w:sz w:val="24"/>
                <w:lang w:val="en-US" w:eastAsia="zh-CN"/>
              </w:rPr>
              <w:t>110</w:t>
            </w:r>
            <w:r>
              <w:rPr>
                <w:sz w:val="24"/>
              </w:rPr>
              <w:t>万元，其中环保投资</w:t>
            </w:r>
            <w:r>
              <w:rPr>
                <w:rFonts w:hint="eastAsia"/>
                <w:sz w:val="24"/>
                <w:lang w:val="en-US" w:eastAsia="zh-CN"/>
              </w:rPr>
              <w:t>20</w:t>
            </w:r>
            <w:r>
              <w:rPr>
                <w:sz w:val="24"/>
              </w:rPr>
              <w:t>万元，环保投资率</w:t>
            </w:r>
            <w:r>
              <w:rPr>
                <w:rFonts w:hint="eastAsia"/>
                <w:sz w:val="24"/>
                <w:lang w:val="en-US" w:eastAsia="zh-CN"/>
              </w:rPr>
              <w:t>18</w:t>
            </w:r>
            <w:r>
              <w:rPr>
                <w:sz w:val="24"/>
              </w:rPr>
              <w:t>%，投资估算见表4-</w:t>
            </w:r>
            <w:r>
              <w:rPr>
                <w:rFonts w:hint="eastAsia"/>
                <w:sz w:val="24"/>
                <w:lang w:val="en-US" w:eastAsia="zh-CN"/>
              </w:rPr>
              <w:t>16</w:t>
            </w:r>
            <w:r>
              <w:rPr>
                <w:sz w:val="24"/>
              </w:rPr>
              <w:t>。</w:t>
            </w:r>
          </w:p>
          <w:p w14:paraId="5769D25B">
            <w:pPr>
              <w:pStyle w:val="89"/>
              <w:keepNext w:val="0"/>
              <w:keepLines w:val="0"/>
              <w:pageBreakBefore w:val="0"/>
              <w:widowControl/>
              <w:kinsoku/>
              <w:wordWrap/>
              <w:overflowPunct/>
              <w:topLinePunct w:val="0"/>
              <w:autoSpaceDE/>
              <w:autoSpaceDN/>
              <w:bidi w:val="0"/>
              <w:adjustRightInd w:val="0"/>
              <w:snapToGrid/>
              <w:spacing w:line="240" w:lineRule="auto"/>
              <w:ind w:left="0" w:leftChars="0" w:right="0" w:firstLine="0" w:firstLineChars="0"/>
              <w:jc w:val="center"/>
              <w:textAlignment w:val="baseline"/>
              <w:rPr>
                <w:rFonts w:hint="default" w:ascii="Times New Roman" w:hAnsi="Times New Roman" w:eastAsia="宋体" w:cs="Times New Roman"/>
                <w:b/>
                <w:bCs w:val="0"/>
                <w:color w:val="auto"/>
                <w:spacing w:val="0"/>
                <w:w w:val="100"/>
                <w:position w:val="0"/>
                <w:sz w:val="24"/>
                <w:szCs w:val="24"/>
                <w:highlight w:val="none"/>
                <w:lang w:val="en-GB" w:eastAsia="zh-CN"/>
              </w:rPr>
            </w:pPr>
            <w:r>
              <w:rPr>
                <w:rFonts w:hint="default" w:ascii="Times New Roman" w:hAnsi="Times New Roman" w:eastAsia="宋体" w:cs="Times New Roman"/>
                <w:b/>
                <w:bCs w:val="0"/>
                <w:color w:val="auto"/>
                <w:spacing w:val="0"/>
                <w:w w:val="100"/>
                <w:position w:val="0"/>
                <w:sz w:val="24"/>
                <w:szCs w:val="24"/>
                <w:highlight w:val="none"/>
                <w:lang w:val="en-GB" w:eastAsia="zh-CN"/>
              </w:rPr>
              <w:t>表4-</w:t>
            </w:r>
            <w:r>
              <w:rPr>
                <w:rFonts w:hint="eastAsia" w:cs="Times New Roman"/>
                <w:b/>
                <w:bCs w:val="0"/>
                <w:color w:val="auto"/>
                <w:spacing w:val="0"/>
                <w:w w:val="100"/>
                <w:position w:val="0"/>
                <w:sz w:val="24"/>
                <w:szCs w:val="24"/>
                <w:highlight w:val="none"/>
                <w:lang w:val="en-US" w:eastAsia="zh-CN"/>
              </w:rPr>
              <w:t>16</w:t>
            </w:r>
            <w:r>
              <w:rPr>
                <w:rFonts w:hint="default" w:ascii="Times New Roman" w:hAnsi="Times New Roman" w:eastAsia="宋体" w:cs="Times New Roman"/>
                <w:b/>
                <w:bCs w:val="0"/>
                <w:color w:val="auto"/>
                <w:spacing w:val="0"/>
                <w:w w:val="100"/>
                <w:position w:val="0"/>
                <w:sz w:val="24"/>
                <w:szCs w:val="24"/>
                <w:highlight w:val="none"/>
                <w:lang w:eastAsia="zh-CN"/>
              </w:rPr>
              <w:t xml:space="preserve">  </w:t>
            </w:r>
            <w:r>
              <w:rPr>
                <w:rFonts w:hint="default" w:ascii="Times New Roman" w:hAnsi="Times New Roman" w:eastAsia="宋体" w:cs="Times New Roman"/>
                <w:b/>
                <w:bCs w:val="0"/>
                <w:color w:val="auto"/>
                <w:spacing w:val="0"/>
                <w:w w:val="100"/>
                <w:position w:val="0"/>
                <w:sz w:val="24"/>
                <w:szCs w:val="24"/>
                <w:highlight w:val="none"/>
                <w:lang w:val="en-GB" w:eastAsia="zh-CN"/>
              </w:rPr>
              <w:t>项目污染治理</w:t>
            </w:r>
            <w:r>
              <w:rPr>
                <w:rFonts w:hint="eastAsia" w:ascii="Times New Roman" w:hAnsi="Times New Roman" w:eastAsia="宋体" w:cs="Times New Roman"/>
                <w:b/>
                <w:bCs w:val="0"/>
                <w:color w:val="auto"/>
                <w:spacing w:val="0"/>
                <w:w w:val="100"/>
                <w:position w:val="0"/>
                <w:sz w:val="24"/>
                <w:szCs w:val="24"/>
                <w:highlight w:val="none"/>
                <w:lang w:eastAsia="zh-CN"/>
              </w:rPr>
              <w:t>合计</w:t>
            </w:r>
            <w:r>
              <w:rPr>
                <w:rFonts w:hint="default" w:ascii="Times New Roman" w:hAnsi="Times New Roman" w:eastAsia="宋体" w:cs="Times New Roman"/>
                <w:b/>
                <w:bCs w:val="0"/>
                <w:color w:val="auto"/>
                <w:spacing w:val="0"/>
                <w:w w:val="100"/>
                <w:position w:val="0"/>
                <w:sz w:val="24"/>
                <w:szCs w:val="24"/>
                <w:highlight w:val="none"/>
                <w:lang w:val="en-GB" w:eastAsia="zh-CN"/>
              </w:rPr>
              <w:t>投资估算表</w:t>
            </w:r>
          </w:p>
          <w:tbl>
            <w:tblPr>
              <w:tblStyle w:val="27"/>
              <w:tblW w:w="84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9"/>
              <w:gridCol w:w="1857"/>
              <w:gridCol w:w="3980"/>
              <w:gridCol w:w="1504"/>
            </w:tblGrid>
            <w:tr w14:paraId="1C2A1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976" w:type="dxa"/>
                  <w:gridSpan w:val="2"/>
                  <w:noWrap w:val="0"/>
                  <w:vAlign w:val="center"/>
                </w:tcPr>
                <w:p w14:paraId="14040CD1">
                  <w:pPr>
                    <w:pStyle w:val="113"/>
                    <w:rPr>
                      <w:rFonts w:hint="default" w:ascii="Times New Roman" w:hAnsi="Times New Roman" w:cs="Times New Roman"/>
                      <w:b/>
                      <w:color w:val="000000" w:themeColor="text1"/>
                      <w:lang w:val="en-GB"/>
                      <w14:textFill>
                        <w14:solidFill>
                          <w14:schemeClr w14:val="tx1"/>
                        </w14:solidFill>
                      </w14:textFill>
                    </w:rPr>
                  </w:pPr>
                  <w:r>
                    <w:rPr>
                      <w:rFonts w:hint="default" w:ascii="Times New Roman" w:hAnsi="Times New Roman" w:cs="Times New Roman"/>
                      <w:b/>
                      <w:color w:val="000000" w:themeColor="text1"/>
                      <w:lang w:val="en-GB"/>
                      <w14:textFill>
                        <w14:solidFill>
                          <w14:schemeClr w14:val="tx1"/>
                        </w14:solidFill>
                      </w14:textFill>
                    </w:rPr>
                    <w:t>项目</w:t>
                  </w:r>
                </w:p>
              </w:tc>
              <w:tc>
                <w:tcPr>
                  <w:tcW w:w="3980" w:type="dxa"/>
                  <w:tcBorders>
                    <w:top w:val="single" w:color="auto" w:sz="6" w:space="0"/>
                    <w:left w:val="single" w:color="auto" w:sz="6" w:space="0"/>
                    <w:bottom w:val="single" w:color="auto" w:sz="6" w:space="0"/>
                    <w:right w:val="single" w:color="auto" w:sz="6" w:space="0"/>
                  </w:tcBorders>
                  <w:noWrap w:val="0"/>
                  <w:vAlign w:val="center"/>
                </w:tcPr>
                <w:p w14:paraId="79020D41">
                  <w:pPr>
                    <w:pStyle w:val="113"/>
                    <w:rPr>
                      <w:rFonts w:hint="default" w:ascii="Times New Roman" w:hAnsi="Times New Roman" w:cs="Times New Roman"/>
                      <w:b/>
                      <w:color w:val="000000" w:themeColor="text1"/>
                      <w:lang w:val="en-GB"/>
                      <w14:textFill>
                        <w14:solidFill>
                          <w14:schemeClr w14:val="tx1"/>
                        </w14:solidFill>
                      </w14:textFill>
                    </w:rPr>
                  </w:pPr>
                  <w:r>
                    <w:rPr>
                      <w:rFonts w:hint="default" w:ascii="Times New Roman" w:hAnsi="Times New Roman" w:cs="Times New Roman"/>
                      <w:b/>
                      <w:color w:val="000000" w:themeColor="text1"/>
                      <w:lang w:val="en-GB"/>
                      <w14:textFill>
                        <w14:solidFill>
                          <w14:schemeClr w14:val="tx1"/>
                        </w14:solidFill>
                      </w14:textFill>
                    </w:rPr>
                    <w:t>环保措施</w:t>
                  </w:r>
                </w:p>
              </w:tc>
              <w:tc>
                <w:tcPr>
                  <w:tcW w:w="1504" w:type="dxa"/>
                  <w:tcBorders>
                    <w:top w:val="single" w:color="auto" w:sz="6" w:space="0"/>
                    <w:left w:val="single" w:color="auto" w:sz="6" w:space="0"/>
                    <w:bottom w:val="single" w:color="auto" w:sz="6" w:space="0"/>
                    <w:right w:val="single" w:color="auto" w:sz="6" w:space="0"/>
                  </w:tcBorders>
                  <w:noWrap w:val="0"/>
                  <w:vAlign w:val="center"/>
                </w:tcPr>
                <w:p w14:paraId="4ED56765">
                  <w:pPr>
                    <w:pStyle w:val="113"/>
                    <w:rPr>
                      <w:rFonts w:hint="default" w:ascii="Times New Roman" w:hAnsi="Times New Roman" w:cs="Times New Roman"/>
                      <w:b/>
                      <w:color w:val="000000" w:themeColor="text1"/>
                      <w14:textFill>
                        <w14:solidFill>
                          <w14:schemeClr w14:val="tx1"/>
                        </w14:solidFill>
                      </w14:textFill>
                    </w:rPr>
                  </w:pPr>
                  <w:r>
                    <w:rPr>
                      <w:rFonts w:hint="default" w:ascii="Times New Roman" w:hAnsi="Times New Roman" w:cs="Times New Roman"/>
                      <w:b/>
                      <w:color w:val="000000" w:themeColor="text1"/>
                      <w14:textFill>
                        <w14:solidFill>
                          <w14:schemeClr w14:val="tx1"/>
                        </w14:solidFill>
                      </w14:textFill>
                    </w:rPr>
                    <w:t>环保投资</w:t>
                  </w:r>
                </w:p>
                <w:p w14:paraId="6F0EF57E">
                  <w:pPr>
                    <w:pStyle w:val="113"/>
                    <w:rPr>
                      <w:rFonts w:hint="default" w:ascii="Times New Roman" w:hAnsi="Times New Roman" w:cs="Times New Roman"/>
                      <w:b/>
                      <w:color w:val="000000" w:themeColor="text1"/>
                      <w:lang w:val="en-GB"/>
                      <w14:textFill>
                        <w14:solidFill>
                          <w14:schemeClr w14:val="tx1"/>
                        </w14:solidFill>
                      </w14:textFill>
                    </w:rPr>
                  </w:pPr>
                  <w:r>
                    <w:rPr>
                      <w:rFonts w:hint="default" w:ascii="Times New Roman" w:hAnsi="Times New Roman" w:cs="Times New Roman"/>
                      <w:b/>
                      <w:color w:val="000000" w:themeColor="text1"/>
                      <w:lang w:val="en-GB"/>
                      <w14:textFill>
                        <w14:solidFill>
                          <w14:schemeClr w14:val="tx1"/>
                        </w14:solidFill>
                      </w14:textFill>
                    </w:rPr>
                    <w:t>（万元）</w:t>
                  </w:r>
                </w:p>
              </w:tc>
            </w:tr>
            <w:tr w14:paraId="361202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976" w:type="dxa"/>
                  <w:gridSpan w:val="2"/>
                  <w:tcBorders>
                    <w:top w:val="single" w:color="auto" w:sz="6" w:space="0"/>
                    <w:left w:val="single" w:color="auto" w:sz="4" w:space="0"/>
                    <w:right w:val="single" w:color="auto" w:sz="6" w:space="0"/>
                  </w:tcBorders>
                  <w:noWrap w:val="0"/>
                  <w:vAlign w:val="center"/>
                </w:tcPr>
                <w:p w14:paraId="3D811D61">
                  <w:pPr>
                    <w:pStyle w:val="113"/>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GB"/>
                      <w14:textFill>
                        <w14:solidFill>
                          <w14:schemeClr w14:val="tx1"/>
                        </w14:solidFill>
                      </w14:textFill>
                    </w:rPr>
                    <w:t>废水</w:t>
                  </w:r>
                </w:p>
              </w:tc>
              <w:tc>
                <w:tcPr>
                  <w:tcW w:w="3980" w:type="dxa"/>
                  <w:tcBorders>
                    <w:top w:val="single" w:color="auto" w:sz="6" w:space="0"/>
                    <w:left w:val="single" w:color="auto" w:sz="6" w:space="0"/>
                    <w:bottom w:val="single" w:color="auto" w:sz="6" w:space="0"/>
                    <w:right w:val="single" w:color="auto" w:sz="6" w:space="0"/>
                  </w:tcBorders>
                  <w:noWrap w:val="0"/>
                  <w:vAlign w:val="center"/>
                </w:tcPr>
                <w:p w14:paraId="6B3905E3">
                  <w:pPr>
                    <w:pStyle w:val="113"/>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依托现有项目一</w:t>
                  </w:r>
                  <w:r>
                    <w:rPr>
                      <w:rFonts w:hint="eastAsia"/>
                      <w:color w:val="000000" w:themeColor="text1"/>
                      <w14:textFill>
                        <w14:solidFill>
                          <w14:schemeClr w14:val="tx1"/>
                        </w14:solidFill>
                      </w14:textFill>
                    </w:rPr>
                    <w:t>座</w:t>
                  </w:r>
                  <w:r>
                    <w:rPr>
                      <w:rFonts w:hint="eastAsia"/>
                      <w:color w:val="000000" w:themeColor="text1"/>
                      <w:lang w:val="en-US" w:eastAsia="zh-CN"/>
                      <w14:textFill>
                        <w14:solidFill>
                          <w14:schemeClr w14:val="tx1"/>
                        </w14:solidFill>
                      </w14:textFill>
                    </w:rPr>
                    <w:t>中和沉淀池（调节+沉淀）</w:t>
                  </w:r>
                </w:p>
              </w:tc>
              <w:tc>
                <w:tcPr>
                  <w:tcW w:w="1504" w:type="dxa"/>
                  <w:tcBorders>
                    <w:top w:val="single" w:color="auto" w:sz="6" w:space="0"/>
                    <w:left w:val="single" w:color="auto" w:sz="6" w:space="0"/>
                    <w:right w:val="single" w:color="auto" w:sz="6" w:space="0"/>
                  </w:tcBorders>
                  <w:noWrap w:val="0"/>
                  <w:vAlign w:val="center"/>
                </w:tcPr>
                <w:p w14:paraId="1D6A3A37">
                  <w:pPr>
                    <w:pStyle w:val="113"/>
                    <w:rPr>
                      <w:rFonts w:hint="default"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0</w:t>
                  </w:r>
                </w:p>
              </w:tc>
            </w:tr>
            <w:tr w14:paraId="7E7FD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8" w:hRule="atLeast"/>
                <w:jc w:val="center"/>
              </w:trPr>
              <w:tc>
                <w:tcPr>
                  <w:tcW w:w="1119" w:type="dxa"/>
                  <w:tcBorders>
                    <w:top w:val="single" w:color="auto" w:sz="6" w:space="0"/>
                    <w:left w:val="single" w:color="auto" w:sz="4" w:space="0"/>
                    <w:right w:val="single" w:color="auto" w:sz="6" w:space="0"/>
                  </w:tcBorders>
                  <w:noWrap w:val="0"/>
                  <w:vAlign w:val="center"/>
                </w:tcPr>
                <w:p w14:paraId="4B11EE28">
                  <w:pPr>
                    <w:pStyle w:val="113"/>
                    <w:rPr>
                      <w:rFonts w:hint="default" w:ascii="Times New Roman" w:hAnsi="Times New Roman" w:cs="Times New Roman"/>
                      <w:color w:val="000000" w:themeColor="text1"/>
                      <w:lang w:val="en-GB"/>
                      <w14:textFill>
                        <w14:solidFill>
                          <w14:schemeClr w14:val="tx1"/>
                        </w14:solidFill>
                      </w14:textFill>
                    </w:rPr>
                  </w:pPr>
                  <w:r>
                    <w:rPr>
                      <w:rFonts w:hint="default" w:ascii="Times New Roman" w:hAnsi="Times New Roman" w:cs="Times New Roman"/>
                      <w:color w:val="000000" w:themeColor="text1"/>
                      <w:lang w:val="en-GB"/>
                      <w14:textFill>
                        <w14:solidFill>
                          <w14:schemeClr w14:val="tx1"/>
                        </w14:solidFill>
                      </w14:textFill>
                    </w:rPr>
                    <w:t>废气</w:t>
                  </w:r>
                </w:p>
              </w:tc>
              <w:tc>
                <w:tcPr>
                  <w:tcW w:w="1857" w:type="dxa"/>
                  <w:tcBorders>
                    <w:top w:val="single" w:color="auto" w:sz="6" w:space="0"/>
                    <w:left w:val="single" w:color="auto" w:sz="4" w:space="0"/>
                    <w:bottom w:val="single" w:color="auto" w:sz="4" w:space="0"/>
                    <w:right w:val="single" w:color="auto" w:sz="6" w:space="0"/>
                  </w:tcBorders>
                  <w:noWrap w:val="0"/>
                  <w:vAlign w:val="center"/>
                </w:tcPr>
                <w:p w14:paraId="3E4E27ED">
                  <w:pPr>
                    <w:pStyle w:val="113"/>
                    <w:rPr>
                      <w:rFonts w:hint="default" w:ascii="Times New Roman" w:hAnsi="Times New Roman" w:cs="Times New Roman"/>
                      <w:color w:val="000000" w:themeColor="text1"/>
                      <w:lang w:val="en-US"/>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有组织废气</w:t>
                  </w:r>
                </w:p>
              </w:tc>
              <w:tc>
                <w:tcPr>
                  <w:tcW w:w="3980" w:type="dxa"/>
                  <w:tcBorders>
                    <w:top w:val="single" w:color="auto" w:sz="6" w:space="0"/>
                    <w:left w:val="single" w:color="auto" w:sz="6" w:space="0"/>
                    <w:right w:val="single" w:color="auto" w:sz="6" w:space="0"/>
                  </w:tcBorders>
                  <w:noWrap w:val="0"/>
                  <w:vAlign w:val="center"/>
                </w:tcPr>
                <w:p w14:paraId="1717121F">
                  <w:pPr>
                    <w:pStyle w:val="113"/>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2台冷却塔、2套布袋除尘器</w:t>
                  </w:r>
                </w:p>
              </w:tc>
              <w:tc>
                <w:tcPr>
                  <w:tcW w:w="1504" w:type="dxa"/>
                  <w:tcBorders>
                    <w:top w:val="single" w:color="auto" w:sz="6" w:space="0"/>
                    <w:left w:val="single" w:color="auto" w:sz="6" w:space="0"/>
                    <w:right w:val="single" w:color="auto" w:sz="6" w:space="0"/>
                  </w:tcBorders>
                  <w:noWrap w:val="0"/>
                  <w:vAlign w:val="center"/>
                </w:tcPr>
                <w:p w14:paraId="1B70144E">
                  <w:pPr>
                    <w:pStyle w:val="113"/>
                    <w:rPr>
                      <w:rFonts w:hint="default" w:ascii="Times New Roman" w:hAnsi="Times New Roman" w:eastAsia="宋体" w:cs="Times New Roman"/>
                      <w:bCs/>
                      <w:color w:val="000000" w:themeColor="text1"/>
                      <w:lang w:val="en-US" w:eastAsia="zh-CN"/>
                      <w14:textFill>
                        <w14:solidFill>
                          <w14:schemeClr w14:val="tx1"/>
                        </w14:solidFill>
                      </w14:textFill>
                    </w:rPr>
                  </w:pPr>
                  <w:r>
                    <w:rPr>
                      <w:rFonts w:hint="eastAsia" w:cs="Times New Roman"/>
                      <w:bCs/>
                      <w:color w:val="000000" w:themeColor="text1"/>
                      <w:lang w:val="en-US" w:eastAsia="zh-CN"/>
                      <w14:textFill>
                        <w14:solidFill>
                          <w14:schemeClr w14:val="tx1"/>
                        </w14:solidFill>
                      </w14:textFill>
                    </w:rPr>
                    <w:t>18</w:t>
                  </w:r>
                </w:p>
              </w:tc>
            </w:tr>
            <w:tr w14:paraId="51326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976" w:type="dxa"/>
                  <w:gridSpan w:val="2"/>
                  <w:tcBorders>
                    <w:top w:val="single" w:color="auto" w:sz="6" w:space="0"/>
                    <w:left w:val="single" w:color="auto" w:sz="4" w:space="0"/>
                    <w:bottom w:val="single" w:color="auto" w:sz="6" w:space="0"/>
                    <w:right w:val="single" w:color="auto" w:sz="6" w:space="0"/>
                  </w:tcBorders>
                  <w:noWrap w:val="0"/>
                  <w:vAlign w:val="center"/>
                </w:tcPr>
                <w:p w14:paraId="5E3038E8">
                  <w:pPr>
                    <w:pStyle w:val="113"/>
                    <w:jc w:val="center"/>
                    <w:rPr>
                      <w:rFonts w:hint="default" w:ascii="Times New Roman" w:hAnsi="Times New Roman" w:cs="Times New Roman"/>
                      <w:color w:val="000000" w:themeColor="text1"/>
                      <w:lang w:val="en-GB"/>
                      <w14:textFill>
                        <w14:solidFill>
                          <w14:schemeClr w14:val="tx1"/>
                        </w14:solidFill>
                      </w14:textFill>
                    </w:rPr>
                  </w:pPr>
                  <w:r>
                    <w:rPr>
                      <w:rFonts w:hint="default" w:ascii="Times New Roman" w:hAnsi="Times New Roman" w:cs="Times New Roman"/>
                      <w:color w:val="000000" w:themeColor="text1"/>
                      <w:lang w:val="en-GB"/>
                      <w14:textFill>
                        <w14:solidFill>
                          <w14:schemeClr w14:val="tx1"/>
                        </w14:solidFill>
                      </w14:textFill>
                    </w:rPr>
                    <w:t>噪声</w:t>
                  </w:r>
                </w:p>
              </w:tc>
              <w:tc>
                <w:tcPr>
                  <w:tcW w:w="3980" w:type="dxa"/>
                  <w:tcBorders>
                    <w:top w:val="single" w:color="auto" w:sz="6" w:space="0"/>
                    <w:left w:val="single" w:color="auto" w:sz="6" w:space="0"/>
                    <w:bottom w:val="single" w:color="auto" w:sz="6" w:space="0"/>
                    <w:right w:val="single" w:color="auto" w:sz="6" w:space="0"/>
                  </w:tcBorders>
                  <w:noWrap w:val="0"/>
                  <w:vAlign w:val="center"/>
                </w:tcPr>
                <w:p w14:paraId="555771BF">
                  <w:pPr>
                    <w:pStyle w:val="113"/>
                    <w:rPr>
                      <w:rFonts w:hint="default" w:ascii="Times New Roman" w:hAnsi="Times New Roman" w:cs="Times New Roman"/>
                      <w:color w:val="000000" w:themeColor="text1"/>
                      <w:lang w:val="en-GB"/>
                      <w14:textFill>
                        <w14:solidFill>
                          <w14:schemeClr w14:val="tx1"/>
                        </w14:solidFill>
                      </w14:textFill>
                    </w:rPr>
                  </w:pPr>
                  <w:r>
                    <w:rPr>
                      <w:color w:val="000000" w:themeColor="text1"/>
                      <w14:textFill>
                        <w14:solidFill>
                          <w14:schemeClr w14:val="tx1"/>
                        </w14:solidFill>
                      </w14:textFill>
                    </w:rPr>
                    <w:t>减振垫、隔音材料等</w:t>
                  </w:r>
                </w:p>
              </w:tc>
              <w:tc>
                <w:tcPr>
                  <w:tcW w:w="1504" w:type="dxa"/>
                  <w:tcBorders>
                    <w:top w:val="single" w:color="auto" w:sz="6" w:space="0"/>
                    <w:left w:val="single" w:color="auto" w:sz="6" w:space="0"/>
                    <w:bottom w:val="single" w:color="auto" w:sz="6" w:space="0"/>
                    <w:right w:val="single" w:color="auto" w:sz="6" w:space="0"/>
                  </w:tcBorders>
                  <w:noWrap w:val="0"/>
                  <w:vAlign w:val="center"/>
                </w:tcPr>
                <w:p w14:paraId="38F45F90">
                  <w:pPr>
                    <w:pStyle w:val="113"/>
                    <w:rPr>
                      <w:rFonts w:hint="default" w:ascii="Times New Roman" w:hAnsi="Times New Roman" w:eastAsia="宋体" w:cs="Times New Roman"/>
                      <w:bCs/>
                      <w:color w:val="000000" w:themeColor="text1"/>
                      <w:lang w:val="en-US" w:eastAsia="zh-CN"/>
                      <w14:textFill>
                        <w14:solidFill>
                          <w14:schemeClr w14:val="tx1"/>
                        </w14:solidFill>
                      </w14:textFill>
                    </w:rPr>
                  </w:pPr>
                  <w:r>
                    <w:rPr>
                      <w:rFonts w:hint="eastAsia" w:cs="Times New Roman"/>
                      <w:bCs/>
                      <w:color w:val="000000" w:themeColor="text1"/>
                      <w:lang w:val="en-US" w:eastAsia="zh-CN"/>
                      <w14:textFill>
                        <w14:solidFill>
                          <w14:schemeClr w14:val="tx1"/>
                        </w14:solidFill>
                      </w14:textFill>
                    </w:rPr>
                    <w:t>2</w:t>
                  </w:r>
                </w:p>
              </w:tc>
            </w:tr>
            <w:tr w14:paraId="24DF0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119" w:type="dxa"/>
                  <w:tcBorders>
                    <w:top w:val="single" w:color="auto" w:sz="6" w:space="0"/>
                    <w:left w:val="single" w:color="auto" w:sz="4" w:space="0"/>
                    <w:right w:val="single" w:color="auto" w:sz="6" w:space="0"/>
                  </w:tcBorders>
                  <w:noWrap w:val="0"/>
                  <w:vAlign w:val="center"/>
                </w:tcPr>
                <w:p w14:paraId="13C75572">
                  <w:pPr>
                    <w:pStyle w:val="113"/>
                    <w:rPr>
                      <w:rFonts w:hint="default" w:ascii="Times New Roman" w:hAnsi="Times New Roman" w:cs="Times New Roman"/>
                      <w:color w:val="000000" w:themeColor="text1"/>
                      <w:lang w:val="en-GB"/>
                      <w14:textFill>
                        <w14:solidFill>
                          <w14:schemeClr w14:val="tx1"/>
                        </w14:solidFill>
                      </w14:textFill>
                    </w:rPr>
                  </w:pPr>
                  <w:r>
                    <w:rPr>
                      <w:rFonts w:hint="default" w:ascii="Times New Roman" w:hAnsi="Times New Roman" w:cs="Times New Roman"/>
                      <w:color w:val="000000" w:themeColor="text1"/>
                      <w:lang w:val="en-GB"/>
                      <w14:textFill>
                        <w14:solidFill>
                          <w14:schemeClr w14:val="tx1"/>
                        </w14:solidFill>
                      </w14:textFill>
                    </w:rPr>
                    <w:t>固体废物</w:t>
                  </w:r>
                </w:p>
              </w:tc>
              <w:tc>
                <w:tcPr>
                  <w:tcW w:w="1857" w:type="dxa"/>
                  <w:tcBorders>
                    <w:top w:val="single" w:color="auto" w:sz="6" w:space="0"/>
                    <w:left w:val="single" w:color="auto" w:sz="4" w:space="0"/>
                    <w:right w:val="single" w:color="auto" w:sz="6" w:space="0"/>
                  </w:tcBorders>
                  <w:noWrap w:val="0"/>
                  <w:vAlign w:val="center"/>
                </w:tcPr>
                <w:p w14:paraId="4BA10482">
                  <w:pPr>
                    <w:pStyle w:val="9"/>
                    <w:spacing w:line="240" w:lineRule="auto"/>
                    <w:ind w:left="0" w:leftChars="0" w:firstLine="0" w:firstLineChars="0"/>
                    <w:jc w:val="center"/>
                    <w:rPr>
                      <w:rFonts w:hint="eastAsia" w:ascii="Times New Roman" w:hAnsi="Times New Roman" w:eastAsia="宋体" w:cs="Times New Roman"/>
                      <w:color w:val="000000" w:themeColor="text1"/>
                      <w:lang w:val="en-US" w:eastAsia="zh-CN"/>
                      <w14:textFill>
                        <w14:solidFill>
                          <w14:schemeClr w14:val="tx1"/>
                        </w14:solidFill>
                      </w14:textFill>
                    </w:rPr>
                  </w:pPr>
                  <w:r>
                    <w:rPr>
                      <w:color w:val="000000" w:themeColor="text1"/>
                      <w:sz w:val="21"/>
                      <w:szCs w:val="21"/>
                      <w14:textFill>
                        <w14:solidFill>
                          <w14:schemeClr w14:val="tx1"/>
                        </w14:solidFill>
                      </w14:textFill>
                    </w:rPr>
                    <w:t>一般</w:t>
                  </w:r>
                  <w:r>
                    <w:rPr>
                      <w:rFonts w:hint="eastAsia" w:cs="Times New Roman"/>
                      <w:b w:val="0"/>
                      <w:bCs w:val="0"/>
                      <w:color w:val="FF0000"/>
                      <w:kern w:val="0"/>
                      <w:sz w:val="21"/>
                      <w:szCs w:val="21"/>
                      <w:lang w:val="en-US" w:eastAsia="zh-CN"/>
                    </w:rPr>
                    <w:t>工业</w:t>
                  </w:r>
                  <w:r>
                    <w:rPr>
                      <w:rFonts w:hint="eastAsia"/>
                      <w:color w:val="000000" w:themeColor="text1"/>
                      <w:sz w:val="21"/>
                      <w:szCs w:val="21"/>
                      <w:lang w:val="en-US" w:eastAsia="zh-CN"/>
                      <w14:textFill>
                        <w14:solidFill>
                          <w14:schemeClr w14:val="tx1"/>
                        </w14:solidFill>
                      </w14:textFill>
                    </w:rPr>
                    <w:t>固体废物</w:t>
                  </w:r>
                </w:p>
              </w:tc>
              <w:tc>
                <w:tcPr>
                  <w:tcW w:w="3980" w:type="dxa"/>
                  <w:tcBorders>
                    <w:top w:val="single" w:color="auto" w:sz="6" w:space="0"/>
                    <w:left w:val="single" w:color="auto" w:sz="6" w:space="0"/>
                    <w:bottom w:val="single" w:color="auto" w:sz="6" w:space="0"/>
                    <w:right w:val="single" w:color="auto" w:sz="6" w:space="0"/>
                  </w:tcBorders>
                  <w:noWrap w:val="0"/>
                  <w:vAlign w:val="center"/>
                </w:tcPr>
                <w:p w14:paraId="418CF585">
                  <w:pPr>
                    <w:pStyle w:val="113"/>
                    <w:jc w:val="left"/>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依托现有项目一间</w:t>
                  </w:r>
                  <w:r>
                    <w:rPr>
                      <w:rFonts w:hint="default" w:ascii="Times New Roman" w:hAnsi="Times New Roman" w:cs="Times New Roman"/>
                      <w:color w:val="000000" w:themeColor="text1"/>
                      <w:sz w:val="21"/>
                      <w:szCs w:val="21"/>
                      <w:lang w:val="en-US" w:eastAsia="zh-CN"/>
                      <w14:textFill>
                        <w14:solidFill>
                          <w14:schemeClr w14:val="tx1"/>
                        </w14:solidFill>
                      </w14:textFill>
                    </w:rPr>
                    <w:t>面积</w:t>
                  </w:r>
                  <w:r>
                    <w:rPr>
                      <w:rFonts w:hint="eastAsia" w:ascii="Times New Roman" w:hAnsi="Times New Roman" w:cs="Times New Roman"/>
                      <w:color w:val="000000" w:themeColor="text1"/>
                      <w:sz w:val="21"/>
                      <w:szCs w:val="21"/>
                      <w:lang w:val="en-US" w:eastAsia="zh-CN"/>
                      <w14:textFill>
                        <w14:solidFill>
                          <w14:schemeClr w14:val="tx1"/>
                        </w14:solidFill>
                      </w14:textFill>
                    </w:rPr>
                    <w:t>120</w:t>
                  </w:r>
                  <w:r>
                    <w:rPr>
                      <w:rFonts w:hint="default" w:ascii="Times New Roman" w:hAnsi="Times New Roman" w:cs="Times New Roman"/>
                      <w:color w:val="000000" w:themeColor="text1"/>
                      <w:sz w:val="21"/>
                      <w:szCs w:val="21"/>
                      <w14:textFill>
                        <w14:solidFill>
                          <w14:schemeClr w14:val="tx1"/>
                        </w14:solidFill>
                      </w14:textFill>
                    </w:rPr>
                    <w:t>m</w:t>
                  </w:r>
                  <w:r>
                    <w:rPr>
                      <w:rFonts w:hint="default" w:ascii="Times New Roman" w:hAnsi="Times New Roman" w:cs="Times New Roman"/>
                      <w:color w:val="000000" w:themeColor="text1"/>
                      <w:sz w:val="21"/>
                      <w:szCs w:val="21"/>
                      <w:vertAlign w:val="superscript"/>
                      <w14:textFill>
                        <w14:solidFill>
                          <w14:schemeClr w14:val="tx1"/>
                        </w14:solidFill>
                      </w14:textFill>
                    </w:rPr>
                    <w:t>2</w:t>
                  </w:r>
                  <w:r>
                    <w:rPr>
                      <w:rFonts w:hint="eastAsia" w:cs="Times New Roman"/>
                      <w:color w:val="000000" w:themeColor="text1"/>
                      <w:sz w:val="21"/>
                      <w:szCs w:val="21"/>
                      <w:vertAlign w:val="baseline"/>
                      <w:lang w:eastAsia="zh-CN"/>
                      <w14:textFill>
                        <w14:solidFill>
                          <w14:schemeClr w14:val="tx1"/>
                        </w14:solidFill>
                      </w14:textFill>
                    </w:rPr>
                    <w:t>、</w:t>
                  </w:r>
                  <w:r>
                    <w:rPr>
                      <w:rFonts w:hint="eastAsia" w:cs="Times New Roman"/>
                      <w:color w:val="000000" w:themeColor="text1"/>
                      <w:sz w:val="21"/>
                      <w:szCs w:val="21"/>
                      <w:vertAlign w:val="baseline"/>
                      <w:lang w:val="en-US" w:eastAsia="zh-CN"/>
                      <w14:textFill>
                        <w14:solidFill>
                          <w14:schemeClr w14:val="tx1"/>
                        </w14:solidFill>
                      </w14:textFill>
                    </w:rPr>
                    <w:t>容积为180m</w:t>
                  </w:r>
                  <w:r>
                    <w:rPr>
                      <w:rFonts w:hint="eastAsia" w:cs="Times New Roman"/>
                      <w:color w:val="000000" w:themeColor="text1"/>
                      <w:sz w:val="21"/>
                      <w:szCs w:val="21"/>
                      <w:vertAlign w:val="superscript"/>
                      <w:lang w:val="en-US" w:eastAsia="zh-CN"/>
                      <w14:textFill>
                        <w14:solidFill>
                          <w14:schemeClr w14:val="tx1"/>
                        </w14:solidFill>
                      </w14:textFill>
                    </w:rPr>
                    <w:t>3</w:t>
                  </w:r>
                </w:p>
              </w:tc>
              <w:tc>
                <w:tcPr>
                  <w:tcW w:w="1504" w:type="dxa"/>
                  <w:tcBorders>
                    <w:top w:val="single" w:color="auto" w:sz="6" w:space="0"/>
                    <w:left w:val="single" w:color="auto" w:sz="6" w:space="0"/>
                    <w:bottom w:val="single" w:color="auto" w:sz="6" w:space="0"/>
                    <w:right w:val="single" w:color="auto" w:sz="6" w:space="0"/>
                  </w:tcBorders>
                  <w:noWrap w:val="0"/>
                  <w:vAlign w:val="center"/>
                </w:tcPr>
                <w:p w14:paraId="501F3E65">
                  <w:pPr>
                    <w:pStyle w:val="113"/>
                    <w:rPr>
                      <w:rFonts w:hint="default" w:ascii="Times New Roman" w:hAnsi="Times New Roman" w:eastAsia="宋体" w:cs="Times New Roman"/>
                      <w:bCs/>
                      <w:color w:val="000000" w:themeColor="text1"/>
                      <w:lang w:val="en-US" w:eastAsia="zh-CN"/>
                      <w14:textFill>
                        <w14:solidFill>
                          <w14:schemeClr w14:val="tx1"/>
                        </w14:solidFill>
                      </w14:textFill>
                    </w:rPr>
                  </w:pPr>
                  <w:r>
                    <w:rPr>
                      <w:rFonts w:hint="eastAsia" w:cs="Times New Roman"/>
                      <w:bCs/>
                      <w:color w:val="000000" w:themeColor="text1"/>
                      <w:lang w:val="en-US" w:eastAsia="zh-CN"/>
                      <w14:textFill>
                        <w14:solidFill>
                          <w14:schemeClr w14:val="tx1"/>
                        </w14:solidFill>
                      </w14:textFill>
                    </w:rPr>
                    <w:t>0</w:t>
                  </w:r>
                </w:p>
              </w:tc>
            </w:tr>
            <w:tr w14:paraId="281B6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8" w:hRule="atLeast"/>
                <w:jc w:val="center"/>
              </w:trPr>
              <w:tc>
                <w:tcPr>
                  <w:tcW w:w="2976" w:type="dxa"/>
                  <w:gridSpan w:val="2"/>
                  <w:tcBorders>
                    <w:left w:val="single" w:color="auto" w:sz="4" w:space="0"/>
                    <w:bottom w:val="single" w:color="auto" w:sz="6" w:space="0"/>
                    <w:right w:val="single" w:color="auto" w:sz="6" w:space="0"/>
                  </w:tcBorders>
                  <w:noWrap w:val="0"/>
                  <w:vAlign w:val="center"/>
                </w:tcPr>
                <w:p w14:paraId="521E03D4">
                  <w:pPr>
                    <w:pStyle w:val="113"/>
                    <w:rPr>
                      <w:rFonts w:hint="default" w:ascii="Times New Roman" w:hAnsi="Times New Roman" w:cs="Times New Roman"/>
                      <w:color w:val="000000" w:themeColor="text1"/>
                      <w:lang w:val="en-GB"/>
                      <w14:textFill>
                        <w14:solidFill>
                          <w14:schemeClr w14:val="tx1"/>
                        </w14:solidFill>
                      </w14:textFill>
                    </w:rPr>
                  </w:pPr>
                  <w:r>
                    <w:rPr>
                      <w:color w:val="000000" w:themeColor="text1"/>
                      <w14:textFill>
                        <w14:solidFill>
                          <w14:schemeClr w14:val="tx1"/>
                        </w14:solidFill>
                      </w14:textFill>
                    </w:rPr>
                    <w:t>地下水、土壤</w:t>
                  </w:r>
                </w:p>
              </w:tc>
              <w:tc>
                <w:tcPr>
                  <w:tcW w:w="3980" w:type="dxa"/>
                  <w:tcBorders>
                    <w:top w:val="single" w:color="auto" w:sz="6" w:space="0"/>
                    <w:left w:val="single" w:color="auto" w:sz="6" w:space="0"/>
                    <w:bottom w:val="single" w:color="auto" w:sz="6" w:space="0"/>
                    <w:right w:val="single" w:color="auto" w:sz="6" w:space="0"/>
                  </w:tcBorders>
                  <w:noWrap w:val="0"/>
                  <w:vAlign w:val="center"/>
                </w:tcPr>
                <w:p w14:paraId="003E663F">
                  <w:pPr>
                    <w:pStyle w:val="113"/>
                    <w:rPr>
                      <w:rFonts w:hint="eastAsia"/>
                      <w:color w:val="000000" w:themeColor="text1"/>
                      <w:sz w:val="21"/>
                      <w:szCs w:val="2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依托现有项目</w:t>
                  </w:r>
                  <w:r>
                    <w:rPr>
                      <w:color w:val="000000" w:themeColor="text1"/>
                      <w14:textFill>
                        <w14:solidFill>
                          <w14:schemeClr w14:val="tx1"/>
                        </w14:solidFill>
                      </w14:textFill>
                    </w:rPr>
                    <w:t>分区防渗措施</w:t>
                  </w:r>
                </w:p>
              </w:tc>
              <w:tc>
                <w:tcPr>
                  <w:tcW w:w="1504" w:type="dxa"/>
                  <w:tcBorders>
                    <w:top w:val="single" w:color="auto" w:sz="6" w:space="0"/>
                    <w:left w:val="single" w:color="auto" w:sz="6" w:space="0"/>
                    <w:bottom w:val="single" w:color="auto" w:sz="6" w:space="0"/>
                    <w:right w:val="single" w:color="auto" w:sz="6" w:space="0"/>
                  </w:tcBorders>
                  <w:noWrap w:val="0"/>
                  <w:vAlign w:val="center"/>
                </w:tcPr>
                <w:p w14:paraId="72E97E94">
                  <w:pPr>
                    <w:pStyle w:val="113"/>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0</w:t>
                  </w:r>
                </w:p>
              </w:tc>
            </w:tr>
            <w:tr w14:paraId="6313D2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6956" w:type="dxa"/>
                  <w:gridSpan w:val="3"/>
                  <w:tcBorders>
                    <w:top w:val="single" w:color="auto" w:sz="6" w:space="0"/>
                    <w:left w:val="single" w:color="auto" w:sz="4" w:space="0"/>
                    <w:bottom w:val="single" w:color="auto" w:sz="6" w:space="0"/>
                    <w:right w:val="single" w:color="auto" w:sz="6" w:space="0"/>
                  </w:tcBorders>
                  <w:noWrap w:val="0"/>
                  <w:vAlign w:val="center"/>
                </w:tcPr>
                <w:p w14:paraId="63588412">
                  <w:pPr>
                    <w:pStyle w:val="113"/>
                    <w:rPr>
                      <w:rFonts w:hint="default" w:ascii="Times New Roman" w:hAnsi="Times New Roman" w:cs="Times New Roman"/>
                      <w:color w:val="000000" w:themeColor="text1"/>
                      <w:lang w:val="en-GB"/>
                      <w14:textFill>
                        <w14:solidFill>
                          <w14:schemeClr w14:val="tx1"/>
                        </w14:solidFill>
                      </w14:textFill>
                    </w:rPr>
                  </w:pPr>
                  <w:r>
                    <w:rPr>
                      <w:rFonts w:hint="default" w:ascii="Times New Roman" w:hAnsi="Times New Roman" w:cs="Times New Roman"/>
                      <w:color w:val="000000" w:themeColor="text1"/>
                      <w:lang w:val="en-GB"/>
                      <w14:textFill>
                        <w14:solidFill>
                          <w14:schemeClr w14:val="tx1"/>
                        </w14:solidFill>
                      </w14:textFill>
                    </w:rPr>
                    <w:t>合计</w:t>
                  </w:r>
                </w:p>
              </w:tc>
              <w:tc>
                <w:tcPr>
                  <w:tcW w:w="1504" w:type="dxa"/>
                  <w:tcBorders>
                    <w:top w:val="single" w:color="auto" w:sz="6" w:space="0"/>
                    <w:left w:val="single" w:color="auto" w:sz="6" w:space="0"/>
                    <w:bottom w:val="single" w:color="auto" w:sz="6" w:space="0"/>
                    <w:right w:val="single" w:color="auto" w:sz="6" w:space="0"/>
                  </w:tcBorders>
                  <w:noWrap w:val="0"/>
                  <w:vAlign w:val="center"/>
                </w:tcPr>
                <w:p w14:paraId="17EC20C4">
                  <w:pPr>
                    <w:pStyle w:val="113"/>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20</w:t>
                  </w:r>
                </w:p>
              </w:tc>
            </w:tr>
          </w:tbl>
          <w:p w14:paraId="2BC4904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textAlignment w:val="auto"/>
              <w:rPr>
                <w:rFonts w:hint="eastAsia"/>
                <w:b/>
                <w:bCs/>
                <w:sz w:val="24"/>
                <w:lang w:val="en-US" w:eastAsia="zh-CN"/>
              </w:rPr>
            </w:pPr>
            <w:r>
              <w:rPr>
                <w:rFonts w:hint="eastAsia"/>
                <w:b/>
                <w:bCs/>
                <w:sz w:val="24"/>
                <w:lang w:val="en-US" w:eastAsia="zh-CN"/>
              </w:rPr>
              <w:t>十、</w:t>
            </w:r>
            <w:r>
              <w:rPr>
                <w:rFonts w:hint="eastAsia"/>
                <w:b/>
                <w:bCs/>
                <w:color w:val="FF0000"/>
                <w:sz w:val="24"/>
                <w:lang w:val="en-US" w:eastAsia="zh-CN"/>
              </w:rPr>
              <w:t>技改项目</w:t>
            </w:r>
            <w:r>
              <w:rPr>
                <w:rFonts w:hint="eastAsia"/>
                <w:b/>
                <w:bCs/>
                <w:sz w:val="24"/>
                <w:lang w:val="en-US" w:eastAsia="zh-CN"/>
              </w:rPr>
              <w:t>“三本账”</w:t>
            </w:r>
          </w:p>
          <w:p w14:paraId="0F7D1FF4">
            <w:pPr>
              <w:keepNext w:val="0"/>
              <w:keepLines w:val="0"/>
              <w:suppressLineNumbers w:val="0"/>
              <w:snapToGrid w:val="0"/>
              <w:spacing w:before="120" w:beforeLines="50" w:beforeAutospacing="0" w:after="0" w:afterAutospacing="0"/>
              <w:ind w:left="0" w:right="0" w:firstLine="480" w:firstLineChars="200"/>
              <w:contextualSpacing/>
              <w:jc w:val="both"/>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技改前后项目污染物排放情况汇总见表 4-1</w:t>
            </w:r>
            <w:r>
              <w:rPr>
                <w:rFonts w:hint="eastAsia" w:cs="Times New Roman"/>
                <w:color w:val="auto"/>
                <w:sz w:val="24"/>
                <w:lang w:val="en-US" w:eastAsia="zh-CN"/>
              </w:rPr>
              <w:t>7。</w:t>
            </w:r>
          </w:p>
          <w:p w14:paraId="281552C1">
            <w:pPr>
              <w:keepNext w:val="0"/>
              <w:keepLines w:val="0"/>
              <w:suppressLineNumbers w:val="0"/>
              <w:snapToGrid w:val="0"/>
              <w:spacing w:before="120" w:beforeLines="50" w:beforeAutospacing="0" w:after="0" w:afterAutospacing="0"/>
              <w:ind w:left="0" w:right="0"/>
              <w:contextualSpacing/>
              <w:jc w:val="center"/>
              <w:rPr>
                <w:rFonts w:hint="default" w:ascii="Times New Roman" w:hAnsi="Times New Roman"/>
                <w:b/>
                <w:color w:val="auto"/>
                <w:sz w:val="24"/>
                <w:szCs w:val="24"/>
              </w:rPr>
            </w:pPr>
            <w:r>
              <w:rPr>
                <w:rFonts w:hint="eastAsia" w:ascii="Times New Roman" w:hAnsi="Times New Roman"/>
                <w:b/>
                <w:color w:val="auto"/>
                <w:sz w:val="24"/>
                <w:szCs w:val="24"/>
              </w:rPr>
              <w:t>表4-</w:t>
            </w:r>
            <w:r>
              <w:rPr>
                <w:rFonts w:hint="eastAsia" w:ascii="Times New Roman" w:hAnsi="Times New Roman"/>
                <w:b/>
                <w:color w:val="auto"/>
                <w:sz w:val="24"/>
                <w:szCs w:val="24"/>
                <w:lang w:val="en-US" w:eastAsia="zh-CN"/>
              </w:rPr>
              <w:t>1</w:t>
            </w:r>
            <w:r>
              <w:rPr>
                <w:rFonts w:hint="eastAsia"/>
                <w:b/>
                <w:color w:val="auto"/>
                <w:sz w:val="24"/>
                <w:szCs w:val="24"/>
                <w:lang w:val="en-US" w:eastAsia="zh-CN"/>
              </w:rPr>
              <w:t>7</w:t>
            </w:r>
            <w:r>
              <w:rPr>
                <w:rFonts w:hint="eastAsia" w:ascii="Times New Roman" w:hAnsi="Times New Roman"/>
                <w:b/>
                <w:color w:val="auto"/>
                <w:sz w:val="24"/>
                <w:szCs w:val="24"/>
              </w:rPr>
              <w:t xml:space="preserve">  </w:t>
            </w:r>
            <w:r>
              <w:rPr>
                <w:rFonts w:hint="eastAsia"/>
                <w:b/>
                <w:color w:val="FF0000"/>
                <w:sz w:val="24"/>
                <w:szCs w:val="24"/>
                <w:lang w:val="en-US" w:eastAsia="zh-CN"/>
              </w:rPr>
              <w:t>技改</w:t>
            </w:r>
            <w:r>
              <w:rPr>
                <w:rFonts w:hint="eastAsia" w:ascii="Times New Roman" w:hAnsi="Times New Roman"/>
                <w:b/>
                <w:color w:val="auto"/>
                <w:sz w:val="24"/>
                <w:szCs w:val="24"/>
                <w:lang w:val="en-US" w:eastAsia="zh-CN"/>
              </w:rPr>
              <w:t xml:space="preserve">前后项目污染物产排变化情况汇总表 </w:t>
            </w:r>
            <w:r>
              <w:rPr>
                <w:rFonts w:hint="eastAsia" w:ascii="Times New Roman" w:hAnsi="Times New Roman"/>
                <w:b/>
                <w:color w:val="auto"/>
                <w:sz w:val="24"/>
                <w:szCs w:val="24"/>
              </w:rPr>
              <w:t xml:space="preserve"> 单位：t/a</w:t>
            </w:r>
          </w:p>
          <w:tbl>
            <w:tblPr>
              <w:tblStyle w:val="27"/>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34"/>
              <w:gridCol w:w="327"/>
              <w:gridCol w:w="647"/>
              <w:gridCol w:w="707"/>
              <w:gridCol w:w="709"/>
              <w:gridCol w:w="707"/>
              <w:gridCol w:w="696"/>
              <w:gridCol w:w="699"/>
              <w:gridCol w:w="849"/>
              <w:gridCol w:w="806"/>
              <w:gridCol w:w="949"/>
              <w:gridCol w:w="803"/>
            </w:tblGrid>
            <w:tr w14:paraId="2D29E7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62" w:hRule="atLeast"/>
                <w:jc w:val="center"/>
              </w:trPr>
              <w:tc>
                <w:tcPr>
                  <w:tcW w:w="844" w:type="pct"/>
                  <w:gridSpan w:val="3"/>
                  <w:tcBorders>
                    <w:tl2br w:val="nil"/>
                    <w:tr2bl w:val="nil"/>
                  </w:tcBorders>
                  <w:noWrap w:val="0"/>
                  <w:vAlign w:val="center"/>
                </w:tcPr>
                <w:p w14:paraId="5E49BEB7">
                  <w:pPr>
                    <w:pStyle w:val="55"/>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FF0000"/>
                      <w:sz w:val="21"/>
                      <w:szCs w:val="21"/>
                      <w:lang w:val="en-US"/>
                    </w:rPr>
                  </w:pPr>
                  <w:r>
                    <w:rPr>
                      <w:rFonts w:hint="default" w:ascii="Times New Roman" w:hAnsi="Times New Roman" w:cs="Times New Roman"/>
                      <w:b/>
                      <w:bCs/>
                      <w:color w:val="FF0000"/>
                      <w:sz w:val="21"/>
                      <w:szCs w:val="21"/>
                      <w:lang w:val="en-US"/>
                    </w:rPr>
                    <w:t>污染物</w:t>
                  </w:r>
                </w:p>
              </w:tc>
              <w:tc>
                <w:tcPr>
                  <w:tcW w:w="424" w:type="pct"/>
                  <w:tcBorders>
                    <w:tl2br w:val="nil"/>
                    <w:tr2bl w:val="nil"/>
                  </w:tcBorders>
                  <w:noWrap w:val="0"/>
                  <w:vAlign w:val="center"/>
                </w:tcPr>
                <w:p w14:paraId="5D1B0871">
                  <w:pPr>
                    <w:pStyle w:val="55"/>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b/>
                      <w:bCs/>
                      <w:color w:val="FF0000"/>
                      <w:sz w:val="21"/>
                      <w:szCs w:val="21"/>
                      <w:lang w:val="en-US" w:eastAsia="zh-CN"/>
                    </w:rPr>
                  </w:pPr>
                  <w:r>
                    <w:rPr>
                      <w:rFonts w:hint="default" w:ascii="Times New Roman" w:hAnsi="Times New Roman" w:cs="Times New Roman"/>
                      <w:b/>
                      <w:bCs/>
                      <w:color w:val="FF0000"/>
                      <w:sz w:val="21"/>
                      <w:szCs w:val="21"/>
                      <w:lang w:val="en-US" w:eastAsia="zh-CN"/>
                    </w:rPr>
                    <w:t>现有工程</w:t>
                  </w:r>
                  <w:r>
                    <w:rPr>
                      <w:rFonts w:hint="eastAsia" w:cs="Times New Roman"/>
                      <w:b/>
                      <w:bCs/>
                      <w:color w:val="FF0000"/>
                      <w:sz w:val="21"/>
                      <w:szCs w:val="21"/>
                      <w:lang w:val="en-US" w:eastAsia="zh-CN"/>
                    </w:rPr>
                    <w:t>产生</w:t>
                  </w:r>
                  <w:r>
                    <w:rPr>
                      <w:rFonts w:hint="default" w:ascii="Times New Roman" w:hAnsi="Times New Roman" w:cs="Times New Roman"/>
                      <w:b/>
                      <w:bCs/>
                      <w:color w:val="FF0000"/>
                      <w:sz w:val="21"/>
                      <w:szCs w:val="21"/>
                      <w:lang w:val="en-US" w:eastAsia="zh-CN"/>
                    </w:rPr>
                    <w:t>量</w:t>
                  </w:r>
                </w:p>
              </w:tc>
              <w:tc>
                <w:tcPr>
                  <w:tcW w:w="425" w:type="pct"/>
                  <w:tcBorders>
                    <w:tl2br w:val="nil"/>
                    <w:tr2bl w:val="nil"/>
                  </w:tcBorders>
                  <w:noWrap w:val="0"/>
                  <w:vAlign w:val="center"/>
                </w:tcPr>
                <w:p w14:paraId="77151740">
                  <w:pPr>
                    <w:pStyle w:val="55"/>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b/>
                      <w:bCs/>
                      <w:color w:val="FF0000"/>
                      <w:sz w:val="21"/>
                      <w:szCs w:val="21"/>
                      <w:lang w:val="en-US" w:eastAsia="zh-CN"/>
                    </w:rPr>
                  </w:pPr>
                  <w:r>
                    <w:rPr>
                      <w:rFonts w:hint="eastAsia" w:cs="Times New Roman"/>
                      <w:b/>
                      <w:bCs/>
                      <w:color w:val="FF0000"/>
                      <w:sz w:val="21"/>
                      <w:szCs w:val="21"/>
                      <w:lang w:val="en-US" w:eastAsia="zh-CN"/>
                    </w:rPr>
                    <w:t>削减量</w:t>
                  </w:r>
                </w:p>
              </w:tc>
              <w:tc>
                <w:tcPr>
                  <w:tcW w:w="424" w:type="pct"/>
                  <w:tcBorders>
                    <w:tl2br w:val="nil"/>
                    <w:tr2bl w:val="nil"/>
                  </w:tcBorders>
                  <w:noWrap w:val="0"/>
                  <w:vAlign w:val="center"/>
                </w:tcPr>
                <w:p w14:paraId="78A3F9CF">
                  <w:pPr>
                    <w:pStyle w:val="55"/>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FF0000"/>
                      <w:sz w:val="21"/>
                      <w:szCs w:val="21"/>
                      <w:lang w:val="en-US" w:eastAsia="zh-CN"/>
                    </w:rPr>
                  </w:pPr>
                  <w:r>
                    <w:rPr>
                      <w:rFonts w:hint="default" w:ascii="Times New Roman" w:hAnsi="Times New Roman" w:cs="Times New Roman"/>
                      <w:b/>
                      <w:bCs/>
                      <w:color w:val="FF0000"/>
                      <w:sz w:val="21"/>
                      <w:szCs w:val="21"/>
                      <w:lang w:val="en-US" w:eastAsia="zh-CN"/>
                    </w:rPr>
                    <w:t>现有工程排放量</w:t>
                  </w:r>
                </w:p>
              </w:tc>
              <w:tc>
                <w:tcPr>
                  <w:tcW w:w="417" w:type="pct"/>
                  <w:tcBorders>
                    <w:tl2br w:val="nil"/>
                    <w:tr2bl w:val="nil"/>
                  </w:tcBorders>
                  <w:noWrap w:val="0"/>
                  <w:vAlign w:val="center"/>
                </w:tcPr>
                <w:p w14:paraId="273669B0">
                  <w:pPr>
                    <w:pStyle w:val="55"/>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b/>
                      <w:bCs/>
                      <w:color w:val="FF0000"/>
                      <w:sz w:val="21"/>
                      <w:szCs w:val="21"/>
                      <w:lang w:val="en-US" w:eastAsia="zh-CN"/>
                    </w:rPr>
                  </w:pPr>
                  <w:r>
                    <w:rPr>
                      <w:rFonts w:hint="default" w:ascii="Times New Roman" w:hAnsi="Times New Roman" w:cs="Times New Roman"/>
                      <w:b/>
                      <w:bCs/>
                      <w:color w:val="FF0000"/>
                      <w:sz w:val="21"/>
                      <w:szCs w:val="21"/>
                      <w:lang w:val="en-US" w:eastAsia="zh-CN"/>
                    </w:rPr>
                    <w:t>本项目</w:t>
                  </w:r>
                  <w:r>
                    <w:rPr>
                      <w:rFonts w:hint="eastAsia" w:cs="Times New Roman"/>
                      <w:b/>
                      <w:bCs/>
                      <w:color w:val="FF0000"/>
                      <w:sz w:val="21"/>
                      <w:szCs w:val="21"/>
                      <w:lang w:val="en-US" w:eastAsia="zh-CN"/>
                    </w:rPr>
                    <w:t>产生</w:t>
                  </w:r>
                  <w:r>
                    <w:rPr>
                      <w:rFonts w:hint="default" w:ascii="Times New Roman" w:hAnsi="Times New Roman" w:cs="Times New Roman"/>
                      <w:b/>
                      <w:bCs/>
                      <w:color w:val="FF0000"/>
                      <w:sz w:val="21"/>
                      <w:szCs w:val="21"/>
                      <w:lang w:val="en-US" w:eastAsia="zh-CN"/>
                    </w:rPr>
                    <w:t>量</w:t>
                  </w:r>
                </w:p>
              </w:tc>
              <w:tc>
                <w:tcPr>
                  <w:tcW w:w="419" w:type="pct"/>
                  <w:tcBorders>
                    <w:tl2br w:val="nil"/>
                    <w:tr2bl w:val="nil"/>
                  </w:tcBorders>
                  <w:noWrap w:val="0"/>
                  <w:vAlign w:val="center"/>
                </w:tcPr>
                <w:p w14:paraId="38316C0E">
                  <w:pPr>
                    <w:pStyle w:val="55"/>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b/>
                      <w:bCs/>
                      <w:color w:val="FF0000"/>
                      <w:sz w:val="21"/>
                      <w:szCs w:val="21"/>
                      <w:lang w:val="en-US" w:eastAsia="zh-CN"/>
                    </w:rPr>
                  </w:pPr>
                  <w:r>
                    <w:rPr>
                      <w:rFonts w:hint="eastAsia" w:cs="Times New Roman"/>
                      <w:b/>
                      <w:bCs/>
                      <w:color w:val="FF0000"/>
                      <w:sz w:val="21"/>
                      <w:szCs w:val="21"/>
                      <w:lang w:val="en-US" w:eastAsia="zh-CN"/>
                    </w:rPr>
                    <w:t>削减量</w:t>
                  </w:r>
                </w:p>
              </w:tc>
              <w:tc>
                <w:tcPr>
                  <w:tcW w:w="509" w:type="pct"/>
                  <w:tcBorders>
                    <w:tl2br w:val="nil"/>
                    <w:tr2bl w:val="nil"/>
                  </w:tcBorders>
                  <w:noWrap w:val="0"/>
                  <w:vAlign w:val="center"/>
                </w:tcPr>
                <w:p w14:paraId="5FE18173">
                  <w:pPr>
                    <w:pStyle w:val="55"/>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b/>
                      <w:bCs/>
                      <w:color w:val="FF0000"/>
                      <w:sz w:val="21"/>
                      <w:szCs w:val="21"/>
                      <w:lang w:val="en-US" w:eastAsia="zh-CN"/>
                    </w:rPr>
                  </w:pPr>
                  <w:r>
                    <w:rPr>
                      <w:rFonts w:hint="default" w:ascii="Times New Roman" w:hAnsi="Times New Roman" w:cs="Times New Roman"/>
                      <w:b/>
                      <w:bCs/>
                      <w:color w:val="FF0000"/>
                      <w:sz w:val="21"/>
                      <w:szCs w:val="21"/>
                      <w:lang w:val="en-US" w:eastAsia="zh-CN"/>
                    </w:rPr>
                    <w:t>本项目排放量</w:t>
                  </w:r>
                </w:p>
              </w:tc>
              <w:tc>
                <w:tcPr>
                  <w:tcW w:w="483" w:type="pct"/>
                  <w:tcBorders>
                    <w:tl2br w:val="nil"/>
                    <w:tr2bl w:val="nil"/>
                  </w:tcBorders>
                  <w:noWrap w:val="0"/>
                  <w:vAlign w:val="center"/>
                </w:tcPr>
                <w:p w14:paraId="7FE46690">
                  <w:pPr>
                    <w:pStyle w:val="55"/>
                    <w:keepNext w:val="0"/>
                    <w:keepLines w:val="0"/>
                    <w:suppressLineNumbers w:val="0"/>
                    <w:spacing w:before="0" w:beforeAutospacing="0" w:after="0" w:afterAutospacing="0" w:line="240" w:lineRule="auto"/>
                    <w:ind w:left="0" w:right="0" w:firstLine="0" w:firstLineChars="0"/>
                    <w:jc w:val="center"/>
                    <w:rPr>
                      <w:rFonts w:hint="default" w:cs="Times New Roman"/>
                      <w:b/>
                      <w:bCs/>
                      <w:color w:val="FF0000"/>
                      <w:sz w:val="21"/>
                      <w:szCs w:val="21"/>
                      <w:lang w:val="en-US" w:eastAsia="zh-CN"/>
                    </w:rPr>
                  </w:pPr>
                  <w:r>
                    <w:rPr>
                      <w:rFonts w:hint="eastAsia" w:cs="Times New Roman"/>
                      <w:b/>
                      <w:bCs/>
                      <w:color w:val="FF0000"/>
                      <w:sz w:val="21"/>
                      <w:szCs w:val="21"/>
                      <w:lang w:val="en-US" w:eastAsia="zh-CN"/>
                    </w:rPr>
                    <w:t>“以新带老”全厂削减量</w:t>
                  </w:r>
                </w:p>
              </w:tc>
              <w:tc>
                <w:tcPr>
                  <w:tcW w:w="569" w:type="pct"/>
                  <w:tcBorders>
                    <w:tl2br w:val="nil"/>
                    <w:tr2bl w:val="nil"/>
                  </w:tcBorders>
                  <w:noWrap w:val="0"/>
                  <w:vAlign w:val="center"/>
                </w:tcPr>
                <w:p w14:paraId="009FF46D">
                  <w:pPr>
                    <w:pStyle w:val="55"/>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FF0000"/>
                      <w:sz w:val="21"/>
                      <w:szCs w:val="21"/>
                      <w:lang w:val="en-US" w:eastAsia="zh-CN"/>
                    </w:rPr>
                  </w:pPr>
                  <w:r>
                    <w:rPr>
                      <w:rFonts w:hint="default" w:ascii="Times New Roman" w:hAnsi="Times New Roman" w:cs="Times New Roman"/>
                      <w:b/>
                      <w:bCs/>
                      <w:color w:val="FF0000"/>
                      <w:sz w:val="21"/>
                      <w:szCs w:val="21"/>
                      <w:lang w:val="en-US" w:eastAsia="zh-CN"/>
                    </w:rPr>
                    <w:t>本项目建设完成后全厂排放量</w:t>
                  </w:r>
                </w:p>
              </w:tc>
              <w:tc>
                <w:tcPr>
                  <w:tcW w:w="481" w:type="pct"/>
                  <w:tcBorders>
                    <w:tl2br w:val="nil"/>
                    <w:tr2bl w:val="nil"/>
                  </w:tcBorders>
                  <w:noWrap w:val="0"/>
                  <w:vAlign w:val="center"/>
                </w:tcPr>
                <w:p w14:paraId="14948DEF">
                  <w:pPr>
                    <w:pStyle w:val="55"/>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FF0000"/>
                      <w:sz w:val="21"/>
                      <w:szCs w:val="21"/>
                      <w:lang w:val="en-US" w:eastAsia="zh-CN"/>
                    </w:rPr>
                  </w:pPr>
                  <w:r>
                    <w:rPr>
                      <w:rFonts w:hint="default" w:ascii="Times New Roman" w:hAnsi="Times New Roman" w:cs="Times New Roman"/>
                      <w:b/>
                      <w:bCs/>
                      <w:color w:val="FF0000"/>
                      <w:sz w:val="21"/>
                      <w:szCs w:val="21"/>
                      <w:lang w:val="en-US" w:eastAsia="zh-CN"/>
                    </w:rPr>
                    <w:t>变化量</w:t>
                  </w:r>
                </w:p>
              </w:tc>
            </w:tr>
            <w:tr w14:paraId="530954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60" w:type="pct"/>
                  <w:vMerge w:val="restart"/>
                  <w:tcBorders>
                    <w:tl2br w:val="nil"/>
                    <w:tr2bl w:val="nil"/>
                  </w:tcBorders>
                  <w:noWrap w:val="0"/>
                  <w:vAlign w:val="center"/>
                </w:tcPr>
                <w:p w14:paraId="264501EA">
                  <w:pPr>
                    <w:pStyle w:val="55"/>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FF0000"/>
                      <w:sz w:val="21"/>
                      <w:szCs w:val="21"/>
                      <w:lang w:val="en-US" w:eastAsia="zh-CN"/>
                    </w:rPr>
                  </w:pPr>
                  <w:r>
                    <w:rPr>
                      <w:rFonts w:hint="default" w:ascii="Times New Roman" w:hAnsi="Times New Roman" w:cs="Times New Roman"/>
                      <w:color w:val="FF0000"/>
                      <w:sz w:val="21"/>
                      <w:szCs w:val="21"/>
                      <w:lang w:val="en-US" w:eastAsia="zh-CN"/>
                    </w:rPr>
                    <w:t>废气</w:t>
                  </w:r>
                </w:p>
              </w:tc>
              <w:tc>
                <w:tcPr>
                  <w:tcW w:w="584" w:type="pct"/>
                  <w:gridSpan w:val="2"/>
                  <w:tcBorders>
                    <w:tl2br w:val="nil"/>
                    <w:tr2bl w:val="nil"/>
                  </w:tcBorders>
                  <w:noWrap w:val="0"/>
                  <w:vAlign w:val="center"/>
                </w:tcPr>
                <w:p w14:paraId="0984EEF7">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FF0000"/>
                      <w:kern w:val="18"/>
                      <w:sz w:val="21"/>
                      <w:szCs w:val="21"/>
                      <w:lang w:val="en-US" w:eastAsia="zh-CN" w:bidi="ar-SA"/>
                    </w:rPr>
                  </w:pPr>
                  <w:r>
                    <w:rPr>
                      <w:rFonts w:hint="default" w:ascii="Times New Roman" w:hAnsi="Times New Roman" w:cs="Times New Roman"/>
                      <w:color w:val="FF0000"/>
                      <w:sz w:val="21"/>
                      <w:szCs w:val="21"/>
                    </w:rPr>
                    <w:t>颗粒物</w:t>
                  </w:r>
                </w:p>
              </w:tc>
              <w:tc>
                <w:tcPr>
                  <w:tcW w:w="424" w:type="pct"/>
                  <w:tcBorders>
                    <w:tl2br w:val="nil"/>
                    <w:tr2bl w:val="nil"/>
                  </w:tcBorders>
                  <w:noWrap w:val="0"/>
                  <w:vAlign w:val="center"/>
                </w:tcPr>
                <w:p w14:paraId="6E489612">
                  <w:pPr>
                    <w:jc w:val="center"/>
                    <w:rPr>
                      <w:rFonts w:hint="default"/>
                      <w:bCs/>
                      <w:snapToGrid w:val="0"/>
                      <w:color w:val="FF0000"/>
                      <w:kern w:val="21"/>
                      <w:szCs w:val="21"/>
                      <w:lang w:val="en-US" w:eastAsia="zh-CN"/>
                    </w:rPr>
                  </w:pPr>
                  <w:r>
                    <w:rPr>
                      <w:rFonts w:hint="eastAsia"/>
                      <w:bCs/>
                      <w:snapToGrid w:val="0"/>
                      <w:color w:val="FF0000"/>
                      <w:kern w:val="21"/>
                      <w:szCs w:val="21"/>
                      <w:lang w:val="en-US" w:eastAsia="zh-CN"/>
                    </w:rPr>
                    <w:t>64</w:t>
                  </w:r>
                </w:p>
              </w:tc>
              <w:tc>
                <w:tcPr>
                  <w:tcW w:w="425" w:type="pct"/>
                  <w:tcBorders>
                    <w:tl2br w:val="nil"/>
                    <w:tr2bl w:val="nil"/>
                  </w:tcBorders>
                  <w:noWrap w:val="0"/>
                  <w:vAlign w:val="center"/>
                </w:tcPr>
                <w:p w14:paraId="7AE81D8E">
                  <w:pPr>
                    <w:jc w:val="center"/>
                    <w:rPr>
                      <w:rFonts w:hint="default"/>
                      <w:bCs/>
                      <w:snapToGrid w:val="0"/>
                      <w:color w:val="FF0000"/>
                      <w:kern w:val="21"/>
                      <w:szCs w:val="21"/>
                      <w:lang w:val="en-US" w:eastAsia="zh-CN"/>
                    </w:rPr>
                  </w:pPr>
                  <w:r>
                    <w:rPr>
                      <w:rFonts w:hint="eastAsia"/>
                      <w:bCs/>
                      <w:snapToGrid w:val="0"/>
                      <w:color w:val="FF0000"/>
                      <w:kern w:val="21"/>
                      <w:szCs w:val="21"/>
                      <w:lang w:val="en-US" w:eastAsia="zh-CN"/>
                    </w:rPr>
                    <w:t>60.8</w:t>
                  </w:r>
                </w:p>
              </w:tc>
              <w:tc>
                <w:tcPr>
                  <w:tcW w:w="424" w:type="pct"/>
                  <w:tcBorders>
                    <w:tl2br w:val="nil"/>
                    <w:tr2bl w:val="nil"/>
                  </w:tcBorders>
                  <w:noWrap w:val="0"/>
                  <w:vAlign w:val="center"/>
                </w:tcPr>
                <w:p w14:paraId="384A4BF9">
                  <w:pPr>
                    <w:jc w:val="center"/>
                    <w:rPr>
                      <w:rFonts w:hint="default" w:ascii="Times New Roman" w:hAnsi="Times New Roman" w:eastAsia="宋体" w:cs="Times New Roman"/>
                      <w:color w:val="FF0000"/>
                      <w:kern w:val="18"/>
                      <w:sz w:val="21"/>
                      <w:szCs w:val="21"/>
                      <w:lang w:val="en-US" w:eastAsia="zh-CN" w:bidi="ar-SA"/>
                    </w:rPr>
                  </w:pPr>
                  <w:r>
                    <w:rPr>
                      <w:rFonts w:hint="eastAsia"/>
                      <w:bCs/>
                      <w:snapToGrid w:val="0"/>
                      <w:color w:val="FF0000"/>
                      <w:kern w:val="21"/>
                      <w:szCs w:val="21"/>
                      <w:lang w:val="en-US" w:eastAsia="zh-CN"/>
                    </w:rPr>
                    <w:t>3.2</w:t>
                  </w:r>
                </w:p>
              </w:tc>
              <w:tc>
                <w:tcPr>
                  <w:tcW w:w="417" w:type="pct"/>
                  <w:tcBorders>
                    <w:tl2br w:val="nil"/>
                    <w:tr2bl w:val="nil"/>
                  </w:tcBorders>
                  <w:noWrap w:val="0"/>
                  <w:vAlign w:val="center"/>
                </w:tcPr>
                <w:p w14:paraId="7721B0B4">
                  <w:pPr>
                    <w:pStyle w:val="5"/>
                    <w:spacing w:before="0" w:after="0" w:line="0" w:lineRule="atLeast"/>
                    <w:jc w:val="center"/>
                    <w:rPr>
                      <w:rFonts w:hint="default"/>
                      <w:b w:val="0"/>
                      <w:bCs w:val="0"/>
                      <w:color w:val="FF0000"/>
                      <w:sz w:val="21"/>
                      <w:szCs w:val="21"/>
                      <w:lang w:val="en-US" w:eastAsia="zh-CN"/>
                    </w:rPr>
                  </w:pPr>
                  <w:r>
                    <w:rPr>
                      <w:rFonts w:hint="eastAsia"/>
                      <w:b w:val="0"/>
                      <w:bCs w:val="0"/>
                      <w:color w:val="FF0000"/>
                      <w:sz w:val="21"/>
                      <w:szCs w:val="21"/>
                      <w:lang w:val="en-US" w:eastAsia="zh-CN"/>
                    </w:rPr>
                    <w:t>169.2</w:t>
                  </w:r>
                </w:p>
              </w:tc>
              <w:tc>
                <w:tcPr>
                  <w:tcW w:w="419" w:type="pct"/>
                  <w:tcBorders>
                    <w:tl2br w:val="nil"/>
                    <w:tr2bl w:val="nil"/>
                  </w:tcBorders>
                  <w:noWrap w:val="0"/>
                  <w:vAlign w:val="center"/>
                </w:tcPr>
                <w:p w14:paraId="5F80F22B">
                  <w:pPr>
                    <w:adjustRightInd w:val="0"/>
                    <w:snapToGrid w:val="0"/>
                    <w:jc w:val="center"/>
                    <w:rPr>
                      <w:rFonts w:hint="default"/>
                      <w:b w:val="0"/>
                      <w:bCs w:val="0"/>
                      <w:color w:val="FF0000"/>
                      <w:sz w:val="21"/>
                      <w:szCs w:val="21"/>
                      <w:lang w:val="en-US" w:eastAsia="zh-CN"/>
                    </w:rPr>
                  </w:pPr>
                  <w:r>
                    <w:rPr>
                      <w:rFonts w:hint="eastAsia"/>
                      <w:b w:val="0"/>
                      <w:bCs w:val="0"/>
                      <w:color w:val="FF0000"/>
                      <w:sz w:val="21"/>
                      <w:szCs w:val="21"/>
                      <w:lang w:val="en-US" w:eastAsia="zh-CN"/>
                    </w:rPr>
                    <w:t>168.692</w:t>
                  </w:r>
                </w:p>
              </w:tc>
              <w:tc>
                <w:tcPr>
                  <w:tcW w:w="509" w:type="pct"/>
                  <w:tcBorders>
                    <w:tl2br w:val="nil"/>
                    <w:tr2bl w:val="nil"/>
                  </w:tcBorders>
                  <w:noWrap w:val="0"/>
                  <w:vAlign w:val="center"/>
                </w:tcPr>
                <w:p w14:paraId="64D29C36">
                  <w:pPr>
                    <w:pStyle w:val="5"/>
                    <w:spacing w:before="0" w:after="0" w:line="0" w:lineRule="atLeast"/>
                    <w:jc w:val="center"/>
                    <w:rPr>
                      <w:rFonts w:hint="default" w:ascii="Times New Roman" w:hAnsi="Times New Roman" w:eastAsia="宋体" w:cs="Times New Roman"/>
                      <w:color w:val="FF0000"/>
                      <w:sz w:val="21"/>
                      <w:szCs w:val="21"/>
                      <w:lang w:val="en-US" w:eastAsia="zh-CN"/>
                    </w:rPr>
                  </w:pPr>
                  <w:r>
                    <w:rPr>
                      <w:rFonts w:hint="eastAsia"/>
                      <w:b w:val="0"/>
                      <w:bCs w:val="0"/>
                      <w:color w:val="FF0000"/>
                      <w:sz w:val="21"/>
                      <w:szCs w:val="21"/>
                      <w:lang w:val="en-US" w:eastAsia="zh-CN"/>
                    </w:rPr>
                    <w:t>0.508</w:t>
                  </w:r>
                </w:p>
              </w:tc>
              <w:tc>
                <w:tcPr>
                  <w:tcW w:w="483" w:type="pct"/>
                  <w:tcBorders>
                    <w:tl2br w:val="nil"/>
                    <w:tr2bl w:val="nil"/>
                  </w:tcBorders>
                  <w:noWrap w:val="0"/>
                  <w:vAlign w:val="center"/>
                </w:tcPr>
                <w:p w14:paraId="5E77B172">
                  <w:pPr>
                    <w:adjustRightInd w:val="0"/>
                    <w:snapToGrid w:val="0"/>
                    <w:jc w:val="center"/>
                    <w:rPr>
                      <w:rFonts w:hint="default"/>
                      <w:b w:val="0"/>
                      <w:bCs w:val="0"/>
                      <w:color w:val="FF0000"/>
                      <w:sz w:val="21"/>
                      <w:szCs w:val="21"/>
                      <w:lang w:val="en-US" w:eastAsia="zh-CN"/>
                    </w:rPr>
                  </w:pPr>
                  <w:r>
                    <w:rPr>
                      <w:rFonts w:hint="eastAsia"/>
                      <w:b w:val="0"/>
                      <w:bCs w:val="0"/>
                      <w:color w:val="FF0000"/>
                      <w:sz w:val="21"/>
                      <w:szCs w:val="21"/>
                      <w:lang w:val="en-US" w:eastAsia="zh-CN"/>
                    </w:rPr>
                    <w:t>-2.692</w:t>
                  </w:r>
                </w:p>
              </w:tc>
              <w:tc>
                <w:tcPr>
                  <w:tcW w:w="569" w:type="pct"/>
                  <w:tcBorders>
                    <w:tl2br w:val="nil"/>
                    <w:tr2bl w:val="nil"/>
                  </w:tcBorders>
                  <w:noWrap w:val="0"/>
                  <w:vAlign w:val="center"/>
                </w:tcPr>
                <w:p w14:paraId="10EF7B22">
                  <w:pPr>
                    <w:pStyle w:val="5"/>
                    <w:spacing w:before="0" w:after="0" w:line="0" w:lineRule="atLeast"/>
                    <w:jc w:val="center"/>
                    <w:rPr>
                      <w:rFonts w:hint="default" w:ascii="Times New Roman" w:hAnsi="Times New Roman" w:cs="Times New Roman"/>
                      <w:color w:val="FF0000"/>
                      <w:sz w:val="21"/>
                      <w:szCs w:val="21"/>
                      <w:lang w:val="en-US" w:eastAsia="zh-CN" w:bidi="ar-SA"/>
                    </w:rPr>
                  </w:pPr>
                  <w:r>
                    <w:rPr>
                      <w:rFonts w:hint="eastAsia"/>
                      <w:b w:val="0"/>
                      <w:bCs w:val="0"/>
                      <w:color w:val="FF0000"/>
                      <w:sz w:val="21"/>
                      <w:szCs w:val="21"/>
                      <w:lang w:val="en-US" w:eastAsia="zh-CN"/>
                    </w:rPr>
                    <w:t>0.508</w:t>
                  </w:r>
                </w:p>
              </w:tc>
              <w:tc>
                <w:tcPr>
                  <w:tcW w:w="481" w:type="pct"/>
                  <w:tcBorders>
                    <w:tl2br w:val="nil"/>
                    <w:tr2bl w:val="nil"/>
                  </w:tcBorders>
                  <w:noWrap w:val="0"/>
                  <w:vAlign w:val="center"/>
                </w:tcPr>
                <w:p w14:paraId="223E71EB">
                  <w:pPr>
                    <w:adjustRightInd w:val="0"/>
                    <w:snapToGrid w:val="0"/>
                    <w:jc w:val="center"/>
                    <w:rPr>
                      <w:rFonts w:hint="default" w:ascii="Times New Roman" w:hAnsi="Times New Roman" w:cs="Times New Roman"/>
                      <w:color w:val="FF0000"/>
                      <w:sz w:val="21"/>
                      <w:szCs w:val="21"/>
                      <w:lang w:val="en-US"/>
                    </w:rPr>
                  </w:pPr>
                  <w:r>
                    <w:rPr>
                      <w:rFonts w:hint="eastAsia"/>
                      <w:b w:val="0"/>
                      <w:bCs w:val="0"/>
                      <w:color w:val="FF0000"/>
                      <w:sz w:val="21"/>
                      <w:szCs w:val="21"/>
                      <w:lang w:val="en-US" w:eastAsia="zh-CN"/>
                    </w:rPr>
                    <w:t>-2.692</w:t>
                  </w:r>
                </w:p>
              </w:tc>
            </w:tr>
            <w:tr w14:paraId="106134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60" w:type="pct"/>
                  <w:vMerge w:val="continue"/>
                  <w:tcBorders>
                    <w:tl2br w:val="nil"/>
                    <w:tr2bl w:val="nil"/>
                  </w:tcBorders>
                  <w:noWrap w:val="0"/>
                  <w:vAlign w:val="center"/>
                </w:tcPr>
                <w:p w14:paraId="51F74B36">
                  <w:pPr>
                    <w:pStyle w:val="55"/>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FF0000"/>
                      <w:sz w:val="21"/>
                      <w:szCs w:val="21"/>
                      <w:lang w:val="en-US" w:eastAsia="zh-CN"/>
                    </w:rPr>
                  </w:pPr>
                </w:p>
              </w:tc>
              <w:tc>
                <w:tcPr>
                  <w:tcW w:w="584" w:type="pct"/>
                  <w:gridSpan w:val="2"/>
                  <w:tcBorders>
                    <w:tl2br w:val="nil"/>
                    <w:tr2bl w:val="nil"/>
                  </w:tcBorders>
                  <w:noWrap w:val="0"/>
                  <w:vAlign w:val="center"/>
                </w:tcPr>
                <w:p w14:paraId="5530461F">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FF0000"/>
                      <w:kern w:val="18"/>
                      <w:sz w:val="21"/>
                      <w:szCs w:val="21"/>
                      <w:lang w:val="en-US" w:eastAsia="zh-CN" w:bidi="ar-SA"/>
                    </w:rPr>
                  </w:pPr>
                  <w:r>
                    <w:rPr>
                      <w:rFonts w:hint="default" w:ascii="Times New Roman" w:hAnsi="Times New Roman" w:cs="Times New Roman"/>
                      <w:color w:val="FF0000"/>
                      <w:sz w:val="21"/>
                      <w:szCs w:val="21"/>
                    </w:rPr>
                    <w:t>SO</w:t>
                  </w:r>
                  <w:r>
                    <w:rPr>
                      <w:rFonts w:hint="default" w:ascii="Times New Roman" w:hAnsi="Times New Roman" w:cs="Times New Roman"/>
                      <w:color w:val="FF0000"/>
                      <w:sz w:val="21"/>
                      <w:szCs w:val="21"/>
                      <w:vertAlign w:val="subscript"/>
                    </w:rPr>
                    <w:t>2</w:t>
                  </w:r>
                </w:p>
              </w:tc>
              <w:tc>
                <w:tcPr>
                  <w:tcW w:w="707" w:type="dxa"/>
                  <w:tcBorders>
                    <w:tl2br w:val="nil"/>
                    <w:tr2bl w:val="nil"/>
                  </w:tcBorders>
                  <w:shd w:val="clear" w:color="auto" w:fill="auto"/>
                  <w:noWrap w:val="0"/>
                  <w:vAlign w:val="center"/>
                </w:tcPr>
                <w:p w14:paraId="5895D433">
                  <w:pPr>
                    <w:pStyle w:val="5"/>
                    <w:spacing w:before="0" w:after="0" w:line="0" w:lineRule="atLeast"/>
                    <w:jc w:val="center"/>
                    <w:rPr>
                      <w:rFonts w:hint="eastAsia" w:ascii="Times New Roman" w:hAnsi="Times New Roman" w:eastAsia="宋体" w:cs="Times New Roman"/>
                      <w:color w:val="FF0000"/>
                      <w:kern w:val="18"/>
                      <w:sz w:val="21"/>
                      <w:szCs w:val="21"/>
                      <w:lang w:val="en-US" w:eastAsia="zh-CN" w:bidi="ar-SA"/>
                    </w:rPr>
                  </w:pPr>
                  <w:r>
                    <w:rPr>
                      <w:rFonts w:hint="eastAsia" w:cs="Times New Roman"/>
                      <w:b w:val="0"/>
                      <w:bCs w:val="0"/>
                      <w:color w:val="FF0000"/>
                      <w:sz w:val="21"/>
                      <w:szCs w:val="21"/>
                      <w:vertAlign w:val="baseline"/>
                      <w:lang w:val="en-US" w:eastAsia="zh-CN"/>
                    </w:rPr>
                    <w:t>0.765</w:t>
                  </w:r>
                </w:p>
              </w:tc>
              <w:tc>
                <w:tcPr>
                  <w:tcW w:w="425" w:type="pct"/>
                  <w:tcBorders>
                    <w:tl2br w:val="nil"/>
                    <w:tr2bl w:val="nil"/>
                  </w:tcBorders>
                  <w:noWrap w:val="0"/>
                  <w:vAlign w:val="center"/>
                </w:tcPr>
                <w:p w14:paraId="792358D8">
                  <w:pPr>
                    <w:jc w:val="center"/>
                    <w:rPr>
                      <w:rFonts w:hint="default" w:cs="Times New Roman"/>
                      <w:b w:val="0"/>
                      <w:bCs w:val="0"/>
                      <w:color w:val="FF0000"/>
                      <w:sz w:val="21"/>
                      <w:szCs w:val="21"/>
                      <w:vertAlign w:val="baseline"/>
                      <w:lang w:val="en-US" w:eastAsia="zh-CN"/>
                    </w:rPr>
                  </w:pPr>
                  <w:r>
                    <w:rPr>
                      <w:rFonts w:hint="eastAsia" w:cs="Times New Roman"/>
                      <w:b w:val="0"/>
                      <w:bCs w:val="0"/>
                      <w:color w:val="FF0000"/>
                      <w:sz w:val="21"/>
                      <w:szCs w:val="21"/>
                      <w:vertAlign w:val="baseline"/>
                      <w:lang w:val="en-US" w:eastAsia="zh-CN"/>
                    </w:rPr>
                    <w:t>0</w:t>
                  </w:r>
                </w:p>
              </w:tc>
              <w:tc>
                <w:tcPr>
                  <w:tcW w:w="707" w:type="dxa"/>
                  <w:tcBorders>
                    <w:tl2br w:val="nil"/>
                    <w:tr2bl w:val="nil"/>
                  </w:tcBorders>
                  <w:noWrap w:val="0"/>
                  <w:vAlign w:val="center"/>
                </w:tcPr>
                <w:p w14:paraId="1350A1CF">
                  <w:pPr>
                    <w:pStyle w:val="5"/>
                    <w:spacing w:before="0" w:after="0" w:line="0" w:lineRule="atLeast"/>
                    <w:jc w:val="center"/>
                    <w:rPr>
                      <w:rFonts w:hint="default" w:ascii="Times New Roman" w:hAnsi="Times New Roman" w:eastAsia="宋体" w:cs="Times New Roman"/>
                      <w:color w:val="FF0000"/>
                      <w:kern w:val="18"/>
                      <w:sz w:val="21"/>
                      <w:szCs w:val="21"/>
                      <w:lang w:val="en-US" w:eastAsia="zh-CN" w:bidi="ar-SA"/>
                    </w:rPr>
                  </w:pPr>
                  <w:r>
                    <w:rPr>
                      <w:rFonts w:hint="eastAsia" w:cs="Times New Roman"/>
                      <w:b w:val="0"/>
                      <w:bCs w:val="0"/>
                      <w:color w:val="FF0000"/>
                      <w:sz w:val="21"/>
                      <w:szCs w:val="21"/>
                      <w:vertAlign w:val="baseline"/>
                      <w:lang w:val="en-US" w:eastAsia="zh-CN"/>
                    </w:rPr>
                    <w:t>0.765</w:t>
                  </w:r>
                </w:p>
              </w:tc>
              <w:tc>
                <w:tcPr>
                  <w:tcW w:w="417" w:type="pct"/>
                  <w:tcBorders>
                    <w:tl2br w:val="nil"/>
                    <w:tr2bl w:val="nil"/>
                  </w:tcBorders>
                  <w:shd w:val="clear" w:color="auto" w:fill="auto"/>
                  <w:noWrap w:val="0"/>
                  <w:vAlign w:val="center"/>
                </w:tcPr>
                <w:p w14:paraId="11860B2E">
                  <w:pPr>
                    <w:pStyle w:val="5"/>
                    <w:spacing w:before="0" w:after="0" w:line="0" w:lineRule="atLeast"/>
                    <w:jc w:val="center"/>
                    <w:rPr>
                      <w:rFonts w:hint="eastAsia" w:ascii="Times New Roman" w:hAnsi="Times New Roman" w:eastAsia="宋体" w:cs="Times New Roman"/>
                      <w:color w:val="FF0000"/>
                      <w:kern w:val="2"/>
                      <w:sz w:val="21"/>
                      <w:szCs w:val="21"/>
                      <w:lang w:val="en-US" w:eastAsia="zh-CN" w:bidi="ar-SA"/>
                    </w:rPr>
                  </w:pPr>
                  <w:r>
                    <w:rPr>
                      <w:rFonts w:hint="eastAsia" w:cs="Times New Roman"/>
                      <w:b w:val="0"/>
                      <w:bCs w:val="0"/>
                      <w:color w:val="FF0000"/>
                      <w:sz w:val="21"/>
                      <w:szCs w:val="21"/>
                      <w:vertAlign w:val="baseline"/>
                      <w:lang w:val="en-US" w:eastAsia="zh-CN"/>
                    </w:rPr>
                    <w:t>0.765</w:t>
                  </w:r>
                </w:p>
              </w:tc>
              <w:tc>
                <w:tcPr>
                  <w:tcW w:w="419" w:type="pct"/>
                  <w:tcBorders>
                    <w:tl2br w:val="nil"/>
                    <w:tr2bl w:val="nil"/>
                  </w:tcBorders>
                  <w:noWrap w:val="0"/>
                  <w:vAlign w:val="center"/>
                </w:tcPr>
                <w:p w14:paraId="723BF62F">
                  <w:pPr>
                    <w:adjustRightInd w:val="0"/>
                    <w:snapToGrid w:val="0"/>
                    <w:jc w:val="center"/>
                    <w:rPr>
                      <w:rFonts w:hint="default" w:cs="Times New Roman"/>
                      <w:b w:val="0"/>
                      <w:bCs w:val="0"/>
                      <w:color w:val="FF0000"/>
                      <w:sz w:val="21"/>
                      <w:szCs w:val="21"/>
                      <w:vertAlign w:val="baseline"/>
                      <w:lang w:val="en-US" w:eastAsia="zh-CN"/>
                    </w:rPr>
                  </w:pPr>
                  <w:r>
                    <w:rPr>
                      <w:rFonts w:hint="eastAsia" w:cs="Times New Roman"/>
                      <w:b w:val="0"/>
                      <w:bCs w:val="0"/>
                      <w:color w:val="FF0000"/>
                      <w:sz w:val="21"/>
                      <w:szCs w:val="21"/>
                      <w:vertAlign w:val="baseline"/>
                      <w:lang w:val="en-US" w:eastAsia="zh-CN"/>
                    </w:rPr>
                    <w:t>0</w:t>
                  </w:r>
                </w:p>
              </w:tc>
              <w:tc>
                <w:tcPr>
                  <w:tcW w:w="509" w:type="pct"/>
                  <w:tcBorders>
                    <w:tl2br w:val="nil"/>
                    <w:tr2bl w:val="nil"/>
                  </w:tcBorders>
                  <w:noWrap w:val="0"/>
                  <w:vAlign w:val="center"/>
                </w:tcPr>
                <w:p w14:paraId="052160F1">
                  <w:pPr>
                    <w:pStyle w:val="5"/>
                    <w:spacing w:before="0" w:after="0" w:line="0" w:lineRule="atLeast"/>
                    <w:jc w:val="center"/>
                    <w:rPr>
                      <w:rFonts w:hint="default" w:ascii="Times New Roman" w:hAnsi="Times New Roman" w:eastAsia="宋体" w:cs="Times New Roman"/>
                      <w:color w:val="FF0000"/>
                      <w:sz w:val="21"/>
                      <w:szCs w:val="21"/>
                      <w:lang w:val="en-US" w:eastAsia="zh-CN"/>
                    </w:rPr>
                  </w:pPr>
                  <w:r>
                    <w:rPr>
                      <w:rFonts w:hint="eastAsia" w:cs="Times New Roman"/>
                      <w:b w:val="0"/>
                      <w:bCs w:val="0"/>
                      <w:color w:val="FF0000"/>
                      <w:sz w:val="21"/>
                      <w:szCs w:val="21"/>
                      <w:vertAlign w:val="baseline"/>
                      <w:lang w:val="en-US" w:eastAsia="zh-CN"/>
                    </w:rPr>
                    <w:t>0.765</w:t>
                  </w:r>
                </w:p>
              </w:tc>
              <w:tc>
                <w:tcPr>
                  <w:tcW w:w="483" w:type="pct"/>
                  <w:tcBorders>
                    <w:tl2br w:val="nil"/>
                    <w:tr2bl w:val="nil"/>
                  </w:tcBorders>
                  <w:shd w:val="clear" w:color="auto" w:fill="auto"/>
                  <w:noWrap w:val="0"/>
                  <w:vAlign w:val="center"/>
                </w:tcPr>
                <w:p w14:paraId="2A69E884">
                  <w:pPr>
                    <w:adjustRightInd w:val="0"/>
                    <w:snapToGrid w:val="0"/>
                    <w:jc w:val="center"/>
                    <w:rPr>
                      <w:rFonts w:hint="eastAsia" w:cs="Times New Roman"/>
                      <w:b w:val="0"/>
                      <w:bCs w:val="0"/>
                      <w:color w:val="FF0000"/>
                      <w:sz w:val="21"/>
                      <w:szCs w:val="21"/>
                      <w:vertAlign w:val="baseline"/>
                      <w:lang w:val="en-US" w:eastAsia="zh-CN"/>
                    </w:rPr>
                  </w:pPr>
                  <w:r>
                    <w:rPr>
                      <w:rFonts w:hint="eastAsia"/>
                      <w:b w:val="0"/>
                      <w:bCs w:val="0"/>
                      <w:color w:val="FF0000"/>
                      <w:sz w:val="21"/>
                      <w:szCs w:val="21"/>
                      <w:lang w:val="en-US" w:eastAsia="zh-CN"/>
                    </w:rPr>
                    <w:t>0</w:t>
                  </w:r>
                </w:p>
              </w:tc>
              <w:tc>
                <w:tcPr>
                  <w:tcW w:w="569" w:type="pct"/>
                  <w:tcBorders>
                    <w:tl2br w:val="nil"/>
                    <w:tr2bl w:val="nil"/>
                  </w:tcBorders>
                  <w:shd w:val="clear" w:color="auto" w:fill="auto"/>
                  <w:noWrap w:val="0"/>
                  <w:vAlign w:val="center"/>
                </w:tcPr>
                <w:p w14:paraId="71E205BB">
                  <w:pPr>
                    <w:pStyle w:val="5"/>
                    <w:spacing w:before="0" w:after="0" w:line="0" w:lineRule="atLeast"/>
                    <w:jc w:val="center"/>
                    <w:rPr>
                      <w:rFonts w:hint="default" w:ascii="Times New Roman" w:hAnsi="Times New Roman" w:eastAsia="宋体" w:cs="Times New Roman"/>
                      <w:color w:val="FF0000"/>
                      <w:kern w:val="2"/>
                      <w:sz w:val="21"/>
                      <w:szCs w:val="21"/>
                      <w:lang w:val="en-US" w:eastAsia="zh-CN" w:bidi="ar-SA"/>
                    </w:rPr>
                  </w:pPr>
                  <w:r>
                    <w:rPr>
                      <w:rFonts w:hint="eastAsia" w:cs="Times New Roman"/>
                      <w:b w:val="0"/>
                      <w:bCs w:val="0"/>
                      <w:color w:val="FF0000"/>
                      <w:sz w:val="21"/>
                      <w:szCs w:val="21"/>
                      <w:vertAlign w:val="baseline"/>
                      <w:lang w:val="en-US" w:eastAsia="zh-CN"/>
                    </w:rPr>
                    <w:t>0.765</w:t>
                  </w:r>
                </w:p>
              </w:tc>
              <w:tc>
                <w:tcPr>
                  <w:tcW w:w="481" w:type="pct"/>
                  <w:tcBorders>
                    <w:tl2br w:val="nil"/>
                    <w:tr2bl w:val="nil"/>
                  </w:tcBorders>
                  <w:noWrap w:val="0"/>
                  <w:vAlign w:val="center"/>
                </w:tcPr>
                <w:p w14:paraId="56E68B30">
                  <w:pPr>
                    <w:adjustRightInd w:val="0"/>
                    <w:snapToGrid w:val="0"/>
                    <w:jc w:val="center"/>
                    <w:rPr>
                      <w:rFonts w:hint="default" w:ascii="Times New Roman" w:hAnsi="Times New Roman" w:cs="Times New Roman"/>
                      <w:color w:val="FF0000"/>
                      <w:sz w:val="21"/>
                      <w:szCs w:val="21"/>
                      <w:lang w:val="en-US"/>
                    </w:rPr>
                  </w:pPr>
                  <w:r>
                    <w:rPr>
                      <w:rFonts w:hint="eastAsia"/>
                      <w:b w:val="0"/>
                      <w:bCs w:val="0"/>
                      <w:color w:val="FF0000"/>
                      <w:sz w:val="21"/>
                      <w:szCs w:val="21"/>
                      <w:lang w:val="en-US" w:eastAsia="zh-CN"/>
                    </w:rPr>
                    <w:t>+</w:t>
                  </w:r>
                  <w:r>
                    <w:rPr>
                      <w:rFonts w:hint="eastAsia" w:cs="Times New Roman"/>
                      <w:b w:val="0"/>
                      <w:bCs w:val="0"/>
                      <w:color w:val="FF0000"/>
                      <w:sz w:val="21"/>
                      <w:szCs w:val="21"/>
                      <w:vertAlign w:val="baseline"/>
                      <w:lang w:val="en-US" w:eastAsia="zh-CN"/>
                    </w:rPr>
                    <w:t>0</w:t>
                  </w:r>
                </w:p>
              </w:tc>
            </w:tr>
            <w:tr w14:paraId="60C457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60" w:type="pct"/>
                  <w:vMerge w:val="continue"/>
                  <w:tcBorders>
                    <w:tl2br w:val="nil"/>
                    <w:tr2bl w:val="nil"/>
                  </w:tcBorders>
                  <w:noWrap w:val="0"/>
                  <w:vAlign w:val="center"/>
                </w:tcPr>
                <w:p w14:paraId="52143DFE">
                  <w:pPr>
                    <w:pStyle w:val="55"/>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FF0000"/>
                      <w:sz w:val="21"/>
                      <w:szCs w:val="21"/>
                      <w:lang w:val="en-US" w:eastAsia="zh-CN"/>
                    </w:rPr>
                  </w:pPr>
                </w:p>
              </w:tc>
              <w:tc>
                <w:tcPr>
                  <w:tcW w:w="584" w:type="pct"/>
                  <w:gridSpan w:val="2"/>
                  <w:tcBorders>
                    <w:tl2br w:val="nil"/>
                    <w:tr2bl w:val="nil"/>
                  </w:tcBorders>
                  <w:noWrap w:val="0"/>
                  <w:vAlign w:val="center"/>
                </w:tcPr>
                <w:p w14:paraId="74EC621F">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FF0000"/>
                      <w:kern w:val="18"/>
                      <w:sz w:val="21"/>
                      <w:szCs w:val="21"/>
                      <w:lang w:val="en-US" w:eastAsia="zh-CN" w:bidi="ar-SA"/>
                    </w:rPr>
                  </w:pPr>
                  <w:r>
                    <w:rPr>
                      <w:rFonts w:hint="default" w:ascii="Times New Roman" w:hAnsi="Times New Roman" w:cs="Times New Roman"/>
                      <w:color w:val="FF0000"/>
                      <w:sz w:val="21"/>
                      <w:szCs w:val="21"/>
                    </w:rPr>
                    <w:t>NOx</w:t>
                  </w:r>
                </w:p>
              </w:tc>
              <w:tc>
                <w:tcPr>
                  <w:tcW w:w="424" w:type="pct"/>
                  <w:tcBorders>
                    <w:tl2br w:val="nil"/>
                    <w:tr2bl w:val="nil"/>
                  </w:tcBorders>
                  <w:noWrap w:val="0"/>
                  <w:vAlign w:val="center"/>
                </w:tcPr>
                <w:p w14:paraId="4F85D13C">
                  <w:pPr>
                    <w:jc w:val="center"/>
                    <w:rPr>
                      <w:rFonts w:hint="default"/>
                      <w:bCs/>
                      <w:snapToGrid w:val="0"/>
                      <w:color w:val="FF0000"/>
                      <w:kern w:val="21"/>
                      <w:szCs w:val="21"/>
                      <w:lang w:val="en-US" w:eastAsia="zh-CN"/>
                    </w:rPr>
                  </w:pPr>
                  <w:r>
                    <w:rPr>
                      <w:rFonts w:hint="eastAsia"/>
                      <w:bCs/>
                      <w:snapToGrid w:val="0"/>
                      <w:color w:val="FF0000"/>
                      <w:kern w:val="21"/>
                      <w:szCs w:val="21"/>
                      <w:lang w:val="en-US" w:eastAsia="zh-CN"/>
                    </w:rPr>
                    <w:t>4.59</w:t>
                  </w:r>
                </w:p>
              </w:tc>
              <w:tc>
                <w:tcPr>
                  <w:tcW w:w="425" w:type="pct"/>
                  <w:tcBorders>
                    <w:tl2br w:val="nil"/>
                    <w:tr2bl w:val="nil"/>
                  </w:tcBorders>
                  <w:noWrap w:val="0"/>
                  <w:vAlign w:val="center"/>
                </w:tcPr>
                <w:p w14:paraId="42A6057A">
                  <w:pPr>
                    <w:jc w:val="center"/>
                    <w:rPr>
                      <w:rFonts w:hint="default"/>
                      <w:bCs/>
                      <w:snapToGrid w:val="0"/>
                      <w:color w:val="FF0000"/>
                      <w:kern w:val="21"/>
                      <w:szCs w:val="21"/>
                      <w:lang w:val="en-US" w:eastAsia="zh-CN"/>
                    </w:rPr>
                  </w:pPr>
                  <w:r>
                    <w:rPr>
                      <w:rFonts w:hint="eastAsia"/>
                      <w:bCs/>
                      <w:snapToGrid w:val="0"/>
                      <w:color w:val="FF0000"/>
                      <w:kern w:val="21"/>
                      <w:szCs w:val="21"/>
                      <w:lang w:val="en-US" w:eastAsia="zh-CN"/>
                    </w:rPr>
                    <w:t>0</w:t>
                  </w:r>
                </w:p>
              </w:tc>
              <w:tc>
                <w:tcPr>
                  <w:tcW w:w="424" w:type="pct"/>
                  <w:tcBorders>
                    <w:tl2br w:val="nil"/>
                    <w:tr2bl w:val="nil"/>
                  </w:tcBorders>
                  <w:noWrap w:val="0"/>
                  <w:vAlign w:val="center"/>
                </w:tcPr>
                <w:p w14:paraId="7178CF6D">
                  <w:pPr>
                    <w:jc w:val="center"/>
                    <w:rPr>
                      <w:rFonts w:hint="default" w:ascii="Times New Roman" w:hAnsi="Times New Roman" w:eastAsia="宋体" w:cs="Times New Roman"/>
                      <w:color w:val="FF0000"/>
                      <w:kern w:val="18"/>
                      <w:sz w:val="21"/>
                      <w:szCs w:val="21"/>
                      <w:lang w:val="en-US" w:eastAsia="zh-CN" w:bidi="ar-SA"/>
                    </w:rPr>
                  </w:pPr>
                  <w:r>
                    <w:rPr>
                      <w:rFonts w:hint="eastAsia"/>
                      <w:bCs/>
                      <w:snapToGrid w:val="0"/>
                      <w:color w:val="FF0000"/>
                      <w:kern w:val="21"/>
                      <w:szCs w:val="21"/>
                      <w:lang w:val="en-US" w:eastAsia="zh-CN"/>
                    </w:rPr>
                    <w:t>4.59</w:t>
                  </w:r>
                </w:p>
              </w:tc>
              <w:tc>
                <w:tcPr>
                  <w:tcW w:w="417" w:type="pct"/>
                  <w:tcBorders>
                    <w:tl2br w:val="nil"/>
                    <w:tr2bl w:val="nil"/>
                  </w:tcBorders>
                  <w:noWrap w:val="0"/>
                  <w:vAlign w:val="center"/>
                </w:tcPr>
                <w:p w14:paraId="455ADBAA">
                  <w:pPr>
                    <w:pStyle w:val="5"/>
                    <w:spacing w:before="0" w:after="0" w:line="0" w:lineRule="atLeast"/>
                    <w:jc w:val="center"/>
                    <w:rPr>
                      <w:rFonts w:hint="default" w:cs="Times New Roman"/>
                      <w:b w:val="0"/>
                      <w:bCs w:val="0"/>
                      <w:color w:val="FF0000"/>
                      <w:sz w:val="21"/>
                      <w:szCs w:val="21"/>
                      <w:lang w:val="en-US" w:eastAsia="zh-CN"/>
                    </w:rPr>
                  </w:pPr>
                  <w:r>
                    <w:rPr>
                      <w:rFonts w:hint="eastAsia" w:cs="Times New Roman"/>
                      <w:b w:val="0"/>
                      <w:bCs w:val="0"/>
                      <w:color w:val="FF0000"/>
                      <w:sz w:val="21"/>
                      <w:szCs w:val="21"/>
                      <w:lang w:val="en-US" w:eastAsia="zh-CN"/>
                    </w:rPr>
                    <w:t>4.59</w:t>
                  </w:r>
                </w:p>
              </w:tc>
              <w:tc>
                <w:tcPr>
                  <w:tcW w:w="419" w:type="pct"/>
                  <w:tcBorders>
                    <w:tl2br w:val="nil"/>
                    <w:tr2bl w:val="nil"/>
                  </w:tcBorders>
                  <w:noWrap w:val="0"/>
                  <w:vAlign w:val="center"/>
                </w:tcPr>
                <w:p w14:paraId="6082EB74">
                  <w:pPr>
                    <w:adjustRightInd w:val="0"/>
                    <w:snapToGrid w:val="0"/>
                    <w:jc w:val="center"/>
                    <w:rPr>
                      <w:rFonts w:hint="default" w:cs="Times New Roman"/>
                      <w:b w:val="0"/>
                      <w:bCs w:val="0"/>
                      <w:color w:val="FF0000"/>
                      <w:sz w:val="21"/>
                      <w:szCs w:val="21"/>
                      <w:lang w:val="en-US" w:eastAsia="zh-CN"/>
                    </w:rPr>
                  </w:pPr>
                  <w:r>
                    <w:rPr>
                      <w:rFonts w:hint="eastAsia" w:cs="Times New Roman"/>
                      <w:b w:val="0"/>
                      <w:bCs w:val="0"/>
                      <w:color w:val="FF0000"/>
                      <w:sz w:val="21"/>
                      <w:szCs w:val="21"/>
                      <w:lang w:val="en-US" w:eastAsia="zh-CN"/>
                    </w:rPr>
                    <w:t>0</w:t>
                  </w:r>
                </w:p>
              </w:tc>
              <w:tc>
                <w:tcPr>
                  <w:tcW w:w="509" w:type="pct"/>
                  <w:tcBorders>
                    <w:tl2br w:val="nil"/>
                    <w:tr2bl w:val="nil"/>
                  </w:tcBorders>
                  <w:noWrap w:val="0"/>
                  <w:vAlign w:val="center"/>
                </w:tcPr>
                <w:p w14:paraId="2544E1EF">
                  <w:pPr>
                    <w:pStyle w:val="5"/>
                    <w:spacing w:before="0" w:after="0" w:line="0" w:lineRule="atLeast"/>
                    <w:jc w:val="center"/>
                    <w:rPr>
                      <w:rFonts w:hint="default" w:ascii="Times New Roman" w:hAnsi="Times New Roman" w:eastAsia="宋体" w:cs="Times New Roman"/>
                      <w:color w:val="FF0000"/>
                      <w:sz w:val="21"/>
                      <w:szCs w:val="21"/>
                      <w:lang w:val="en-US" w:eastAsia="zh-CN"/>
                    </w:rPr>
                  </w:pPr>
                  <w:r>
                    <w:rPr>
                      <w:rFonts w:hint="eastAsia" w:cs="Times New Roman"/>
                      <w:b w:val="0"/>
                      <w:bCs w:val="0"/>
                      <w:color w:val="FF0000"/>
                      <w:sz w:val="21"/>
                      <w:szCs w:val="21"/>
                      <w:lang w:val="en-US" w:eastAsia="zh-CN"/>
                    </w:rPr>
                    <w:t>4.59</w:t>
                  </w:r>
                </w:p>
              </w:tc>
              <w:tc>
                <w:tcPr>
                  <w:tcW w:w="483" w:type="pct"/>
                  <w:tcBorders>
                    <w:tl2br w:val="nil"/>
                    <w:tr2bl w:val="nil"/>
                  </w:tcBorders>
                  <w:shd w:val="clear" w:color="auto" w:fill="auto"/>
                  <w:noWrap w:val="0"/>
                  <w:vAlign w:val="center"/>
                </w:tcPr>
                <w:p w14:paraId="5A15BDAB">
                  <w:pPr>
                    <w:adjustRightInd w:val="0"/>
                    <w:snapToGrid w:val="0"/>
                    <w:jc w:val="center"/>
                    <w:rPr>
                      <w:rFonts w:hint="eastAsia" w:ascii="Times New Roman" w:hAnsi="Times New Roman" w:eastAsia="宋体" w:cs="Times New Roman"/>
                      <w:color w:val="FF0000"/>
                      <w:kern w:val="2"/>
                      <w:sz w:val="21"/>
                      <w:szCs w:val="21"/>
                      <w:lang w:val="en-US" w:eastAsia="zh-CN" w:bidi="ar-SA"/>
                    </w:rPr>
                  </w:pPr>
                  <w:r>
                    <w:rPr>
                      <w:rFonts w:hint="eastAsia"/>
                      <w:b w:val="0"/>
                      <w:bCs w:val="0"/>
                      <w:color w:val="FF0000"/>
                      <w:sz w:val="21"/>
                      <w:szCs w:val="21"/>
                      <w:lang w:val="en-US" w:eastAsia="zh-CN"/>
                    </w:rPr>
                    <w:t>0</w:t>
                  </w:r>
                </w:p>
              </w:tc>
              <w:tc>
                <w:tcPr>
                  <w:tcW w:w="569" w:type="pct"/>
                  <w:tcBorders>
                    <w:tl2br w:val="nil"/>
                    <w:tr2bl w:val="nil"/>
                  </w:tcBorders>
                  <w:noWrap w:val="0"/>
                  <w:vAlign w:val="center"/>
                </w:tcPr>
                <w:p w14:paraId="47190855">
                  <w:pPr>
                    <w:pStyle w:val="5"/>
                    <w:spacing w:before="0" w:after="0" w:line="0" w:lineRule="atLeast"/>
                    <w:jc w:val="center"/>
                    <w:rPr>
                      <w:rFonts w:hint="default" w:ascii="Times New Roman" w:hAnsi="Times New Roman" w:cs="Times New Roman"/>
                      <w:color w:val="FF0000"/>
                      <w:sz w:val="21"/>
                      <w:szCs w:val="21"/>
                      <w:lang w:val="en-US" w:eastAsia="zh-CN" w:bidi="ar-SA"/>
                    </w:rPr>
                  </w:pPr>
                  <w:r>
                    <w:rPr>
                      <w:rFonts w:hint="eastAsia" w:cs="Times New Roman"/>
                      <w:b w:val="0"/>
                      <w:bCs w:val="0"/>
                      <w:color w:val="FF0000"/>
                      <w:sz w:val="21"/>
                      <w:szCs w:val="21"/>
                      <w:lang w:val="en-US" w:eastAsia="zh-CN"/>
                    </w:rPr>
                    <w:t>4.59</w:t>
                  </w:r>
                </w:p>
              </w:tc>
              <w:tc>
                <w:tcPr>
                  <w:tcW w:w="481" w:type="pct"/>
                  <w:tcBorders>
                    <w:tl2br w:val="nil"/>
                    <w:tr2bl w:val="nil"/>
                  </w:tcBorders>
                  <w:noWrap w:val="0"/>
                  <w:vAlign w:val="center"/>
                </w:tcPr>
                <w:p w14:paraId="485823A5">
                  <w:pPr>
                    <w:adjustRightInd w:val="0"/>
                    <w:snapToGrid w:val="0"/>
                    <w:jc w:val="center"/>
                    <w:rPr>
                      <w:rFonts w:hint="default" w:ascii="Times New Roman" w:hAnsi="Times New Roman" w:cs="Times New Roman"/>
                      <w:color w:val="FF0000"/>
                      <w:sz w:val="21"/>
                      <w:szCs w:val="21"/>
                      <w:lang w:val="en-US"/>
                    </w:rPr>
                  </w:pPr>
                  <w:r>
                    <w:rPr>
                      <w:rFonts w:hint="eastAsia"/>
                      <w:b w:val="0"/>
                      <w:bCs w:val="0"/>
                      <w:color w:val="FF0000"/>
                      <w:sz w:val="21"/>
                      <w:szCs w:val="21"/>
                      <w:lang w:val="en-US" w:eastAsia="zh-CN"/>
                    </w:rPr>
                    <w:t>+0</w:t>
                  </w:r>
                </w:p>
              </w:tc>
            </w:tr>
            <w:tr w14:paraId="6DCD56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60" w:type="pct"/>
                  <w:vMerge w:val="continue"/>
                  <w:tcBorders>
                    <w:tl2br w:val="nil"/>
                    <w:tr2bl w:val="nil"/>
                  </w:tcBorders>
                  <w:noWrap w:val="0"/>
                  <w:vAlign w:val="center"/>
                </w:tcPr>
                <w:p w14:paraId="211C7CC4">
                  <w:pPr>
                    <w:pStyle w:val="55"/>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FF0000"/>
                      <w:sz w:val="21"/>
                      <w:szCs w:val="21"/>
                      <w:lang w:val="en-US" w:eastAsia="zh-CN"/>
                    </w:rPr>
                  </w:pPr>
                </w:p>
              </w:tc>
              <w:tc>
                <w:tcPr>
                  <w:tcW w:w="584" w:type="pct"/>
                  <w:gridSpan w:val="2"/>
                  <w:tcBorders>
                    <w:tl2br w:val="nil"/>
                    <w:tr2bl w:val="nil"/>
                  </w:tcBorders>
                  <w:noWrap w:val="0"/>
                  <w:vAlign w:val="center"/>
                </w:tcPr>
                <w:p w14:paraId="1F73352F">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FF0000"/>
                      <w:kern w:val="18"/>
                      <w:sz w:val="21"/>
                      <w:szCs w:val="21"/>
                      <w:lang w:val="en-US" w:eastAsia="zh-CN" w:bidi="ar-SA"/>
                    </w:rPr>
                  </w:pPr>
                  <w:r>
                    <w:rPr>
                      <w:rFonts w:hint="eastAsia" w:ascii="Times New Roman" w:hAnsi="Times New Roman" w:cs="Times New Roman"/>
                      <w:color w:val="FF0000"/>
                      <w:sz w:val="21"/>
                      <w:szCs w:val="21"/>
                      <w:lang w:val="en-US" w:eastAsia="zh-CN"/>
                    </w:rPr>
                    <w:t>粉尘</w:t>
                  </w:r>
                </w:p>
              </w:tc>
              <w:tc>
                <w:tcPr>
                  <w:tcW w:w="424" w:type="pct"/>
                  <w:tcBorders>
                    <w:tl2br w:val="nil"/>
                    <w:tr2bl w:val="nil"/>
                  </w:tcBorders>
                  <w:noWrap w:val="0"/>
                  <w:vAlign w:val="center"/>
                </w:tcPr>
                <w:p w14:paraId="6C1031C5">
                  <w:pPr>
                    <w:jc w:val="center"/>
                    <w:rPr>
                      <w:rFonts w:hint="default" w:cs="Times New Roman"/>
                      <w:b w:val="0"/>
                      <w:bCs w:val="0"/>
                      <w:color w:val="FF0000"/>
                      <w:sz w:val="21"/>
                      <w:szCs w:val="21"/>
                      <w:lang w:val="en-US" w:eastAsia="zh-CN"/>
                    </w:rPr>
                  </w:pPr>
                  <w:r>
                    <w:rPr>
                      <w:rFonts w:hint="eastAsia" w:cs="Times New Roman"/>
                      <w:b w:val="0"/>
                      <w:bCs w:val="0"/>
                      <w:color w:val="FF0000"/>
                      <w:sz w:val="21"/>
                      <w:szCs w:val="21"/>
                      <w:lang w:val="en-US" w:eastAsia="zh-CN"/>
                    </w:rPr>
                    <w:t>10.32</w:t>
                  </w:r>
                </w:p>
              </w:tc>
              <w:tc>
                <w:tcPr>
                  <w:tcW w:w="425" w:type="pct"/>
                  <w:tcBorders>
                    <w:tl2br w:val="nil"/>
                    <w:tr2bl w:val="nil"/>
                  </w:tcBorders>
                  <w:noWrap w:val="0"/>
                  <w:vAlign w:val="center"/>
                </w:tcPr>
                <w:p w14:paraId="4CDF11A7">
                  <w:pPr>
                    <w:jc w:val="center"/>
                    <w:rPr>
                      <w:rFonts w:hint="default" w:cs="Times New Roman"/>
                      <w:b w:val="0"/>
                      <w:bCs w:val="0"/>
                      <w:color w:val="FF0000"/>
                      <w:sz w:val="21"/>
                      <w:szCs w:val="21"/>
                      <w:lang w:val="en-US" w:eastAsia="zh-CN"/>
                    </w:rPr>
                  </w:pPr>
                  <w:r>
                    <w:rPr>
                      <w:rFonts w:hint="eastAsia" w:cs="Times New Roman"/>
                      <w:b w:val="0"/>
                      <w:bCs w:val="0"/>
                      <w:color w:val="FF0000"/>
                      <w:sz w:val="21"/>
                      <w:szCs w:val="21"/>
                      <w:lang w:val="en-US" w:eastAsia="zh-CN"/>
                    </w:rPr>
                    <w:t>10.12</w:t>
                  </w:r>
                </w:p>
              </w:tc>
              <w:tc>
                <w:tcPr>
                  <w:tcW w:w="424" w:type="pct"/>
                  <w:tcBorders>
                    <w:tl2br w:val="nil"/>
                    <w:tr2bl w:val="nil"/>
                  </w:tcBorders>
                  <w:noWrap w:val="0"/>
                  <w:vAlign w:val="center"/>
                </w:tcPr>
                <w:p w14:paraId="7D912E9F">
                  <w:pPr>
                    <w:jc w:val="center"/>
                    <w:rPr>
                      <w:rFonts w:hint="default" w:ascii="Times New Roman" w:hAnsi="Times New Roman" w:eastAsia="宋体" w:cs="Times New Roman"/>
                      <w:color w:val="FF0000"/>
                      <w:kern w:val="18"/>
                      <w:sz w:val="21"/>
                      <w:szCs w:val="21"/>
                      <w:lang w:val="en-US" w:eastAsia="zh-CN" w:bidi="ar-SA"/>
                    </w:rPr>
                  </w:pPr>
                  <w:r>
                    <w:rPr>
                      <w:rFonts w:hint="eastAsia" w:cs="Times New Roman"/>
                      <w:b w:val="0"/>
                      <w:bCs w:val="0"/>
                      <w:color w:val="FF0000"/>
                      <w:sz w:val="21"/>
                      <w:szCs w:val="21"/>
                      <w:lang w:val="en-US" w:eastAsia="zh-CN"/>
                    </w:rPr>
                    <w:t>0.2</w:t>
                  </w:r>
                </w:p>
              </w:tc>
              <w:tc>
                <w:tcPr>
                  <w:tcW w:w="417" w:type="pct"/>
                  <w:tcBorders>
                    <w:tl2br w:val="nil"/>
                    <w:tr2bl w:val="nil"/>
                  </w:tcBorders>
                  <w:noWrap w:val="0"/>
                  <w:vAlign w:val="center"/>
                </w:tcPr>
                <w:p w14:paraId="49BB0FBD">
                  <w:pPr>
                    <w:adjustRightInd w:val="0"/>
                    <w:snapToGrid w:val="0"/>
                    <w:jc w:val="center"/>
                    <w:rPr>
                      <w:rFonts w:hint="eastAsia" w:cs="Times New Roman"/>
                      <w:b w:val="0"/>
                      <w:bCs w:val="0"/>
                      <w:color w:val="FF0000"/>
                      <w:sz w:val="21"/>
                      <w:szCs w:val="21"/>
                      <w:lang w:val="en-US" w:eastAsia="zh-CN"/>
                    </w:rPr>
                  </w:pPr>
                  <w:r>
                    <w:rPr>
                      <w:rFonts w:hint="eastAsia" w:cs="Times New Roman"/>
                      <w:b w:val="0"/>
                      <w:bCs w:val="0"/>
                      <w:color w:val="FF0000"/>
                      <w:sz w:val="21"/>
                      <w:szCs w:val="21"/>
                      <w:lang w:val="en-US" w:eastAsia="zh-CN"/>
                    </w:rPr>
                    <w:t>0</w:t>
                  </w:r>
                </w:p>
              </w:tc>
              <w:tc>
                <w:tcPr>
                  <w:tcW w:w="419" w:type="pct"/>
                  <w:tcBorders>
                    <w:tl2br w:val="nil"/>
                    <w:tr2bl w:val="nil"/>
                  </w:tcBorders>
                  <w:noWrap w:val="0"/>
                  <w:vAlign w:val="center"/>
                </w:tcPr>
                <w:p w14:paraId="2079689C">
                  <w:pPr>
                    <w:adjustRightInd w:val="0"/>
                    <w:snapToGrid w:val="0"/>
                    <w:jc w:val="center"/>
                    <w:rPr>
                      <w:rFonts w:hint="default" w:cs="Times New Roman"/>
                      <w:b w:val="0"/>
                      <w:bCs w:val="0"/>
                      <w:color w:val="FF0000"/>
                      <w:sz w:val="21"/>
                      <w:szCs w:val="21"/>
                      <w:lang w:val="en-US" w:eastAsia="zh-CN"/>
                    </w:rPr>
                  </w:pPr>
                  <w:r>
                    <w:rPr>
                      <w:rFonts w:hint="eastAsia" w:cs="Times New Roman"/>
                      <w:b w:val="0"/>
                      <w:bCs w:val="0"/>
                      <w:color w:val="FF0000"/>
                      <w:sz w:val="21"/>
                      <w:szCs w:val="21"/>
                      <w:lang w:val="en-US" w:eastAsia="zh-CN"/>
                    </w:rPr>
                    <w:t>0</w:t>
                  </w:r>
                </w:p>
              </w:tc>
              <w:tc>
                <w:tcPr>
                  <w:tcW w:w="509" w:type="pct"/>
                  <w:tcBorders>
                    <w:tl2br w:val="nil"/>
                    <w:tr2bl w:val="nil"/>
                  </w:tcBorders>
                  <w:noWrap w:val="0"/>
                  <w:vAlign w:val="center"/>
                </w:tcPr>
                <w:p w14:paraId="21E3E149">
                  <w:pPr>
                    <w:adjustRightInd w:val="0"/>
                    <w:snapToGrid w:val="0"/>
                    <w:jc w:val="center"/>
                    <w:rPr>
                      <w:rFonts w:hint="default" w:ascii="Times New Roman" w:hAnsi="Times New Roman" w:eastAsia="宋体" w:cs="Times New Roman"/>
                      <w:color w:val="FF0000"/>
                      <w:sz w:val="21"/>
                      <w:szCs w:val="21"/>
                      <w:lang w:val="en-US" w:eastAsia="zh-CN"/>
                    </w:rPr>
                  </w:pPr>
                  <w:r>
                    <w:rPr>
                      <w:rFonts w:hint="eastAsia" w:cs="Times New Roman"/>
                      <w:b w:val="0"/>
                      <w:bCs w:val="0"/>
                      <w:color w:val="FF0000"/>
                      <w:sz w:val="21"/>
                      <w:szCs w:val="21"/>
                      <w:lang w:val="en-US" w:eastAsia="zh-CN"/>
                    </w:rPr>
                    <w:t>0</w:t>
                  </w:r>
                </w:p>
              </w:tc>
              <w:tc>
                <w:tcPr>
                  <w:tcW w:w="483" w:type="pct"/>
                  <w:tcBorders>
                    <w:tl2br w:val="nil"/>
                    <w:tr2bl w:val="nil"/>
                  </w:tcBorders>
                  <w:noWrap w:val="0"/>
                  <w:vAlign w:val="center"/>
                </w:tcPr>
                <w:p w14:paraId="00F20932">
                  <w:pPr>
                    <w:adjustRightInd w:val="0"/>
                    <w:snapToGrid w:val="0"/>
                    <w:jc w:val="center"/>
                    <w:rPr>
                      <w:rFonts w:hint="eastAsia" w:cs="Times New Roman"/>
                      <w:b w:val="0"/>
                      <w:bCs w:val="0"/>
                      <w:color w:val="FF0000"/>
                      <w:sz w:val="21"/>
                      <w:szCs w:val="21"/>
                      <w:lang w:val="en-US" w:eastAsia="zh-CN"/>
                    </w:rPr>
                  </w:pPr>
                  <w:r>
                    <w:rPr>
                      <w:rFonts w:hint="eastAsia"/>
                      <w:b w:val="0"/>
                      <w:bCs w:val="0"/>
                      <w:color w:val="FF0000"/>
                      <w:sz w:val="21"/>
                      <w:szCs w:val="21"/>
                      <w:lang w:val="en-US" w:eastAsia="zh-CN"/>
                    </w:rPr>
                    <w:t>0</w:t>
                  </w:r>
                </w:p>
              </w:tc>
              <w:tc>
                <w:tcPr>
                  <w:tcW w:w="569" w:type="pct"/>
                  <w:tcBorders>
                    <w:tl2br w:val="nil"/>
                    <w:tr2bl w:val="nil"/>
                  </w:tcBorders>
                  <w:noWrap w:val="0"/>
                  <w:vAlign w:val="center"/>
                </w:tcPr>
                <w:p w14:paraId="7CF9B44D">
                  <w:pPr>
                    <w:adjustRightInd w:val="0"/>
                    <w:snapToGrid w:val="0"/>
                    <w:jc w:val="center"/>
                    <w:rPr>
                      <w:rFonts w:hint="default" w:ascii="Times New Roman" w:hAnsi="Times New Roman" w:eastAsia="宋体" w:cs="Times New Roman"/>
                      <w:color w:val="FF0000"/>
                      <w:sz w:val="21"/>
                      <w:szCs w:val="21"/>
                      <w:lang w:val="en-US" w:eastAsia="zh-CN" w:bidi="ar-SA"/>
                    </w:rPr>
                  </w:pPr>
                  <w:r>
                    <w:rPr>
                      <w:rFonts w:hint="eastAsia" w:cs="Times New Roman"/>
                      <w:b w:val="0"/>
                      <w:bCs w:val="0"/>
                      <w:color w:val="FF0000"/>
                      <w:sz w:val="21"/>
                      <w:szCs w:val="21"/>
                      <w:lang w:val="en-US" w:eastAsia="zh-CN"/>
                    </w:rPr>
                    <w:t>0.2</w:t>
                  </w:r>
                </w:p>
              </w:tc>
              <w:tc>
                <w:tcPr>
                  <w:tcW w:w="481" w:type="pct"/>
                  <w:tcBorders>
                    <w:tl2br w:val="nil"/>
                    <w:tr2bl w:val="nil"/>
                  </w:tcBorders>
                  <w:noWrap w:val="0"/>
                  <w:vAlign w:val="center"/>
                </w:tcPr>
                <w:p w14:paraId="2A99A9D8">
                  <w:pPr>
                    <w:adjustRightInd w:val="0"/>
                    <w:snapToGrid w:val="0"/>
                    <w:jc w:val="center"/>
                    <w:rPr>
                      <w:rFonts w:hint="default" w:ascii="Times New Roman" w:hAnsi="Times New Roman" w:cs="Times New Roman"/>
                      <w:color w:val="FF0000"/>
                      <w:sz w:val="21"/>
                      <w:szCs w:val="21"/>
                      <w:lang w:val="en-US"/>
                    </w:rPr>
                  </w:pPr>
                  <w:r>
                    <w:rPr>
                      <w:rFonts w:hint="eastAsia" w:cs="Times New Roman"/>
                      <w:b w:val="0"/>
                      <w:bCs w:val="0"/>
                      <w:color w:val="FF0000"/>
                      <w:sz w:val="21"/>
                      <w:szCs w:val="21"/>
                      <w:lang w:val="en-US" w:eastAsia="zh-CN"/>
                    </w:rPr>
                    <w:t>+0</w:t>
                  </w:r>
                </w:p>
              </w:tc>
            </w:tr>
            <w:tr w14:paraId="348910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60" w:type="pct"/>
                  <w:vMerge w:val="continue"/>
                  <w:tcBorders>
                    <w:tl2br w:val="nil"/>
                    <w:tr2bl w:val="nil"/>
                  </w:tcBorders>
                  <w:noWrap w:val="0"/>
                  <w:vAlign w:val="center"/>
                </w:tcPr>
                <w:p w14:paraId="4B7B1A34">
                  <w:pPr>
                    <w:pStyle w:val="55"/>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FF0000"/>
                      <w:sz w:val="21"/>
                      <w:szCs w:val="21"/>
                      <w:lang w:val="en-US" w:eastAsia="zh-CN"/>
                    </w:rPr>
                  </w:pPr>
                </w:p>
              </w:tc>
              <w:tc>
                <w:tcPr>
                  <w:tcW w:w="584" w:type="pct"/>
                  <w:gridSpan w:val="2"/>
                  <w:tcBorders>
                    <w:tl2br w:val="nil"/>
                    <w:tr2bl w:val="nil"/>
                  </w:tcBorders>
                  <w:noWrap w:val="0"/>
                  <w:vAlign w:val="center"/>
                </w:tcPr>
                <w:p w14:paraId="7257C6C7">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FF0000"/>
                      <w:sz w:val="21"/>
                      <w:szCs w:val="21"/>
                      <w:lang w:val="en-US" w:eastAsia="zh-CN"/>
                    </w:rPr>
                  </w:pPr>
                  <w:r>
                    <w:rPr>
                      <w:rFonts w:hint="eastAsia" w:ascii="Times New Roman" w:hAnsi="Times New Roman" w:cs="Times New Roman"/>
                      <w:color w:val="FF0000"/>
                      <w:sz w:val="21"/>
                      <w:szCs w:val="21"/>
                      <w:lang w:val="en-US" w:eastAsia="zh-CN"/>
                    </w:rPr>
                    <w:t>油烟</w:t>
                  </w:r>
                </w:p>
              </w:tc>
              <w:tc>
                <w:tcPr>
                  <w:tcW w:w="424" w:type="pct"/>
                  <w:tcBorders>
                    <w:tl2br w:val="nil"/>
                    <w:tr2bl w:val="nil"/>
                  </w:tcBorders>
                  <w:noWrap w:val="0"/>
                  <w:vAlign w:val="center"/>
                </w:tcPr>
                <w:p w14:paraId="4C00FDC1">
                  <w:pPr>
                    <w:jc w:val="center"/>
                    <w:rPr>
                      <w:rFonts w:hint="default" w:cs="Times New Roman"/>
                      <w:b w:val="0"/>
                      <w:bCs w:val="0"/>
                      <w:color w:val="FF0000"/>
                      <w:sz w:val="21"/>
                      <w:szCs w:val="21"/>
                      <w:lang w:val="en-US" w:eastAsia="zh-CN"/>
                    </w:rPr>
                  </w:pPr>
                  <w:r>
                    <w:rPr>
                      <w:rFonts w:hint="eastAsia" w:cs="Times New Roman"/>
                      <w:b w:val="0"/>
                      <w:bCs w:val="0"/>
                      <w:color w:val="FF0000"/>
                      <w:sz w:val="21"/>
                      <w:szCs w:val="21"/>
                      <w:lang w:val="en-US" w:eastAsia="zh-CN"/>
                    </w:rPr>
                    <w:t>0.094</w:t>
                  </w:r>
                </w:p>
              </w:tc>
              <w:tc>
                <w:tcPr>
                  <w:tcW w:w="425" w:type="pct"/>
                  <w:tcBorders>
                    <w:tl2br w:val="nil"/>
                    <w:tr2bl w:val="nil"/>
                  </w:tcBorders>
                  <w:noWrap w:val="0"/>
                  <w:vAlign w:val="center"/>
                </w:tcPr>
                <w:p w14:paraId="07055FA7">
                  <w:pPr>
                    <w:jc w:val="center"/>
                    <w:rPr>
                      <w:rFonts w:hint="default" w:cs="Times New Roman"/>
                      <w:b w:val="0"/>
                      <w:bCs w:val="0"/>
                      <w:color w:val="FF0000"/>
                      <w:sz w:val="21"/>
                      <w:szCs w:val="21"/>
                      <w:lang w:val="en-US" w:eastAsia="zh-CN"/>
                    </w:rPr>
                  </w:pPr>
                  <w:r>
                    <w:rPr>
                      <w:rFonts w:hint="eastAsia" w:cs="Times New Roman"/>
                      <w:b w:val="0"/>
                      <w:bCs w:val="0"/>
                      <w:color w:val="FF0000"/>
                      <w:sz w:val="21"/>
                      <w:szCs w:val="21"/>
                      <w:lang w:val="en-US" w:eastAsia="zh-CN"/>
                    </w:rPr>
                    <w:t>0.056</w:t>
                  </w:r>
                </w:p>
              </w:tc>
              <w:tc>
                <w:tcPr>
                  <w:tcW w:w="424" w:type="pct"/>
                  <w:tcBorders>
                    <w:tl2br w:val="nil"/>
                    <w:tr2bl w:val="nil"/>
                  </w:tcBorders>
                  <w:noWrap w:val="0"/>
                  <w:vAlign w:val="center"/>
                </w:tcPr>
                <w:p w14:paraId="64E79B67">
                  <w:pPr>
                    <w:jc w:val="center"/>
                    <w:rPr>
                      <w:rFonts w:hint="default" w:ascii="Times New Roman" w:hAnsi="Times New Roman" w:eastAsia="宋体" w:cs="Times New Roman"/>
                      <w:color w:val="FF0000"/>
                      <w:sz w:val="21"/>
                      <w:szCs w:val="21"/>
                      <w:lang w:val="en-US" w:eastAsia="zh-CN"/>
                    </w:rPr>
                  </w:pPr>
                  <w:r>
                    <w:rPr>
                      <w:rFonts w:hint="eastAsia" w:cs="Times New Roman"/>
                      <w:b w:val="0"/>
                      <w:bCs w:val="0"/>
                      <w:color w:val="FF0000"/>
                      <w:sz w:val="21"/>
                      <w:szCs w:val="21"/>
                      <w:lang w:val="en-US" w:eastAsia="zh-CN"/>
                    </w:rPr>
                    <w:t>0.038</w:t>
                  </w:r>
                </w:p>
              </w:tc>
              <w:tc>
                <w:tcPr>
                  <w:tcW w:w="417" w:type="pct"/>
                  <w:tcBorders>
                    <w:tl2br w:val="nil"/>
                    <w:tr2bl w:val="nil"/>
                  </w:tcBorders>
                  <w:noWrap w:val="0"/>
                  <w:vAlign w:val="center"/>
                </w:tcPr>
                <w:p w14:paraId="278D2FBA">
                  <w:pPr>
                    <w:adjustRightInd w:val="0"/>
                    <w:snapToGrid w:val="0"/>
                    <w:jc w:val="center"/>
                    <w:rPr>
                      <w:rFonts w:hint="default" w:cs="Times New Roman"/>
                      <w:b w:val="0"/>
                      <w:bCs w:val="0"/>
                      <w:color w:val="FF0000"/>
                      <w:sz w:val="21"/>
                      <w:szCs w:val="21"/>
                      <w:lang w:val="en-US" w:eastAsia="zh-CN"/>
                    </w:rPr>
                  </w:pPr>
                  <w:r>
                    <w:rPr>
                      <w:rFonts w:hint="eastAsia" w:cs="Times New Roman"/>
                      <w:b w:val="0"/>
                      <w:bCs w:val="0"/>
                      <w:color w:val="FF0000"/>
                      <w:sz w:val="21"/>
                      <w:szCs w:val="21"/>
                      <w:lang w:val="en-US" w:eastAsia="zh-CN"/>
                    </w:rPr>
                    <w:t>0</w:t>
                  </w:r>
                </w:p>
              </w:tc>
              <w:tc>
                <w:tcPr>
                  <w:tcW w:w="419" w:type="pct"/>
                  <w:tcBorders>
                    <w:tl2br w:val="nil"/>
                    <w:tr2bl w:val="nil"/>
                  </w:tcBorders>
                  <w:noWrap w:val="0"/>
                  <w:vAlign w:val="center"/>
                </w:tcPr>
                <w:p w14:paraId="7BB9F00E">
                  <w:pPr>
                    <w:adjustRightInd w:val="0"/>
                    <w:snapToGrid w:val="0"/>
                    <w:jc w:val="center"/>
                    <w:rPr>
                      <w:rFonts w:hint="default" w:cs="Times New Roman"/>
                      <w:b w:val="0"/>
                      <w:bCs w:val="0"/>
                      <w:color w:val="FF0000"/>
                      <w:sz w:val="21"/>
                      <w:szCs w:val="21"/>
                      <w:lang w:val="en-US" w:eastAsia="zh-CN"/>
                    </w:rPr>
                  </w:pPr>
                  <w:r>
                    <w:rPr>
                      <w:rFonts w:hint="eastAsia" w:cs="Times New Roman"/>
                      <w:b w:val="0"/>
                      <w:bCs w:val="0"/>
                      <w:color w:val="FF0000"/>
                      <w:sz w:val="21"/>
                      <w:szCs w:val="21"/>
                      <w:lang w:val="en-US" w:eastAsia="zh-CN"/>
                    </w:rPr>
                    <w:t>0</w:t>
                  </w:r>
                </w:p>
              </w:tc>
              <w:tc>
                <w:tcPr>
                  <w:tcW w:w="509" w:type="pct"/>
                  <w:tcBorders>
                    <w:tl2br w:val="nil"/>
                    <w:tr2bl w:val="nil"/>
                  </w:tcBorders>
                  <w:noWrap w:val="0"/>
                  <w:vAlign w:val="center"/>
                </w:tcPr>
                <w:p w14:paraId="6F54F70B">
                  <w:pPr>
                    <w:adjustRightInd w:val="0"/>
                    <w:snapToGrid w:val="0"/>
                    <w:jc w:val="center"/>
                    <w:rPr>
                      <w:rFonts w:hint="default" w:ascii="Times New Roman" w:hAnsi="Times New Roman" w:eastAsia="宋体" w:cs="Times New Roman"/>
                      <w:color w:val="FF0000"/>
                      <w:sz w:val="21"/>
                      <w:szCs w:val="21"/>
                      <w:lang w:val="en-US" w:eastAsia="zh-CN"/>
                    </w:rPr>
                  </w:pPr>
                  <w:r>
                    <w:rPr>
                      <w:rFonts w:hint="eastAsia" w:cs="Times New Roman"/>
                      <w:b w:val="0"/>
                      <w:bCs w:val="0"/>
                      <w:color w:val="FF0000"/>
                      <w:sz w:val="21"/>
                      <w:szCs w:val="21"/>
                      <w:lang w:val="en-US" w:eastAsia="zh-CN"/>
                    </w:rPr>
                    <w:t>0</w:t>
                  </w:r>
                </w:p>
              </w:tc>
              <w:tc>
                <w:tcPr>
                  <w:tcW w:w="483" w:type="pct"/>
                  <w:tcBorders>
                    <w:tl2br w:val="nil"/>
                    <w:tr2bl w:val="nil"/>
                  </w:tcBorders>
                  <w:noWrap w:val="0"/>
                  <w:vAlign w:val="center"/>
                </w:tcPr>
                <w:p w14:paraId="4E85FEED">
                  <w:pPr>
                    <w:adjustRightInd w:val="0"/>
                    <w:snapToGrid w:val="0"/>
                    <w:jc w:val="center"/>
                    <w:rPr>
                      <w:rFonts w:hint="eastAsia" w:cs="Times New Roman"/>
                      <w:b w:val="0"/>
                      <w:bCs w:val="0"/>
                      <w:color w:val="FF0000"/>
                      <w:sz w:val="21"/>
                      <w:szCs w:val="21"/>
                      <w:lang w:val="en-US" w:eastAsia="zh-CN"/>
                    </w:rPr>
                  </w:pPr>
                  <w:r>
                    <w:rPr>
                      <w:rFonts w:hint="eastAsia"/>
                      <w:b w:val="0"/>
                      <w:bCs w:val="0"/>
                      <w:color w:val="FF0000"/>
                      <w:sz w:val="21"/>
                      <w:szCs w:val="21"/>
                      <w:lang w:val="en-US" w:eastAsia="zh-CN"/>
                    </w:rPr>
                    <w:t>0</w:t>
                  </w:r>
                </w:p>
              </w:tc>
              <w:tc>
                <w:tcPr>
                  <w:tcW w:w="569" w:type="pct"/>
                  <w:tcBorders>
                    <w:tl2br w:val="nil"/>
                    <w:tr2bl w:val="nil"/>
                  </w:tcBorders>
                  <w:noWrap w:val="0"/>
                  <w:vAlign w:val="center"/>
                </w:tcPr>
                <w:p w14:paraId="5BE4885F">
                  <w:pPr>
                    <w:adjustRightInd w:val="0"/>
                    <w:snapToGrid w:val="0"/>
                    <w:jc w:val="center"/>
                    <w:rPr>
                      <w:rFonts w:hint="default" w:ascii="Times New Roman" w:hAnsi="Times New Roman" w:eastAsia="宋体" w:cs="Times New Roman"/>
                      <w:color w:val="FF0000"/>
                      <w:sz w:val="21"/>
                      <w:szCs w:val="21"/>
                      <w:lang w:val="en-US" w:eastAsia="zh-CN"/>
                    </w:rPr>
                  </w:pPr>
                  <w:r>
                    <w:rPr>
                      <w:rFonts w:hint="eastAsia" w:cs="Times New Roman"/>
                      <w:b w:val="0"/>
                      <w:bCs w:val="0"/>
                      <w:color w:val="FF0000"/>
                      <w:sz w:val="21"/>
                      <w:szCs w:val="21"/>
                      <w:lang w:val="en-US" w:eastAsia="zh-CN"/>
                    </w:rPr>
                    <w:t>0.038</w:t>
                  </w:r>
                </w:p>
              </w:tc>
              <w:tc>
                <w:tcPr>
                  <w:tcW w:w="481" w:type="pct"/>
                  <w:tcBorders>
                    <w:tl2br w:val="nil"/>
                    <w:tr2bl w:val="nil"/>
                  </w:tcBorders>
                  <w:noWrap w:val="0"/>
                  <w:vAlign w:val="center"/>
                </w:tcPr>
                <w:p w14:paraId="72975FB3">
                  <w:pPr>
                    <w:adjustRightInd w:val="0"/>
                    <w:snapToGrid w:val="0"/>
                    <w:jc w:val="center"/>
                    <w:rPr>
                      <w:rFonts w:hint="default" w:ascii="Times New Roman" w:hAnsi="Times New Roman" w:cs="Times New Roman"/>
                      <w:color w:val="FF0000"/>
                      <w:sz w:val="21"/>
                      <w:szCs w:val="21"/>
                      <w:lang w:val="en-US" w:eastAsia="zh-CN"/>
                    </w:rPr>
                  </w:pPr>
                  <w:r>
                    <w:rPr>
                      <w:rFonts w:hint="eastAsia" w:cs="Times New Roman"/>
                      <w:b w:val="0"/>
                      <w:bCs w:val="0"/>
                      <w:color w:val="FF0000"/>
                      <w:sz w:val="21"/>
                      <w:szCs w:val="21"/>
                      <w:lang w:val="en-US" w:eastAsia="zh-CN"/>
                    </w:rPr>
                    <w:t>+0</w:t>
                  </w:r>
                </w:p>
              </w:tc>
            </w:tr>
            <w:tr w14:paraId="6D6EC1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60" w:type="pct"/>
                  <w:vMerge w:val="restart"/>
                  <w:tcBorders>
                    <w:tl2br w:val="nil"/>
                    <w:tr2bl w:val="nil"/>
                  </w:tcBorders>
                  <w:noWrap w:val="0"/>
                  <w:vAlign w:val="center"/>
                </w:tcPr>
                <w:p w14:paraId="5667E1BD">
                  <w:pPr>
                    <w:pStyle w:val="55"/>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FF0000"/>
                      <w:sz w:val="21"/>
                      <w:szCs w:val="21"/>
                      <w:lang w:val="en-US"/>
                    </w:rPr>
                  </w:pPr>
                  <w:r>
                    <w:rPr>
                      <w:rFonts w:hint="default" w:ascii="Times New Roman" w:hAnsi="Times New Roman" w:cs="Times New Roman"/>
                      <w:color w:val="FF0000"/>
                      <w:sz w:val="21"/>
                      <w:szCs w:val="21"/>
                      <w:lang w:val="en-US"/>
                    </w:rPr>
                    <w:t>废水</w:t>
                  </w:r>
                </w:p>
              </w:tc>
              <w:tc>
                <w:tcPr>
                  <w:tcW w:w="584" w:type="pct"/>
                  <w:gridSpan w:val="2"/>
                  <w:tcBorders>
                    <w:tl2br w:val="nil"/>
                    <w:tr2bl w:val="nil"/>
                  </w:tcBorders>
                  <w:noWrap w:val="0"/>
                  <w:vAlign w:val="center"/>
                </w:tcPr>
                <w:p w14:paraId="790E6398">
                  <w:pPr>
                    <w:adjustRightInd w:val="0"/>
                    <w:snapToGrid w:val="0"/>
                    <w:jc w:val="center"/>
                    <w:rPr>
                      <w:rFonts w:hint="default" w:ascii="Times New Roman" w:hAnsi="Times New Roman" w:cs="Times New Roman"/>
                      <w:color w:val="FF0000"/>
                      <w:sz w:val="21"/>
                      <w:szCs w:val="21"/>
                      <w:lang w:val="en-US"/>
                    </w:rPr>
                  </w:pPr>
                  <w:r>
                    <w:rPr>
                      <w:rFonts w:hint="eastAsia"/>
                      <w:bCs/>
                      <w:snapToGrid w:val="0"/>
                      <w:color w:val="FF0000"/>
                      <w:kern w:val="21"/>
                      <w:szCs w:val="21"/>
                      <w:lang w:val="en-US" w:eastAsia="zh-CN"/>
                    </w:rPr>
                    <w:t>废水量</w:t>
                  </w:r>
                </w:p>
              </w:tc>
              <w:tc>
                <w:tcPr>
                  <w:tcW w:w="424" w:type="pct"/>
                  <w:tcBorders>
                    <w:tl2br w:val="nil"/>
                    <w:tr2bl w:val="nil"/>
                  </w:tcBorders>
                  <w:shd w:val="clear" w:color="auto" w:fill="auto"/>
                  <w:noWrap w:val="0"/>
                  <w:vAlign w:val="center"/>
                </w:tcPr>
                <w:p w14:paraId="7F68F1D8">
                  <w:pPr>
                    <w:adjustRightInd w:val="0"/>
                    <w:snapToGrid w:val="0"/>
                    <w:jc w:val="center"/>
                    <w:rPr>
                      <w:rFonts w:hint="eastAsia" w:ascii="Times New Roman" w:hAnsi="Times New Roman" w:eastAsia="宋体" w:cs="Times New Roman"/>
                      <w:color w:val="FF0000"/>
                      <w:kern w:val="2"/>
                      <w:sz w:val="21"/>
                      <w:szCs w:val="21"/>
                      <w:lang w:val="en-US" w:eastAsia="zh-CN" w:bidi="ar-SA"/>
                    </w:rPr>
                  </w:pPr>
                  <w:r>
                    <w:rPr>
                      <w:rFonts w:hint="eastAsia"/>
                      <w:bCs/>
                      <w:snapToGrid w:val="0"/>
                      <w:color w:val="FF0000"/>
                      <w:kern w:val="21"/>
                      <w:szCs w:val="21"/>
                      <w:lang w:val="en-US" w:eastAsia="zh-CN"/>
                    </w:rPr>
                    <w:t>5400</w:t>
                  </w:r>
                </w:p>
              </w:tc>
              <w:tc>
                <w:tcPr>
                  <w:tcW w:w="425" w:type="pct"/>
                  <w:tcBorders>
                    <w:tl2br w:val="nil"/>
                    <w:tr2bl w:val="nil"/>
                  </w:tcBorders>
                  <w:noWrap w:val="0"/>
                  <w:vAlign w:val="center"/>
                </w:tcPr>
                <w:p w14:paraId="3BC7B8E0">
                  <w:pPr>
                    <w:adjustRightInd w:val="0"/>
                    <w:snapToGrid w:val="0"/>
                    <w:jc w:val="center"/>
                    <w:rPr>
                      <w:rFonts w:hint="default"/>
                      <w:bCs/>
                      <w:snapToGrid w:val="0"/>
                      <w:color w:val="FF0000"/>
                      <w:kern w:val="21"/>
                      <w:szCs w:val="21"/>
                      <w:lang w:val="en-US" w:eastAsia="zh-CN"/>
                    </w:rPr>
                  </w:pPr>
                  <w:r>
                    <w:rPr>
                      <w:rFonts w:hint="eastAsia"/>
                      <w:bCs/>
                      <w:snapToGrid w:val="0"/>
                      <w:color w:val="FF0000"/>
                      <w:kern w:val="21"/>
                      <w:szCs w:val="21"/>
                      <w:lang w:val="en-US" w:eastAsia="zh-CN"/>
                    </w:rPr>
                    <w:t>0</w:t>
                  </w:r>
                </w:p>
              </w:tc>
              <w:tc>
                <w:tcPr>
                  <w:tcW w:w="424" w:type="pct"/>
                  <w:tcBorders>
                    <w:tl2br w:val="nil"/>
                    <w:tr2bl w:val="nil"/>
                  </w:tcBorders>
                  <w:noWrap w:val="0"/>
                  <w:vAlign w:val="center"/>
                </w:tcPr>
                <w:p w14:paraId="16184DFD">
                  <w:pPr>
                    <w:adjustRightInd w:val="0"/>
                    <w:snapToGrid w:val="0"/>
                    <w:jc w:val="center"/>
                    <w:rPr>
                      <w:rFonts w:hint="default" w:ascii="Times New Roman" w:hAnsi="Times New Roman" w:eastAsia="宋体" w:cs="Times New Roman"/>
                      <w:color w:val="FF0000"/>
                      <w:sz w:val="21"/>
                      <w:szCs w:val="21"/>
                      <w:lang w:val="en-US" w:eastAsia="zh-CN"/>
                    </w:rPr>
                  </w:pPr>
                  <w:r>
                    <w:rPr>
                      <w:rFonts w:hint="eastAsia"/>
                      <w:bCs/>
                      <w:snapToGrid w:val="0"/>
                      <w:color w:val="FF0000"/>
                      <w:kern w:val="21"/>
                      <w:szCs w:val="21"/>
                      <w:lang w:val="en-US" w:eastAsia="zh-CN"/>
                    </w:rPr>
                    <w:t>5400</w:t>
                  </w:r>
                </w:p>
              </w:tc>
              <w:tc>
                <w:tcPr>
                  <w:tcW w:w="417" w:type="pct"/>
                  <w:tcBorders>
                    <w:tl2br w:val="nil"/>
                    <w:tr2bl w:val="nil"/>
                  </w:tcBorders>
                  <w:noWrap w:val="0"/>
                  <w:vAlign w:val="center"/>
                </w:tcPr>
                <w:p w14:paraId="0130CC88">
                  <w:pPr>
                    <w:adjustRightInd w:val="0"/>
                    <w:snapToGrid w:val="0"/>
                    <w:jc w:val="center"/>
                    <w:rPr>
                      <w:rFonts w:hint="default" w:cs="Times New Roman"/>
                      <w:b w:val="0"/>
                      <w:bCs w:val="0"/>
                      <w:color w:val="FF0000"/>
                      <w:sz w:val="21"/>
                      <w:szCs w:val="21"/>
                      <w:lang w:val="en-US" w:eastAsia="zh-CN"/>
                    </w:rPr>
                  </w:pPr>
                  <w:r>
                    <w:rPr>
                      <w:rFonts w:hint="eastAsia" w:cs="Times New Roman"/>
                      <w:b w:val="0"/>
                      <w:bCs w:val="0"/>
                      <w:color w:val="FF0000"/>
                      <w:sz w:val="21"/>
                      <w:szCs w:val="21"/>
                      <w:lang w:val="en-US" w:eastAsia="zh-CN"/>
                    </w:rPr>
                    <w:t>0</w:t>
                  </w:r>
                </w:p>
              </w:tc>
              <w:tc>
                <w:tcPr>
                  <w:tcW w:w="419" w:type="pct"/>
                  <w:tcBorders>
                    <w:tl2br w:val="nil"/>
                    <w:tr2bl w:val="nil"/>
                  </w:tcBorders>
                  <w:noWrap w:val="0"/>
                  <w:vAlign w:val="center"/>
                </w:tcPr>
                <w:p w14:paraId="757A5808">
                  <w:pPr>
                    <w:adjustRightInd w:val="0"/>
                    <w:snapToGrid w:val="0"/>
                    <w:jc w:val="center"/>
                    <w:rPr>
                      <w:rFonts w:hint="default" w:cs="Times New Roman"/>
                      <w:b w:val="0"/>
                      <w:bCs w:val="0"/>
                      <w:color w:val="FF0000"/>
                      <w:sz w:val="21"/>
                      <w:szCs w:val="21"/>
                      <w:lang w:val="en-US" w:eastAsia="zh-CN"/>
                    </w:rPr>
                  </w:pPr>
                  <w:r>
                    <w:rPr>
                      <w:rFonts w:hint="eastAsia" w:cs="Times New Roman"/>
                      <w:b w:val="0"/>
                      <w:bCs w:val="0"/>
                      <w:color w:val="FF0000"/>
                      <w:sz w:val="21"/>
                      <w:szCs w:val="21"/>
                      <w:lang w:val="en-US" w:eastAsia="zh-CN"/>
                    </w:rPr>
                    <w:t>0</w:t>
                  </w:r>
                </w:p>
              </w:tc>
              <w:tc>
                <w:tcPr>
                  <w:tcW w:w="509" w:type="pct"/>
                  <w:tcBorders>
                    <w:tl2br w:val="nil"/>
                    <w:tr2bl w:val="nil"/>
                  </w:tcBorders>
                  <w:noWrap w:val="0"/>
                  <w:vAlign w:val="center"/>
                </w:tcPr>
                <w:p w14:paraId="100DC386">
                  <w:pPr>
                    <w:adjustRightInd w:val="0"/>
                    <w:snapToGrid w:val="0"/>
                    <w:jc w:val="center"/>
                    <w:rPr>
                      <w:rFonts w:hint="default" w:ascii="Times New Roman" w:hAnsi="Times New Roman" w:eastAsia="宋体" w:cs="Times New Roman"/>
                      <w:color w:val="FF0000"/>
                      <w:sz w:val="21"/>
                      <w:szCs w:val="21"/>
                      <w:lang w:val="en-US" w:eastAsia="zh-CN"/>
                    </w:rPr>
                  </w:pPr>
                  <w:r>
                    <w:rPr>
                      <w:rFonts w:hint="eastAsia" w:cs="Times New Roman"/>
                      <w:b w:val="0"/>
                      <w:bCs w:val="0"/>
                      <w:color w:val="FF0000"/>
                      <w:sz w:val="21"/>
                      <w:szCs w:val="21"/>
                      <w:lang w:val="en-US" w:eastAsia="zh-CN"/>
                    </w:rPr>
                    <w:t>0</w:t>
                  </w:r>
                </w:p>
              </w:tc>
              <w:tc>
                <w:tcPr>
                  <w:tcW w:w="483" w:type="pct"/>
                  <w:tcBorders>
                    <w:tl2br w:val="nil"/>
                    <w:tr2bl w:val="nil"/>
                  </w:tcBorders>
                  <w:noWrap w:val="0"/>
                  <w:vAlign w:val="center"/>
                </w:tcPr>
                <w:p w14:paraId="218166D1">
                  <w:pPr>
                    <w:adjustRightInd w:val="0"/>
                    <w:snapToGrid w:val="0"/>
                    <w:jc w:val="center"/>
                    <w:rPr>
                      <w:rFonts w:hint="eastAsia" w:cs="Times New Roman"/>
                      <w:b w:val="0"/>
                      <w:bCs w:val="0"/>
                      <w:color w:val="FF0000"/>
                      <w:sz w:val="21"/>
                      <w:szCs w:val="21"/>
                      <w:lang w:val="en-US" w:eastAsia="zh-CN"/>
                    </w:rPr>
                  </w:pPr>
                  <w:r>
                    <w:rPr>
                      <w:rFonts w:hint="eastAsia"/>
                      <w:b w:val="0"/>
                      <w:bCs w:val="0"/>
                      <w:color w:val="FF0000"/>
                      <w:sz w:val="21"/>
                      <w:szCs w:val="21"/>
                      <w:lang w:val="en-US" w:eastAsia="zh-CN"/>
                    </w:rPr>
                    <w:t>0</w:t>
                  </w:r>
                </w:p>
              </w:tc>
              <w:tc>
                <w:tcPr>
                  <w:tcW w:w="569" w:type="pct"/>
                  <w:tcBorders>
                    <w:tl2br w:val="nil"/>
                    <w:tr2bl w:val="nil"/>
                  </w:tcBorders>
                  <w:noWrap w:val="0"/>
                  <w:vAlign w:val="center"/>
                </w:tcPr>
                <w:p w14:paraId="28604503">
                  <w:pPr>
                    <w:adjustRightInd w:val="0"/>
                    <w:snapToGrid w:val="0"/>
                    <w:jc w:val="center"/>
                    <w:rPr>
                      <w:rFonts w:hint="default" w:ascii="Times New Roman" w:hAnsi="Times New Roman" w:eastAsia="宋体" w:cs="Times New Roman"/>
                      <w:color w:val="FF0000"/>
                      <w:sz w:val="21"/>
                      <w:szCs w:val="21"/>
                      <w:lang w:val="en-US" w:eastAsia="zh-CN"/>
                    </w:rPr>
                  </w:pPr>
                  <w:r>
                    <w:rPr>
                      <w:rFonts w:hint="eastAsia"/>
                      <w:bCs/>
                      <w:snapToGrid w:val="0"/>
                      <w:color w:val="FF0000"/>
                      <w:kern w:val="21"/>
                      <w:szCs w:val="21"/>
                      <w:lang w:val="en-US" w:eastAsia="zh-CN"/>
                    </w:rPr>
                    <w:t>5400</w:t>
                  </w:r>
                </w:p>
              </w:tc>
              <w:tc>
                <w:tcPr>
                  <w:tcW w:w="481" w:type="pct"/>
                  <w:tcBorders>
                    <w:tl2br w:val="nil"/>
                    <w:tr2bl w:val="nil"/>
                  </w:tcBorders>
                  <w:noWrap w:val="0"/>
                  <w:vAlign w:val="center"/>
                </w:tcPr>
                <w:p w14:paraId="4CAE61AC">
                  <w:pPr>
                    <w:adjustRightInd w:val="0"/>
                    <w:snapToGrid w:val="0"/>
                    <w:jc w:val="center"/>
                    <w:rPr>
                      <w:rFonts w:hint="default" w:ascii="Times New Roman" w:hAnsi="Times New Roman" w:eastAsia="宋体" w:cs="Times New Roman"/>
                      <w:color w:val="FF0000"/>
                      <w:sz w:val="21"/>
                      <w:szCs w:val="21"/>
                      <w:lang w:val="en-US" w:eastAsia="zh-CN"/>
                    </w:rPr>
                  </w:pPr>
                  <w:r>
                    <w:rPr>
                      <w:rFonts w:hint="eastAsia" w:cs="Times New Roman"/>
                      <w:b w:val="0"/>
                      <w:bCs w:val="0"/>
                      <w:color w:val="FF0000"/>
                      <w:sz w:val="21"/>
                      <w:szCs w:val="21"/>
                      <w:lang w:val="en-US" w:eastAsia="zh-CN"/>
                    </w:rPr>
                    <w:t>+0</w:t>
                  </w:r>
                </w:p>
              </w:tc>
            </w:tr>
            <w:tr w14:paraId="0EDBA5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60" w:type="pct"/>
                  <w:vMerge w:val="continue"/>
                  <w:tcBorders>
                    <w:tl2br w:val="nil"/>
                    <w:tr2bl w:val="nil"/>
                  </w:tcBorders>
                  <w:noWrap w:val="0"/>
                  <w:vAlign w:val="center"/>
                </w:tcPr>
                <w:p w14:paraId="6FE3AE46">
                  <w:pPr>
                    <w:pStyle w:val="55"/>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FF0000"/>
                      <w:sz w:val="21"/>
                      <w:szCs w:val="21"/>
                      <w:lang w:val="en-US"/>
                    </w:rPr>
                  </w:pPr>
                </w:p>
              </w:tc>
              <w:tc>
                <w:tcPr>
                  <w:tcW w:w="584" w:type="pct"/>
                  <w:gridSpan w:val="2"/>
                  <w:tcBorders>
                    <w:tl2br w:val="nil"/>
                    <w:tr2bl w:val="nil"/>
                  </w:tcBorders>
                  <w:noWrap w:val="0"/>
                  <w:vAlign w:val="center"/>
                </w:tcPr>
                <w:p w14:paraId="59A2CB50">
                  <w:pPr>
                    <w:adjustRightInd w:val="0"/>
                    <w:snapToGrid w:val="0"/>
                    <w:jc w:val="center"/>
                    <w:rPr>
                      <w:rFonts w:hint="default" w:ascii="Times New Roman" w:hAnsi="Times New Roman" w:cs="Times New Roman"/>
                      <w:color w:val="FF0000"/>
                      <w:sz w:val="21"/>
                      <w:szCs w:val="21"/>
                      <w:lang w:val="en-US"/>
                    </w:rPr>
                  </w:pPr>
                  <w:r>
                    <w:rPr>
                      <w:bCs/>
                      <w:snapToGrid w:val="0"/>
                      <w:color w:val="FF0000"/>
                      <w:kern w:val="21"/>
                      <w:szCs w:val="21"/>
                    </w:rPr>
                    <w:t>COD</w:t>
                  </w:r>
                  <w:r>
                    <w:rPr>
                      <w:bCs/>
                      <w:snapToGrid w:val="0"/>
                      <w:color w:val="FF0000"/>
                      <w:kern w:val="21"/>
                      <w:szCs w:val="21"/>
                      <w:vertAlign w:val="subscript"/>
                    </w:rPr>
                    <w:t>Cr</w:t>
                  </w:r>
                </w:p>
              </w:tc>
              <w:tc>
                <w:tcPr>
                  <w:tcW w:w="424" w:type="pct"/>
                  <w:tcBorders>
                    <w:tl2br w:val="nil"/>
                    <w:tr2bl w:val="nil"/>
                  </w:tcBorders>
                  <w:noWrap w:val="0"/>
                  <w:vAlign w:val="center"/>
                </w:tcPr>
                <w:p w14:paraId="358CBAAA">
                  <w:pPr>
                    <w:adjustRightInd w:val="0"/>
                    <w:snapToGrid w:val="0"/>
                    <w:jc w:val="center"/>
                    <w:rPr>
                      <w:rFonts w:hint="default"/>
                      <w:bCs/>
                      <w:snapToGrid w:val="0"/>
                      <w:color w:val="FF0000"/>
                      <w:kern w:val="21"/>
                      <w:szCs w:val="21"/>
                      <w:lang w:val="en-US" w:eastAsia="zh-CN"/>
                    </w:rPr>
                  </w:pPr>
                  <w:r>
                    <w:rPr>
                      <w:rFonts w:hint="eastAsia"/>
                      <w:bCs/>
                      <w:snapToGrid w:val="0"/>
                      <w:color w:val="FF0000"/>
                      <w:kern w:val="21"/>
                      <w:szCs w:val="21"/>
                      <w:lang w:val="en-US" w:eastAsia="zh-CN"/>
                    </w:rPr>
                    <w:t>1.6</w:t>
                  </w:r>
                </w:p>
              </w:tc>
              <w:tc>
                <w:tcPr>
                  <w:tcW w:w="425" w:type="pct"/>
                  <w:tcBorders>
                    <w:tl2br w:val="nil"/>
                    <w:tr2bl w:val="nil"/>
                  </w:tcBorders>
                  <w:noWrap w:val="0"/>
                  <w:vAlign w:val="center"/>
                </w:tcPr>
                <w:p w14:paraId="1A37DB56">
                  <w:pPr>
                    <w:adjustRightInd w:val="0"/>
                    <w:snapToGrid w:val="0"/>
                    <w:jc w:val="center"/>
                    <w:rPr>
                      <w:rFonts w:hint="default"/>
                      <w:bCs/>
                      <w:snapToGrid w:val="0"/>
                      <w:color w:val="FF0000"/>
                      <w:kern w:val="21"/>
                      <w:szCs w:val="21"/>
                      <w:lang w:val="en-US" w:eastAsia="zh-CN"/>
                    </w:rPr>
                  </w:pPr>
                  <w:r>
                    <w:rPr>
                      <w:rFonts w:hint="eastAsia"/>
                      <w:bCs/>
                      <w:snapToGrid w:val="0"/>
                      <w:color w:val="FF0000"/>
                      <w:kern w:val="21"/>
                      <w:szCs w:val="21"/>
                      <w:lang w:val="en-US" w:eastAsia="zh-CN"/>
                    </w:rPr>
                    <w:t>1.07</w:t>
                  </w:r>
                </w:p>
              </w:tc>
              <w:tc>
                <w:tcPr>
                  <w:tcW w:w="424" w:type="pct"/>
                  <w:tcBorders>
                    <w:tl2br w:val="nil"/>
                    <w:tr2bl w:val="nil"/>
                  </w:tcBorders>
                  <w:noWrap w:val="0"/>
                  <w:vAlign w:val="center"/>
                </w:tcPr>
                <w:p w14:paraId="561E3DCC">
                  <w:pPr>
                    <w:adjustRightInd w:val="0"/>
                    <w:snapToGrid w:val="0"/>
                    <w:jc w:val="center"/>
                    <w:rPr>
                      <w:rFonts w:hint="default" w:ascii="Times New Roman" w:hAnsi="Times New Roman" w:cs="Times New Roman"/>
                      <w:color w:val="FF0000"/>
                      <w:sz w:val="21"/>
                      <w:szCs w:val="21"/>
                      <w:lang w:val="en-US"/>
                    </w:rPr>
                  </w:pPr>
                  <w:r>
                    <w:rPr>
                      <w:rFonts w:hint="eastAsia"/>
                      <w:bCs/>
                      <w:snapToGrid w:val="0"/>
                      <w:color w:val="FF0000"/>
                      <w:kern w:val="21"/>
                      <w:szCs w:val="21"/>
                      <w:lang w:val="en-US" w:eastAsia="zh-CN"/>
                    </w:rPr>
                    <w:t>0.53</w:t>
                  </w:r>
                </w:p>
              </w:tc>
              <w:tc>
                <w:tcPr>
                  <w:tcW w:w="417" w:type="pct"/>
                  <w:tcBorders>
                    <w:tl2br w:val="nil"/>
                    <w:tr2bl w:val="nil"/>
                  </w:tcBorders>
                  <w:shd w:val="clear" w:color="auto" w:fill="auto"/>
                  <w:noWrap w:val="0"/>
                  <w:vAlign w:val="center"/>
                </w:tcPr>
                <w:p w14:paraId="038A3D4A">
                  <w:pPr>
                    <w:adjustRightInd w:val="0"/>
                    <w:snapToGrid w:val="0"/>
                    <w:jc w:val="center"/>
                    <w:rPr>
                      <w:rFonts w:hint="eastAsia" w:ascii="Times New Roman" w:hAnsi="Times New Roman" w:eastAsia="宋体" w:cs="Times New Roman"/>
                      <w:color w:val="FF0000"/>
                      <w:kern w:val="2"/>
                      <w:sz w:val="21"/>
                      <w:szCs w:val="21"/>
                      <w:lang w:val="en-US" w:eastAsia="zh-CN" w:bidi="ar-SA"/>
                    </w:rPr>
                  </w:pPr>
                  <w:r>
                    <w:rPr>
                      <w:rFonts w:hint="eastAsia" w:cs="Times New Roman"/>
                      <w:b w:val="0"/>
                      <w:bCs w:val="0"/>
                      <w:color w:val="FF0000"/>
                      <w:sz w:val="21"/>
                      <w:szCs w:val="21"/>
                      <w:lang w:val="en-US" w:eastAsia="zh-CN"/>
                    </w:rPr>
                    <w:t>0</w:t>
                  </w:r>
                </w:p>
              </w:tc>
              <w:tc>
                <w:tcPr>
                  <w:tcW w:w="419" w:type="pct"/>
                  <w:tcBorders>
                    <w:tl2br w:val="nil"/>
                    <w:tr2bl w:val="nil"/>
                  </w:tcBorders>
                  <w:shd w:val="clear" w:color="auto" w:fill="auto"/>
                  <w:noWrap w:val="0"/>
                  <w:vAlign w:val="center"/>
                </w:tcPr>
                <w:p w14:paraId="584C5A89">
                  <w:pPr>
                    <w:adjustRightInd w:val="0"/>
                    <w:snapToGrid w:val="0"/>
                    <w:jc w:val="center"/>
                    <w:rPr>
                      <w:rFonts w:hint="eastAsia" w:ascii="Times New Roman" w:hAnsi="Times New Roman" w:eastAsia="宋体" w:cs="Times New Roman"/>
                      <w:color w:val="FF0000"/>
                      <w:kern w:val="2"/>
                      <w:sz w:val="21"/>
                      <w:szCs w:val="21"/>
                      <w:lang w:val="en-US" w:eastAsia="zh-CN" w:bidi="ar-SA"/>
                    </w:rPr>
                  </w:pPr>
                  <w:r>
                    <w:rPr>
                      <w:rFonts w:hint="eastAsia" w:cs="Times New Roman"/>
                      <w:b w:val="0"/>
                      <w:bCs w:val="0"/>
                      <w:color w:val="FF0000"/>
                      <w:sz w:val="21"/>
                      <w:szCs w:val="21"/>
                      <w:lang w:val="en-US" w:eastAsia="zh-CN"/>
                    </w:rPr>
                    <w:t>0</w:t>
                  </w:r>
                </w:p>
              </w:tc>
              <w:tc>
                <w:tcPr>
                  <w:tcW w:w="509" w:type="pct"/>
                  <w:tcBorders>
                    <w:tl2br w:val="nil"/>
                    <w:tr2bl w:val="nil"/>
                  </w:tcBorders>
                  <w:noWrap w:val="0"/>
                  <w:vAlign w:val="center"/>
                </w:tcPr>
                <w:p w14:paraId="244D12A2">
                  <w:pPr>
                    <w:adjustRightInd w:val="0"/>
                    <w:snapToGrid w:val="0"/>
                    <w:jc w:val="center"/>
                    <w:rPr>
                      <w:rFonts w:hint="default" w:ascii="Times New Roman" w:hAnsi="Times New Roman" w:eastAsia="宋体" w:cs="Times New Roman"/>
                      <w:color w:val="FF0000"/>
                      <w:sz w:val="21"/>
                      <w:szCs w:val="21"/>
                      <w:lang w:val="en-US" w:eastAsia="zh-CN"/>
                    </w:rPr>
                  </w:pPr>
                  <w:r>
                    <w:rPr>
                      <w:rFonts w:hint="eastAsia" w:cs="Times New Roman"/>
                      <w:b w:val="0"/>
                      <w:bCs w:val="0"/>
                      <w:color w:val="FF0000"/>
                      <w:sz w:val="21"/>
                      <w:szCs w:val="21"/>
                      <w:lang w:val="en-US" w:eastAsia="zh-CN"/>
                    </w:rPr>
                    <w:t>0</w:t>
                  </w:r>
                </w:p>
              </w:tc>
              <w:tc>
                <w:tcPr>
                  <w:tcW w:w="483" w:type="pct"/>
                  <w:tcBorders>
                    <w:tl2br w:val="nil"/>
                    <w:tr2bl w:val="nil"/>
                  </w:tcBorders>
                  <w:noWrap w:val="0"/>
                  <w:vAlign w:val="center"/>
                </w:tcPr>
                <w:p w14:paraId="7BF089AC">
                  <w:pPr>
                    <w:adjustRightInd w:val="0"/>
                    <w:snapToGrid w:val="0"/>
                    <w:jc w:val="center"/>
                    <w:rPr>
                      <w:rFonts w:hint="eastAsia" w:cs="Times New Roman"/>
                      <w:b w:val="0"/>
                      <w:bCs w:val="0"/>
                      <w:color w:val="FF0000"/>
                      <w:sz w:val="21"/>
                      <w:szCs w:val="21"/>
                      <w:lang w:val="en-US" w:eastAsia="zh-CN"/>
                    </w:rPr>
                  </w:pPr>
                  <w:r>
                    <w:rPr>
                      <w:rFonts w:hint="eastAsia"/>
                      <w:b w:val="0"/>
                      <w:bCs w:val="0"/>
                      <w:color w:val="FF0000"/>
                      <w:sz w:val="21"/>
                      <w:szCs w:val="21"/>
                      <w:lang w:val="en-US" w:eastAsia="zh-CN"/>
                    </w:rPr>
                    <w:t>0</w:t>
                  </w:r>
                </w:p>
              </w:tc>
              <w:tc>
                <w:tcPr>
                  <w:tcW w:w="569" w:type="pct"/>
                  <w:tcBorders>
                    <w:tl2br w:val="nil"/>
                    <w:tr2bl w:val="nil"/>
                  </w:tcBorders>
                  <w:noWrap w:val="0"/>
                  <w:vAlign w:val="center"/>
                </w:tcPr>
                <w:p w14:paraId="6834A57D">
                  <w:pPr>
                    <w:adjustRightInd w:val="0"/>
                    <w:snapToGrid w:val="0"/>
                    <w:jc w:val="center"/>
                    <w:rPr>
                      <w:rFonts w:hint="default" w:ascii="Times New Roman" w:hAnsi="Times New Roman" w:eastAsia="宋体" w:cs="Times New Roman"/>
                      <w:color w:val="FF0000"/>
                      <w:sz w:val="21"/>
                      <w:szCs w:val="21"/>
                      <w:lang w:val="en-US" w:eastAsia="zh-CN"/>
                    </w:rPr>
                  </w:pPr>
                  <w:r>
                    <w:rPr>
                      <w:rFonts w:hint="eastAsia"/>
                      <w:bCs/>
                      <w:snapToGrid w:val="0"/>
                      <w:color w:val="FF0000"/>
                      <w:kern w:val="21"/>
                      <w:szCs w:val="21"/>
                      <w:lang w:val="en-US" w:eastAsia="zh-CN"/>
                    </w:rPr>
                    <w:t>0.53</w:t>
                  </w:r>
                </w:p>
              </w:tc>
              <w:tc>
                <w:tcPr>
                  <w:tcW w:w="481" w:type="pct"/>
                  <w:tcBorders>
                    <w:tl2br w:val="nil"/>
                    <w:tr2bl w:val="nil"/>
                  </w:tcBorders>
                  <w:noWrap w:val="0"/>
                  <w:vAlign w:val="center"/>
                </w:tcPr>
                <w:p w14:paraId="0931E5AD">
                  <w:pPr>
                    <w:adjustRightInd w:val="0"/>
                    <w:snapToGrid w:val="0"/>
                    <w:jc w:val="center"/>
                    <w:rPr>
                      <w:rFonts w:hint="default" w:ascii="Times New Roman" w:hAnsi="Times New Roman" w:eastAsia="宋体" w:cs="Times New Roman"/>
                      <w:color w:val="FF0000"/>
                      <w:sz w:val="21"/>
                      <w:szCs w:val="21"/>
                      <w:lang w:val="en-US" w:eastAsia="zh-CN"/>
                    </w:rPr>
                  </w:pPr>
                  <w:r>
                    <w:rPr>
                      <w:rFonts w:hint="eastAsia" w:cs="Times New Roman"/>
                      <w:b w:val="0"/>
                      <w:bCs w:val="0"/>
                      <w:color w:val="FF0000"/>
                      <w:sz w:val="21"/>
                      <w:szCs w:val="21"/>
                      <w:lang w:val="en-US" w:eastAsia="zh-CN"/>
                    </w:rPr>
                    <w:t>+0</w:t>
                  </w:r>
                </w:p>
              </w:tc>
            </w:tr>
            <w:tr w14:paraId="5AE7A4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60" w:type="pct"/>
                  <w:vMerge w:val="continue"/>
                  <w:tcBorders>
                    <w:tl2br w:val="nil"/>
                    <w:tr2bl w:val="nil"/>
                  </w:tcBorders>
                  <w:noWrap w:val="0"/>
                  <w:vAlign w:val="center"/>
                </w:tcPr>
                <w:p w14:paraId="4B8790FA">
                  <w:pPr>
                    <w:pStyle w:val="55"/>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FF0000"/>
                      <w:sz w:val="21"/>
                      <w:szCs w:val="21"/>
                      <w:lang w:val="en-US"/>
                    </w:rPr>
                  </w:pPr>
                </w:p>
              </w:tc>
              <w:tc>
                <w:tcPr>
                  <w:tcW w:w="584" w:type="pct"/>
                  <w:gridSpan w:val="2"/>
                  <w:tcBorders>
                    <w:tl2br w:val="nil"/>
                    <w:tr2bl w:val="nil"/>
                  </w:tcBorders>
                  <w:noWrap w:val="0"/>
                  <w:vAlign w:val="center"/>
                </w:tcPr>
                <w:p w14:paraId="117838EF">
                  <w:pPr>
                    <w:adjustRightInd w:val="0"/>
                    <w:snapToGrid w:val="0"/>
                    <w:jc w:val="center"/>
                    <w:rPr>
                      <w:rFonts w:hint="default" w:ascii="Times New Roman" w:hAnsi="Times New Roman" w:cs="Times New Roman"/>
                      <w:color w:val="FF0000"/>
                      <w:sz w:val="21"/>
                      <w:szCs w:val="21"/>
                      <w:lang w:val="en-US"/>
                    </w:rPr>
                  </w:pPr>
                  <w:r>
                    <w:rPr>
                      <w:bCs/>
                      <w:snapToGrid w:val="0"/>
                      <w:color w:val="FF0000"/>
                      <w:kern w:val="21"/>
                      <w:szCs w:val="21"/>
                    </w:rPr>
                    <w:t>BOD</w:t>
                  </w:r>
                  <w:r>
                    <w:rPr>
                      <w:bCs/>
                      <w:snapToGrid w:val="0"/>
                      <w:color w:val="FF0000"/>
                      <w:kern w:val="21"/>
                      <w:szCs w:val="21"/>
                      <w:vertAlign w:val="subscript"/>
                    </w:rPr>
                    <w:t>5</w:t>
                  </w:r>
                </w:p>
              </w:tc>
              <w:tc>
                <w:tcPr>
                  <w:tcW w:w="424" w:type="pct"/>
                  <w:tcBorders>
                    <w:tl2br w:val="nil"/>
                    <w:tr2bl w:val="nil"/>
                  </w:tcBorders>
                  <w:noWrap w:val="0"/>
                  <w:vAlign w:val="center"/>
                </w:tcPr>
                <w:p w14:paraId="7B0A9617">
                  <w:pPr>
                    <w:adjustRightInd w:val="0"/>
                    <w:snapToGrid w:val="0"/>
                    <w:jc w:val="center"/>
                    <w:rPr>
                      <w:rFonts w:hint="default"/>
                      <w:bCs/>
                      <w:snapToGrid w:val="0"/>
                      <w:color w:val="FF0000"/>
                      <w:kern w:val="21"/>
                      <w:szCs w:val="21"/>
                      <w:lang w:val="en-US" w:eastAsia="zh-CN"/>
                    </w:rPr>
                  </w:pPr>
                  <w:r>
                    <w:rPr>
                      <w:rFonts w:hint="eastAsia"/>
                      <w:bCs/>
                      <w:snapToGrid w:val="0"/>
                      <w:color w:val="FF0000"/>
                      <w:kern w:val="21"/>
                      <w:szCs w:val="21"/>
                      <w:lang w:val="en-US" w:eastAsia="zh-CN"/>
                    </w:rPr>
                    <w:t>0.8</w:t>
                  </w:r>
                </w:p>
              </w:tc>
              <w:tc>
                <w:tcPr>
                  <w:tcW w:w="425" w:type="pct"/>
                  <w:tcBorders>
                    <w:tl2br w:val="nil"/>
                    <w:tr2bl w:val="nil"/>
                  </w:tcBorders>
                  <w:noWrap w:val="0"/>
                  <w:vAlign w:val="center"/>
                </w:tcPr>
                <w:p w14:paraId="45D3D8CA">
                  <w:pPr>
                    <w:adjustRightInd w:val="0"/>
                    <w:snapToGrid w:val="0"/>
                    <w:jc w:val="center"/>
                    <w:rPr>
                      <w:rFonts w:hint="default"/>
                      <w:bCs/>
                      <w:snapToGrid w:val="0"/>
                      <w:color w:val="FF0000"/>
                      <w:kern w:val="21"/>
                      <w:szCs w:val="21"/>
                      <w:lang w:val="en-US" w:eastAsia="zh-CN"/>
                    </w:rPr>
                  </w:pPr>
                  <w:r>
                    <w:rPr>
                      <w:rFonts w:hint="eastAsia"/>
                      <w:bCs/>
                      <w:snapToGrid w:val="0"/>
                      <w:color w:val="FF0000"/>
                      <w:kern w:val="21"/>
                      <w:szCs w:val="21"/>
                      <w:lang w:val="en-US" w:eastAsia="zh-CN"/>
                    </w:rPr>
                    <w:t>0.7</w:t>
                  </w:r>
                </w:p>
              </w:tc>
              <w:tc>
                <w:tcPr>
                  <w:tcW w:w="424" w:type="pct"/>
                  <w:tcBorders>
                    <w:tl2br w:val="nil"/>
                    <w:tr2bl w:val="nil"/>
                  </w:tcBorders>
                  <w:noWrap w:val="0"/>
                  <w:vAlign w:val="center"/>
                </w:tcPr>
                <w:p w14:paraId="76C8D0D4">
                  <w:pPr>
                    <w:adjustRightInd w:val="0"/>
                    <w:snapToGrid w:val="0"/>
                    <w:jc w:val="center"/>
                    <w:rPr>
                      <w:rFonts w:hint="default" w:ascii="Times New Roman" w:hAnsi="Times New Roman" w:cs="Times New Roman"/>
                      <w:color w:val="FF0000"/>
                      <w:sz w:val="21"/>
                      <w:szCs w:val="21"/>
                      <w:lang w:val="en-US"/>
                    </w:rPr>
                  </w:pPr>
                  <w:r>
                    <w:rPr>
                      <w:rFonts w:hint="eastAsia"/>
                      <w:bCs/>
                      <w:snapToGrid w:val="0"/>
                      <w:color w:val="FF0000"/>
                      <w:kern w:val="21"/>
                      <w:szCs w:val="21"/>
                      <w:lang w:val="en-US" w:eastAsia="zh-CN"/>
                    </w:rPr>
                    <w:t>0.1</w:t>
                  </w:r>
                </w:p>
              </w:tc>
              <w:tc>
                <w:tcPr>
                  <w:tcW w:w="417" w:type="pct"/>
                  <w:tcBorders>
                    <w:tl2br w:val="nil"/>
                    <w:tr2bl w:val="nil"/>
                  </w:tcBorders>
                  <w:shd w:val="clear" w:color="auto" w:fill="auto"/>
                  <w:noWrap w:val="0"/>
                  <w:vAlign w:val="center"/>
                </w:tcPr>
                <w:p w14:paraId="392E9FC4">
                  <w:pPr>
                    <w:adjustRightInd w:val="0"/>
                    <w:snapToGrid w:val="0"/>
                    <w:jc w:val="center"/>
                    <w:rPr>
                      <w:rFonts w:hint="eastAsia" w:ascii="Times New Roman" w:hAnsi="Times New Roman" w:eastAsia="宋体" w:cs="Times New Roman"/>
                      <w:color w:val="FF0000"/>
                      <w:kern w:val="2"/>
                      <w:sz w:val="21"/>
                      <w:szCs w:val="21"/>
                      <w:lang w:val="en-US" w:eastAsia="zh-CN" w:bidi="ar-SA"/>
                    </w:rPr>
                  </w:pPr>
                  <w:r>
                    <w:rPr>
                      <w:rFonts w:hint="eastAsia" w:cs="Times New Roman"/>
                      <w:b w:val="0"/>
                      <w:bCs w:val="0"/>
                      <w:color w:val="FF0000"/>
                      <w:sz w:val="21"/>
                      <w:szCs w:val="21"/>
                      <w:lang w:val="en-US" w:eastAsia="zh-CN"/>
                    </w:rPr>
                    <w:t>0</w:t>
                  </w:r>
                </w:p>
              </w:tc>
              <w:tc>
                <w:tcPr>
                  <w:tcW w:w="419" w:type="pct"/>
                  <w:tcBorders>
                    <w:tl2br w:val="nil"/>
                    <w:tr2bl w:val="nil"/>
                  </w:tcBorders>
                  <w:shd w:val="clear" w:color="auto" w:fill="auto"/>
                  <w:noWrap w:val="0"/>
                  <w:vAlign w:val="center"/>
                </w:tcPr>
                <w:p w14:paraId="4B596919">
                  <w:pPr>
                    <w:adjustRightInd w:val="0"/>
                    <w:snapToGrid w:val="0"/>
                    <w:jc w:val="center"/>
                    <w:rPr>
                      <w:rFonts w:hint="eastAsia" w:ascii="Times New Roman" w:hAnsi="Times New Roman" w:eastAsia="宋体" w:cs="Times New Roman"/>
                      <w:color w:val="FF0000"/>
                      <w:kern w:val="2"/>
                      <w:sz w:val="21"/>
                      <w:szCs w:val="21"/>
                      <w:lang w:val="en-US" w:eastAsia="zh-CN" w:bidi="ar-SA"/>
                    </w:rPr>
                  </w:pPr>
                  <w:r>
                    <w:rPr>
                      <w:rFonts w:hint="eastAsia" w:cs="Times New Roman"/>
                      <w:b w:val="0"/>
                      <w:bCs w:val="0"/>
                      <w:color w:val="FF0000"/>
                      <w:sz w:val="21"/>
                      <w:szCs w:val="21"/>
                      <w:lang w:val="en-US" w:eastAsia="zh-CN"/>
                    </w:rPr>
                    <w:t>0</w:t>
                  </w:r>
                </w:p>
              </w:tc>
              <w:tc>
                <w:tcPr>
                  <w:tcW w:w="509" w:type="pct"/>
                  <w:tcBorders>
                    <w:tl2br w:val="nil"/>
                    <w:tr2bl w:val="nil"/>
                  </w:tcBorders>
                  <w:noWrap w:val="0"/>
                  <w:vAlign w:val="center"/>
                </w:tcPr>
                <w:p w14:paraId="5FCCFD0F">
                  <w:pPr>
                    <w:adjustRightInd w:val="0"/>
                    <w:snapToGrid w:val="0"/>
                    <w:jc w:val="center"/>
                    <w:rPr>
                      <w:rFonts w:hint="default" w:ascii="Times New Roman" w:hAnsi="Times New Roman" w:eastAsia="宋体" w:cs="Times New Roman"/>
                      <w:color w:val="FF0000"/>
                      <w:sz w:val="21"/>
                      <w:szCs w:val="21"/>
                      <w:lang w:val="en-US" w:eastAsia="zh-CN"/>
                    </w:rPr>
                  </w:pPr>
                  <w:r>
                    <w:rPr>
                      <w:rFonts w:hint="eastAsia" w:cs="Times New Roman"/>
                      <w:b w:val="0"/>
                      <w:bCs w:val="0"/>
                      <w:color w:val="FF0000"/>
                      <w:sz w:val="21"/>
                      <w:szCs w:val="21"/>
                      <w:lang w:val="en-US" w:eastAsia="zh-CN"/>
                    </w:rPr>
                    <w:t>0</w:t>
                  </w:r>
                </w:p>
              </w:tc>
              <w:tc>
                <w:tcPr>
                  <w:tcW w:w="483" w:type="pct"/>
                  <w:tcBorders>
                    <w:tl2br w:val="nil"/>
                    <w:tr2bl w:val="nil"/>
                  </w:tcBorders>
                  <w:noWrap w:val="0"/>
                  <w:vAlign w:val="center"/>
                </w:tcPr>
                <w:p w14:paraId="60C8F358">
                  <w:pPr>
                    <w:adjustRightInd w:val="0"/>
                    <w:snapToGrid w:val="0"/>
                    <w:jc w:val="center"/>
                    <w:rPr>
                      <w:rFonts w:hint="eastAsia" w:cs="Times New Roman"/>
                      <w:b w:val="0"/>
                      <w:bCs w:val="0"/>
                      <w:color w:val="FF0000"/>
                      <w:sz w:val="21"/>
                      <w:szCs w:val="21"/>
                      <w:lang w:val="en-US" w:eastAsia="zh-CN"/>
                    </w:rPr>
                  </w:pPr>
                  <w:r>
                    <w:rPr>
                      <w:rFonts w:hint="eastAsia"/>
                      <w:b w:val="0"/>
                      <w:bCs w:val="0"/>
                      <w:color w:val="FF0000"/>
                      <w:sz w:val="21"/>
                      <w:szCs w:val="21"/>
                      <w:lang w:val="en-US" w:eastAsia="zh-CN"/>
                    </w:rPr>
                    <w:t>0</w:t>
                  </w:r>
                </w:p>
              </w:tc>
              <w:tc>
                <w:tcPr>
                  <w:tcW w:w="569" w:type="pct"/>
                  <w:tcBorders>
                    <w:tl2br w:val="nil"/>
                    <w:tr2bl w:val="nil"/>
                  </w:tcBorders>
                  <w:noWrap w:val="0"/>
                  <w:vAlign w:val="center"/>
                </w:tcPr>
                <w:p w14:paraId="3B6DE7EF">
                  <w:pPr>
                    <w:adjustRightInd w:val="0"/>
                    <w:snapToGrid w:val="0"/>
                    <w:jc w:val="center"/>
                    <w:rPr>
                      <w:rFonts w:hint="default" w:ascii="Times New Roman" w:hAnsi="Times New Roman" w:eastAsia="宋体" w:cs="Times New Roman"/>
                      <w:color w:val="FF0000"/>
                      <w:sz w:val="21"/>
                      <w:szCs w:val="21"/>
                      <w:lang w:val="en-US"/>
                    </w:rPr>
                  </w:pPr>
                  <w:r>
                    <w:rPr>
                      <w:rFonts w:hint="eastAsia"/>
                      <w:bCs/>
                      <w:snapToGrid w:val="0"/>
                      <w:color w:val="FF0000"/>
                      <w:kern w:val="21"/>
                      <w:szCs w:val="21"/>
                      <w:lang w:val="en-US" w:eastAsia="zh-CN"/>
                    </w:rPr>
                    <w:t>0.1</w:t>
                  </w:r>
                </w:p>
              </w:tc>
              <w:tc>
                <w:tcPr>
                  <w:tcW w:w="481" w:type="pct"/>
                  <w:tcBorders>
                    <w:tl2br w:val="nil"/>
                    <w:tr2bl w:val="nil"/>
                  </w:tcBorders>
                  <w:noWrap w:val="0"/>
                  <w:vAlign w:val="center"/>
                </w:tcPr>
                <w:p w14:paraId="62821773">
                  <w:pPr>
                    <w:adjustRightInd w:val="0"/>
                    <w:snapToGrid w:val="0"/>
                    <w:jc w:val="center"/>
                    <w:rPr>
                      <w:rFonts w:hint="default" w:ascii="Times New Roman" w:hAnsi="Times New Roman" w:eastAsia="宋体" w:cs="Times New Roman"/>
                      <w:color w:val="FF0000"/>
                      <w:sz w:val="21"/>
                      <w:szCs w:val="21"/>
                      <w:lang w:val="en-US" w:eastAsia="zh-CN"/>
                    </w:rPr>
                  </w:pPr>
                  <w:r>
                    <w:rPr>
                      <w:rFonts w:hint="eastAsia" w:cs="Times New Roman"/>
                      <w:b w:val="0"/>
                      <w:bCs w:val="0"/>
                      <w:color w:val="FF0000"/>
                      <w:sz w:val="21"/>
                      <w:szCs w:val="21"/>
                      <w:lang w:val="en-US" w:eastAsia="zh-CN"/>
                    </w:rPr>
                    <w:t>+0</w:t>
                  </w:r>
                </w:p>
              </w:tc>
            </w:tr>
            <w:tr w14:paraId="011BB4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60" w:type="pct"/>
                  <w:vMerge w:val="continue"/>
                  <w:tcBorders>
                    <w:tl2br w:val="nil"/>
                    <w:tr2bl w:val="nil"/>
                  </w:tcBorders>
                  <w:noWrap w:val="0"/>
                  <w:vAlign w:val="center"/>
                </w:tcPr>
                <w:p w14:paraId="0C3501E0">
                  <w:pPr>
                    <w:pStyle w:val="55"/>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FF0000"/>
                      <w:sz w:val="21"/>
                      <w:szCs w:val="21"/>
                      <w:lang w:val="en-US"/>
                    </w:rPr>
                  </w:pPr>
                </w:p>
              </w:tc>
              <w:tc>
                <w:tcPr>
                  <w:tcW w:w="584" w:type="pct"/>
                  <w:gridSpan w:val="2"/>
                  <w:tcBorders>
                    <w:tl2br w:val="nil"/>
                    <w:tr2bl w:val="nil"/>
                  </w:tcBorders>
                  <w:noWrap w:val="0"/>
                  <w:vAlign w:val="center"/>
                </w:tcPr>
                <w:p w14:paraId="333881DF">
                  <w:pPr>
                    <w:adjustRightInd w:val="0"/>
                    <w:snapToGrid w:val="0"/>
                    <w:jc w:val="center"/>
                    <w:rPr>
                      <w:rFonts w:hint="default" w:ascii="Times New Roman" w:hAnsi="Times New Roman" w:cs="Times New Roman"/>
                      <w:color w:val="FF0000"/>
                      <w:sz w:val="21"/>
                      <w:szCs w:val="21"/>
                      <w:lang w:val="en-US"/>
                    </w:rPr>
                  </w:pPr>
                  <w:r>
                    <w:rPr>
                      <w:bCs/>
                      <w:snapToGrid w:val="0"/>
                      <w:color w:val="FF0000"/>
                      <w:kern w:val="21"/>
                      <w:szCs w:val="21"/>
                    </w:rPr>
                    <w:t>SS</w:t>
                  </w:r>
                </w:p>
              </w:tc>
              <w:tc>
                <w:tcPr>
                  <w:tcW w:w="424" w:type="pct"/>
                  <w:tcBorders>
                    <w:tl2br w:val="nil"/>
                    <w:tr2bl w:val="nil"/>
                  </w:tcBorders>
                  <w:noWrap w:val="0"/>
                  <w:vAlign w:val="center"/>
                </w:tcPr>
                <w:p w14:paraId="70E8A240">
                  <w:pPr>
                    <w:adjustRightInd w:val="0"/>
                    <w:snapToGrid w:val="0"/>
                    <w:jc w:val="center"/>
                    <w:rPr>
                      <w:rFonts w:hint="default"/>
                      <w:bCs/>
                      <w:snapToGrid w:val="0"/>
                      <w:color w:val="FF0000"/>
                      <w:kern w:val="21"/>
                      <w:szCs w:val="21"/>
                      <w:lang w:val="en-US" w:eastAsia="zh-CN"/>
                    </w:rPr>
                  </w:pPr>
                  <w:r>
                    <w:rPr>
                      <w:rFonts w:hint="eastAsia"/>
                      <w:bCs/>
                      <w:snapToGrid w:val="0"/>
                      <w:color w:val="FF0000"/>
                      <w:kern w:val="21"/>
                      <w:szCs w:val="21"/>
                      <w:lang w:val="en-US" w:eastAsia="zh-CN"/>
                    </w:rPr>
                    <w:t>0.53</w:t>
                  </w:r>
                </w:p>
              </w:tc>
              <w:tc>
                <w:tcPr>
                  <w:tcW w:w="425" w:type="pct"/>
                  <w:tcBorders>
                    <w:tl2br w:val="nil"/>
                    <w:tr2bl w:val="nil"/>
                  </w:tcBorders>
                  <w:noWrap w:val="0"/>
                  <w:vAlign w:val="center"/>
                </w:tcPr>
                <w:p w14:paraId="5B277803">
                  <w:pPr>
                    <w:adjustRightInd w:val="0"/>
                    <w:snapToGrid w:val="0"/>
                    <w:jc w:val="center"/>
                    <w:rPr>
                      <w:rFonts w:hint="default"/>
                      <w:bCs/>
                      <w:snapToGrid w:val="0"/>
                      <w:color w:val="FF0000"/>
                      <w:kern w:val="21"/>
                      <w:szCs w:val="21"/>
                      <w:lang w:val="en-US" w:eastAsia="zh-CN"/>
                    </w:rPr>
                  </w:pPr>
                  <w:r>
                    <w:rPr>
                      <w:rFonts w:hint="eastAsia"/>
                      <w:bCs/>
                      <w:snapToGrid w:val="0"/>
                      <w:color w:val="FF0000"/>
                      <w:kern w:val="21"/>
                      <w:szCs w:val="21"/>
                      <w:lang w:val="en-US" w:eastAsia="zh-CN"/>
                    </w:rPr>
                    <w:t>0.15</w:t>
                  </w:r>
                </w:p>
              </w:tc>
              <w:tc>
                <w:tcPr>
                  <w:tcW w:w="424" w:type="pct"/>
                  <w:tcBorders>
                    <w:tl2br w:val="nil"/>
                    <w:tr2bl w:val="nil"/>
                  </w:tcBorders>
                  <w:noWrap w:val="0"/>
                  <w:vAlign w:val="center"/>
                </w:tcPr>
                <w:p w14:paraId="56995737">
                  <w:pPr>
                    <w:adjustRightInd w:val="0"/>
                    <w:snapToGrid w:val="0"/>
                    <w:jc w:val="center"/>
                    <w:rPr>
                      <w:rFonts w:hint="default" w:ascii="Times New Roman" w:hAnsi="Times New Roman" w:cs="Times New Roman"/>
                      <w:color w:val="FF0000"/>
                      <w:sz w:val="21"/>
                      <w:szCs w:val="21"/>
                      <w:lang w:val="en-US"/>
                    </w:rPr>
                  </w:pPr>
                  <w:r>
                    <w:rPr>
                      <w:rFonts w:hint="eastAsia"/>
                      <w:bCs/>
                      <w:snapToGrid w:val="0"/>
                      <w:color w:val="FF0000"/>
                      <w:kern w:val="21"/>
                      <w:szCs w:val="21"/>
                      <w:lang w:val="en-US" w:eastAsia="zh-CN"/>
                    </w:rPr>
                    <w:t>0.38</w:t>
                  </w:r>
                </w:p>
              </w:tc>
              <w:tc>
                <w:tcPr>
                  <w:tcW w:w="417" w:type="pct"/>
                  <w:tcBorders>
                    <w:tl2br w:val="nil"/>
                    <w:tr2bl w:val="nil"/>
                  </w:tcBorders>
                  <w:noWrap w:val="0"/>
                  <w:vAlign w:val="center"/>
                </w:tcPr>
                <w:p w14:paraId="367CA0A1">
                  <w:pPr>
                    <w:adjustRightInd w:val="0"/>
                    <w:snapToGrid w:val="0"/>
                    <w:jc w:val="center"/>
                    <w:rPr>
                      <w:rFonts w:hint="default" w:cs="Times New Roman"/>
                      <w:b w:val="0"/>
                      <w:bCs w:val="0"/>
                      <w:color w:val="FF0000"/>
                      <w:sz w:val="21"/>
                      <w:szCs w:val="21"/>
                      <w:lang w:val="en-US" w:eastAsia="zh-CN"/>
                    </w:rPr>
                  </w:pPr>
                  <w:r>
                    <w:rPr>
                      <w:rFonts w:hint="eastAsia" w:cs="Times New Roman"/>
                      <w:b w:val="0"/>
                      <w:bCs w:val="0"/>
                      <w:color w:val="FF0000"/>
                      <w:sz w:val="21"/>
                      <w:szCs w:val="21"/>
                      <w:lang w:val="en-US" w:eastAsia="zh-CN"/>
                    </w:rPr>
                    <w:t>0</w:t>
                  </w:r>
                </w:p>
              </w:tc>
              <w:tc>
                <w:tcPr>
                  <w:tcW w:w="419" w:type="pct"/>
                  <w:tcBorders>
                    <w:tl2br w:val="nil"/>
                    <w:tr2bl w:val="nil"/>
                  </w:tcBorders>
                  <w:shd w:val="clear" w:color="auto" w:fill="auto"/>
                  <w:noWrap w:val="0"/>
                  <w:vAlign w:val="center"/>
                </w:tcPr>
                <w:p w14:paraId="0E41CF07">
                  <w:pPr>
                    <w:adjustRightInd w:val="0"/>
                    <w:snapToGrid w:val="0"/>
                    <w:jc w:val="center"/>
                    <w:rPr>
                      <w:rFonts w:hint="eastAsia" w:ascii="Times New Roman" w:hAnsi="Times New Roman" w:eastAsia="宋体" w:cs="Times New Roman"/>
                      <w:color w:val="FF0000"/>
                      <w:kern w:val="2"/>
                      <w:sz w:val="21"/>
                      <w:szCs w:val="21"/>
                      <w:lang w:val="en-US" w:eastAsia="zh-CN" w:bidi="ar-SA"/>
                    </w:rPr>
                  </w:pPr>
                  <w:r>
                    <w:rPr>
                      <w:rFonts w:hint="eastAsia" w:cs="Times New Roman"/>
                      <w:b w:val="0"/>
                      <w:bCs w:val="0"/>
                      <w:color w:val="FF0000"/>
                      <w:sz w:val="21"/>
                      <w:szCs w:val="21"/>
                      <w:lang w:val="en-US" w:eastAsia="zh-CN"/>
                    </w:rPr>
                    <w:t>0</w:t>
                  </w:r>
                </w:p>
              </w:tc>
              <w:tc>
                <w:tcPr>
                  <w:tcW w:w="509" w:type="pct"/>
                  <w:tcBorders>
                    <w:tl2br w:val="nil"/>
                    <w:tr2bl w:val="nil"/>
                  </w:tcBorders>
                  <w:noWrap w:val="0"/>
                  <w:vAlign w:val="center"/>
                </w:tcPr>
                <w:p w14:paraId="690898FA">
                  <w:pPr>
                    <w:adjustRightInd w:val="0"/>
                    <w:snapToGrid w:val="0"/>
                    <w:jc w:val="center"/>
                    <w:rPr>
                      <w:rFonts w:hint="default" w:ascii="Times New Roman" w:hAnsi="Times New Roman" w:eastAsia="宋体" w:cs="Times New Roman"/>
                      <w:color w:val="FF0000"/>
                      <w:sz w:val="21"/>
                      <w:szCs w:val="21"/>
                      <w:lang w:val="en-US" w:eastAsia="zh-CN"/>
                    </w:rPr>
                  </w:pPr>
                  <w:r>
                    <w:rPr>
                      <w:rFonts w:hint="eastAsia" w:cs="Times New Roman"/>
                      <w:b w:val="0"/>
                      <w:bCs w:val="0"/>
                      <w:color w:val="FF0000"/>
                      <w:sz w:val="21"/>
                      <w:szCs w:val="21"/>
                      <w:lang w:val="en-US" w:eastAsia="zh-CN"/>
                    </w:rPr>
                    <w:t>0</w:t>
                  </w:r>
                </w:p>
              </w:tc>
              <w:tc>
                <w:tcPr>
                  <w:tcW w:w="483" w:type="pct"/>
                  <w:tcBorders>
                    <w:tl2br w:val="nil"/>
                    <w:tr2bl w:val="nil"/>
                  </w:tcBorders>
                  <w:noWrap w:val="0"/>
                  <w:vAlign w:val="center"/>
                </w:tcPr>
                <w:p w14:paraId="2646EA75">
                  <w:pPr>
                    <w:adjustRightInd w:val="0"/>
                    <w:snapToGrid w:val="0"/>
                    <w:jc w:val="center"/>
                    <w:rPr>
                      <w:rFonts w:hint="eastAsia" w:cs="Times New Roman"/>
                      <w:b w:val="0"/>
                      <w:bCs w:val="0"/>
                      <w:color w:val="FF0000"/>
                      <w:sz w:val="21"/>
                      <w:szCs w:val="21"/>
                      <w:lang w:val="en-US" w:eastAsia="zh-CN"/>
                    </w:rPr>
                  </w:pPr>
                  <w:r>
                    <w:rPr>
                      <w:rFonts w:hint="eastAsia"/>
                      <w:b w:val="0"/>
                      <w:bCs w:val="0"/>
                      <w:color w:val="FF0000"/>
                      <w:sz w:val="21"/>
                      <w:szCs w:val="21"/>
                      <w:lang w:val="en-US" w:eastAsia="zh-CN"/>
                    </w:rPr>
                    <w:t>0</w:t>
                  </w:r>
                </w:p>
              </w:tc>
              <w:tc>
                <w:tcPr>
                  <w:tcW w:w="569" w:type="pct"/>
                  <w:tcBorders>
                    <w:tl2br w:val="nil"/>
                    <w:tr2bl w:val="nil"/>
                  </w:tcBorders>
                  <w:noWrap w:val="0"/>
                  <w:vAlign w:val="center"/>
                </w:tcPr>
                <w:p w14:paraId="52A42F8B">
                  <w:pPr>
                    <w:adjustRightInd w:val="0"/>
                    <w:snapToGrid w:val="0"/>
                    <w:jc w:val="center"/>
                    <w:rPr>
                      <w:rFonts w:hint="default" w:ascii="Times New Roman" w:hAnsi="Times New Roman" w:eastAsia="宋体" w:cs="Times New Roman"/>
                      <w:color w:val="FF0000"/>
                      <w:sz w:val="21"/>
                      <w:szCs w:val="21"/>
                      <w:lang w:val="en-US" w:eastAsia="zh-CN"/>
                    </w:rPr>
                  </w:pPr>
                  <w:r>
                    <w:rPr>
                      <w:rFonts w:hint="eastAsia"/>
                      <w:bCs/>
                      <w:snapToGrid w:val="0"/>
                      <w:color w:val="FF0000"/>
                      <w:kern w:val="21"/>
                      <w:szCs w:val="21"/>
                      <w:lang w:val="en-US" w:eastAsia="zh-CN"/>
                    </w:rPr>
                    <w:t>0.38</w:t>
                  </w:r>
                </w:p>
              </w:tc>
              <w:tc>
                <w:tcPr>
                  <w:tcW w:w="481" w:type="pct"/>
                  <w:tcBorders>
                    <w:tl2br w:val="nil"/>
                    <w:tr2bl w:val="nil"/>
                  </w:tcBorders>
                  <w:noWrap w:val="0"/>
                  <w:vAlign w:val="center"/>
                </w:tcPr>
                <w:p w14:paraId="3B1679E9">
                  <w:pPr>
                    <w:adjustRightInd w:val="0"/>
                    <w:snapToGrid w:val="0"/>
                    <w:jc w:val="center"/>
                    <w:rPr>
                      <w:rFonts w:hint="default" w:ascii="Times New Roman" w:hAnsi="Times New Roman" w:eastAsia="宋体" w:cs="Times New Roman"/>
                      <w:color w:val="FF0000"/>
                      <w:sz w:val="21"/>
                      <w:szCs w:val="21"/>
                      <w:lang w:val="en-US" w:eastAsia="zh-CN"/>
                    </w:rPr>
                  </w:pPr>
                  <w:r>
                    <w:rPr>
                      <w:rFonts w:hint="eastAsia" w:cs="Times New Roman"/>
                      <w:b w:val="0"/>
                      <w:bCs w:val="0"/>
                      <w:color w:val="FF0000"/>
                      <w:sz w:val="21"/>
                      <w:szCs w:val="21"/>
                      <w:lang w:val="en-US" w:eastAsia="zh-CN"/>
                    </w:rPr>
                    <w:t>+0</w:t>
                  </w:r>
                </w:p>
              </w:tc>
            </w:tr>
            <w:tr w14:paraId="113FE4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60" w:type="pct"/>
                  <w:vMerge w:val="continue"/>
                  <w:tcBorders>
                    <w:tl2br w:val="nil"/>
                    <w:tr2bl w:val="nil"/>
                  </w:tcBorders>
                  <w:noWrap w:val="0"/>
                  <w:vAlign w:val="center"/>
                </w:tcPr>
                <w:p w14:paraId="23FB45AF">
                  <w:pPr>
                    <w:pStyle w:val="55"/>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FF0000"/>
                      <w:sz w:val="21"/>
                      <w:szCs w:val="21"/>
                      <w:lang w:val="en-US"/>
                    </w:rPr>
                  </w:pPr>
                </w:p>
              </w:tc>
              <w:tc>
                <w:tcPr>
                  <w:tcW w:w="584" w:type="pct"/>
                  <w:gridSpan w:val="2"/>
                  <w:tcBorders>
                    <w:tl2br w:val="nil"/>
                    <w:tr2bl w:val="nil"/>
                  </w:tcBorders>
                  <w:noWrap w:val="0"/>
                  <w:vAlign w:val="center"/>
                </w:tcPr>
                <w:p w14:paraId="04F7FD87">
                  <w:pPr>
                    <w:adjustRightInd w:val="0"/>
                    <w:snapToGrid w:val="0"/>
                    <w:jc w:val="center"/>
                    <w:rPr>
                      <w:rFonts w:hint="default" w:ascii="Times New Roman" w:hAnsi="Times New Roman" w:cs="Times New Roman"/>
                      <w:color w:val="FF0000"/>
                      <w:sz w:val="21"/>
                      <w:szCs w:val="21"/>
                      <w:lang w:val="en-US"/>
                    </w:rPr>
                  </w:pPr>
                  <w:r>
                    <w:rPr>
                      <w:bCs/>
                      <w:snapToGrid w:val="0"/>
                      <w:color w:val="FF0000"/>
                      <w:kern w:val="21"/>
                      <w:szCs w:val="21"/>
                    </w:rPr>
                    <w:t>NH</w:t>
                  </w:r>
                  <w:r>
                    <w:rPr>
                      <w:bCs/>
                      <w:snapToGrid w:val="0"/>
                      <w:color w:val="FF0000"/>
                      <w:kern w:val="21"/>
                      <w:szCs w:val="21"/>
                      <w:vertAlign w:val="subscript"/>
                    </w:rPr>
                    <w:t>3</w:t>
                  </w:r>
                  <w:r>
                    <w:rPr>
                      <w:bCs/>
                      <w:snapToGrid w:val="0"/>
                      <w:color w:val="FF0000"/>
                      <w:kern w:val="21"/>
                      <w:szCs w:val="21"/>
                    </w:rPr>
                    <w:t>-N</w:t>
                  </w:r>
                </w:p>
              </w:tc>
              <w:tc>
                <w:tcPr>
                  <w:tcW w:w="424" w:type="pct"/>
                  <w:tcBorders>
                    <w:tl2br w:val="nil"/>
                    <w:tr2bl w:val="nil"/>
                  </w:tcBorders>
                  <w:noWrap w:val="0"/>
                  <w:vAlign w:val="center"/>
                </w:tcPr>
                <w:p w14:paraId="1ABCB61B">
                  <w:pPr>
                    <w:adjustRightInd w:val="0"/>
                    <w:snapToGrid w:val="0"/>
                    <w:jc w:val="center"/>
                    <w:rPr>
                      <w:rFonts w:hint="default"/>
                      <w:bCs/>
                      <w:snapToGrid w:val="0"/>
                      <w:color w:val="FF0000"/>
                      <w:kern w:val="21"/>
                      <w:szCs w:val="21"/>
                      <w:lang w:val="en-US" w:eastAsia="zh-CN"/>
                    </w:rPr>
                  </w:pPr>
                  <w:r>
                    <w:rPr>
                      <w:rFonts w:hint="eastAsia"/>
                      <w:bCs/>
                      <w:snapToGrid w:val="0"/>
                      <w:color w:val="FF0000"/>
                      <w:kern w:val="21"/>
                      <w:szCs w:val="21"/>
                      <w:lang w:val="en-US" w:eastAsia="zh-CN"/>
                    </w:rPr>
                    <w:t>0.16</w:t>
                  </w:r>
                </w:p>
              </w:tc>
              <w:tc>
                <w:tcPr>
                  <w:tcW w:w="425" w:type="pct"/>
                  <w:tcBorders>
                    <w:tl2br w:val="nil"/>
                    <w:tr2bl w:val="nil"/>
                  </w:tcBorders>
                  <w:noWrap w:val="0"/>
                  <w:vAlign w:val="center"/>
                </w:tcPr>
                <w:p w14:paraId="05B59EBB">
                  <w:pPr>
                    <w:tabs>
                      <w:tab w:val="left" w:pos="295"/>
                    </w:tabs>
                    <w:adjustRightInd w:val="0"/>
                    <w:snapToGrid w:val="0"/>
                    <w:jc w:val="center"/>
                    <w:rPr>
                      <w:rFonts w:hint="default"/>
                      <w:bCs/>
                      <w:snapToGrid w:val="0"/>
                      <w:color w:val="FF0000"/>
                      <w:kern w:val="21"/>
                      <w:szCs w:val="21"/>
                      <w:lang w:val="en-US" w:eastAsia="zh-CN"/>
                    </w:rPr>
                  </w:pPr>
                  <w:r>
                    <w:rPr>
                      <w:rFonts w:hint="eastAsia"/>
                      <w:bCs/>
                      <w:snapToGrid w:val="0"/>
                      <w:color w:val="FF0000"/>
                      <w:kern w:val="21"/>
                      <w:szCs w:val="21"/>
                      <w:lang w:val="en-US" w:eastAsia="zh-CN"/>
                    </w:rPr>
                    <w:t>0.08</w:t>
                  </w:r>
                </w:p>
              </w:tc>
              <w:tc>
                <w:tcPr>
                  <w:tcW w:w="424" w:type="pct"/>
                  <w:tcBorders>
                    <w:tl2br w:val="nil"/>
                    <w:tr2bl w:val="nil"/>
                  </w:tcBorders>
                  <w:noWrap w:val="0"/>
                  <w:vAlign w:val="center"/>
                </w:tcPr>
                <w:p w14:paraId="72D9F714">
                  <w:pPr>
                    <w:adjustRightInd w:val="0"/>
                    <w:snapToGrid w:val="0"/>
                    <w:jc w:val="center"/>
                    <w:rPr>
                      <w:rFonts w:hint="default" w:ascii="Times New Roman" w:hAnsi="Times New Roman" w:cs="Times New Roman"/>
                      <w:color w:val="FF0000"/>
                      <w:sz w:val="21"/>
                      <w:szCs w:val="21"/>
                      <w:lang w:val="en-US"/>
                    </w:rPr>
                  </w:pPr>
                  <w:r>
                    <w:rPr>
                      <w:rFonts w:hint="eastAsia"/>
                      <w:bCs/>
                      <w:snapToGrid w:val="0"/>
                      <w:color w:val="FF0000"/>
                      <w:kern w:val="21"/>
                      <w:szCs w:val="21"/>
                      <w:lang w:val="en-US" w:eastAsia="zh-CN"/>
                    </w:rPr>
                    <w:t>0.08</w:t>
                  </w:r>
                </w:p>
              </w:tc>
              <w:tc>
                <w:tcPr>
                  <w:tcW w:w="417" w:type="pct"/>
                  <w:tcBorders>
                    <w:tl2br w:val="nil"/>
                    <w:tr2bl w:val="nil"/>
                  </w:tcBorders>
                  <w:noWrap w:val="0"/>
                  <w:vAlign w:val="center"/>
                </w:tcPr>
                <w:p w14:paraId="37443BB2">
                  <w:pPr>
                    <w:adjustRightInd w:val="0"/>
                    <w:snapToGrid w:val="0"/>
                    <w:jc w:val="center"/>
                    <w:rPr>
                      <w:rFonts w:hint="default" w:cs="Times New Roman"/>
                      <w:b w:val="0"/>
                      <w:bCs w:val="0"/>
                      <w:color w:val="FF0000"/>
                      <w:sz w:val="21"/>
                      <w:szCs w:val="21"/>
                      <w:lang w:val="en-US" w:eastAsia="zh-CN"/>
                    </w:rPr>
                  </w:pPr>
                  <w:r>
                    <w:rPr>
                      <w:rFonts w:hint="eastAsia" w:cs="Times New Roman"/>
                      <w:b w:val="0"/>
                      <w:bCs w:val="0"/>
                      <w:color w:val="FF0000"/>
                      <w:sz w:val="21"/>
                      <w:szCs w:val="21"/>
                      <w:lang w:val="en-US" w:eastAsia="zh-CN"/>
                    </w:rPr>
                    <w:t>0</w:t>
                  </w:r>
                </w:p>
              </w:tc>
              <w:tc>
                <w:tcPr>
                  <w:tcW w:w="419" w:type="pct"/>
                  <w:tcBorders>
                    <w:tl2br w:val="nil"/>
                    <w:tr2bl w:val="nil"/>
                  </w:tcBorders>
                  <w:shd w:val="clear" w:color="auto" w:fill="auto"/>
                  <w:noWrap w:val="0"/>
                  <w:vAlign w:val="center"/>
                </w:tcPr>
                <w:p w14:paraId="1C47D515">
                  <w:pPr>
                    <w:adjustRightInd w:val="0"/>
                    <w:snapToGrid w:val="0"/>
                    <w:jc w:val="center"/>
                    <w:rPr>
                      <w:rFonts w:hint="eastAsia" w:ascii="Times New Roman" w:hAnsi="Times New Roman" w:eastAsia="宋体" w:cs="Times New Roman"/>
                      <w:color w:val="FF0000"/>
                      <w:kern w:val="2"/>
                      <w:sz w:val="21"/>
                      <w:szCs w:val="21"/>
                      <w:lang w:val="en-US" w:eastAsia="zh-CN" w:bidi="ar-SA"/>
                    </w:rPr>
                  </w:pPr>
                  <w:r>
                    <w:rPr>
                      <w:rFonts w:hint="eastAsia" w:cs="Times New Roman"/>
                      <w:b w:val="0"/>
                      <w:bCs w:val="0"/>
                      <w:color w:val="FF0000"/>
                      <w:sz w:val="21"/>
                      <w:szCs w:val="21"/>
                      <w:lang w:val="en-US" w:eastAsia="zh-CN"/>
                    </w:rPr>
                    <w:t>0</w:t>
                  </w:r>
                </w:p>
              </w:tc>
              <w:tc>
                <w:tcPr>
                  <w:tcW w:w="509" w:type="pct"/>
                  <w:tcBorders>
                    <w:tl2br w:val="nil"/>
                    <w:tr2bl w:val="nil"/>
                  </w:tcBorders>
                  <w:noWrap w:val="0"/>
                  <w:vAlign w:val="center"/>
                </w:tcPr>
                <w:p w14:paraId="2FE760A1">
                  <w:pPr>
                    <w:adjustRightInd w:val="0"/>
                    <w:snapToGrid w:val="0"/>
                    <w:jc w:val="center"/>
                    <w:rPr>
                      <w:rFonts w:hint="default" w:ascii="Times New Roman" w:hAnsi="Times New Roman" w:eastAsia="宋体" w:cs="Times New Roman"/>
                      <w:color w:val="FF0000"/>
                      <w:sz w:val="21"/>
                      <w:szCs w:val="21"/>
                      <w:lang w:val="en-US" w:eastAsia="zh-CN"/>
                    </w:rPr>
                  </w:pPr>
                  <w:r>
                    <w:rPr>
                      <w:rFonts w:hint="eastAsia" w:cs="Times New Roman"/>
                      <w:b w:val="0"/>
                      <w:bCs w:val="0"/>
                      <w:color w:val="FF0000"/>
                      <w:sz w:val="21"/>
                      <w:szCs w:val="21"/>
                      <w:lang w:val="en-US" w:eastAsia="zh-CN"/>
                    </w:rPr>
                    <w:t>0</w:t>
                  </w:r>
                </w:p>
              </w:tc>
              <w:tc>
                <w:tcPr>
                  <w:tcW w:w="483" w:type="pct"/>
                  <w:tcBorders>
                    <w:tl2br w:val="nil"/>
                    <w:tr2bl w:val="nil"/>
                  </w:tcBorders>
                  <w:noWrap w:val="0"/>
                  <w:vAlign w:val="center"/>
                </w:tcPr>
                <w:p w14:paraId="3970018D">
                  <w:pPr>
                    <w:adjustRightInd w:val="0"/>
                    <w:snapToGrid w:val="0"/>
                    <w:jc w:val="center"/>
                    <w:rPr>
                      <w:rFonts w:hint="eastAsia" w:cs="Times New Roman"/>
                      <w:b w:val="0"/>
                      <w:bCs w:val="0"/>
                      <w:color w:val="FF0000"/>
                      <w:sz w:val="21"/>
                      <w:szCs w:val="21"/>
                      <w:lang w:val="en-US" w:eastAsia="zh-CN"/>
                    </w:rPr>
                  </w:pPr>
                  <w:r>
                    <w:rPr>
                      <w:rFonts w:hint="eastAsia"/>
                      <w:b w:val="0"/>
                      <w:bCs w:val="0"/>
                      <w:color w:val="FF0000"/>
                      <w:sz w:val="21"/>
                      <w:szCs w:val="21"/>
                      <w:lang w:val="en-US" w:eastAsia="zh-CN"/>
                    </w:rPr>
                    <w:t>0</w:t>
                  </w:r>
                </w:p>
              </w:tc>
              <w:tc>
                <w:tcPr>
                  <w:tcW w:w="569" w:type="pct"/>
                  <w:tcBorders>
                    <w:tl2br w:val="nil"/>
                    <w:tr2bl w:val="nil"/>
                  </w:tcBorders>
                  <w:noWrap w:val="0"/>
                  <w:vAlign w:val="center"/>
                </w:tcPr>
                <w:p w14:paraId="484ECE1A">
                  <w:pPr>
                    <w:adjustRightInd w:val="0"/>
                    <w:snapToGrid w:val="0"/>
                    <w:jc w:val="center"/>
                    <w:rPr>
                      <w:rFonts w:hint="default" w:ascii="Times New Roman" w:hAnsi="Times New Roman" w:eastAsia="宋体" w:cs="Times New Roman"/>
                      <w:color w:val="FF0000"/>
                      <w:sz w:val="21"/>
                      <w:szCs w:val="21"/>
                      <w:lang w:val="en-US"/>
                    </w:rPr>
                  </w:pPr>
                  <w:r>
                    <w:rPr>
                      <w:rFonts w:hint="eastAsia"/>
                      <w:bCs/>
                      <w:snapToGrid w:val="0"/>
                      <w:color w:val="FF0000"/>
                      <w:kern w:val="21"/>
                      <w:szCs w:val="21"/>
                      <w:lang w:val="en-US" w:eastAsia="zh-CN"/>
                    </w:rPr>
                    <w:t>0.08</w:t>
                  </w:r>
                </w:p>
              </w:tc>
              <w:tc>
                <w:tcPr>
                  <w:tcW w:w="481" w:type="pct"/>
                  <w:tcBorders>
                    <w:tl2br w:val="nil"/>
                    <w:tr2bl w:val="nil"/>
                  </w:tcBorders>
                  <w:noWrap w:val="0"/>
                  <w:vAlign w:val="center"/>
                </w:tcPr>
                <w:p w14:paraId="4A634A05">
                  <w:pPr>
                    <w:adjustRightInd w:val="0"/>
                    <w:snapToGrid w:val="0"/>
                    <w:jc w:val="center"/>
                    <w:rPr>
                      <w:rFonts w:hint="default" w:ascii="Times New Roman" w:hAnsi="Times New Roman" w:eastAsia="宋体" w:cs="Times New Roman"/>
                      <w:color w:val="FF0000"/>
                      <w:sz w:val="21"/>
                      <w:szCs w:val="21"/>
                      <w:lang w:val="en-US" w:eastAsia="zh-CN"/>
                    </w:rPr>
                  </w:pPr>
                  <w:r>
                    <w:rPr>
                      <w:rFonts w:hint="eastAsia" w:cs="Times New Roman"/>
                      <w:b w:val="0"/>
                      <w:bCs w:val="0"/>
                      <w:color w:val="FF0000"/>
                      <w:sz w:val="21"/>
                      <w:szCs w:val="21"/>
                      <w:lang w:val="en-US" w:eastAsia="zh-CN"/>
                    </w:rPr>
                    <w:t>+0</w:t>
                  </w:r>
                </w:p>
              </w:tc>
            </w:tr>
            <w:tr w14:paraId="4682C3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60" w:type="pct"/>
                  <w:vMerge w:val="continue"/>
                  <w:tcBorders>
                    <w:tl2br w:val="nil"/>
                    <w:tr2bl w:val="nil"/>
                  </w:tcBorders>
                  <w:noWrap w:val="0"/>
                  <w:vAlign w:val="center"/>
                </w:tcPr>
                <w:p w14:paraId="3E813CBD">
                  <w:pPr>
                    <w:pStyle w:val="55"/>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FF0000"/>
                      <w:sz w:val="21"/>
                      <w:szCs w:val="21"/>
                      <w:lang w:val="en-US"/>
                    </w:rPr>
                  </w:pPr>
                </w:p>
              </w:tc>
              <w:tc>
                <w:tcPr>
                  <w:tcW w:w="584" w:type="pct"/>
                  <w:gridSpan w:val="2"/>
                  <w:tcBorders>
                    <w:tl2br w:val="nil"/>
                    <w:tr2bl w:val="nil"/>
                  </w:tcBorders>
                  <w:noWrap w:val="0"/>
                  <w:vAlign w:val="center"/>
                </w:tcPr>
                <w:p w14:paraId="531CE16C">
                  <w:pPr>
                    <w:adjustRightInd w:val="0"/>
                    <w:snapToGrid w:val="0"/>
                    <w:jc w:val="center"/>
                    <w:rPr>
                      <w:rFonts w:hint="eastAsia" w:eastAsia="宋体"/>
                      <w:bCs/>
                      <w:snapToGrid w:val="0"/>
                      <w:color w:val="FF0000"/>
                      <w:kern w:val="21"/>
                      <w:szCs w:val="21"/>
                      <w:lang w:val="en-US" w:eastAsia="zh-CN"/>
                    </w:rPr>
                  </w:pPr>
                  <w:r>
                    <w:rPr>
                      <w:rFonts w:hint="eastAsia"/>
                      <w:bCs/>
                      <w:snapToGrid w:val="0"/>
                      <w:color w:val="FF0000"/>
                      <w:kern w:val="21"/>
                      <w:szCs w:val="21"/>
                      <w:lang w:val="en-US" w:eastAsia="zh-CN"/>
                    </w:rPr>
                    <w:t>氯化物</w:t>
                  </w:r>
                </w:p>
              </w:tc>
              <w:tc>
                <w:tcPr>
                  <w:tcW w:w="424" w:type="pct"/>
                  <w:tcBorders>
                    <w:tl2br w:val="nil"/>
                    <w:tr2bl w:val="nil"/>
                  </w:tcBorders>
                  <w:noWrap w:val="0"/>
                  <w:vAlign w:val="center"/>
                </w:tcPr>
                <w:p w14:paraId="54ACEE21">
                  <w:pPr>
                    <w:adjustRightInd w:val="0"/>
                    <w:snapToGrid w:val="0"/>
                    <w:jc w:val="center"/>
                    <w:rPr>
                      <w:rFonts w:hint="default"/>
                      <w:bCs/>
                      <w:snapToGrid w:val="0"/>
                      <w:color w:val="FF0000"/>
                      <w:kern w:val="21"/>
                      <w:szCs w:val="21"/>
                      <w:lang w:val="en-US" w:eastAsia="zh-CN"/>
                    </w:rPr>
                  </w:pPr>
                  <w:r>
                    <w:rPr>
                      <w:bCs/>
                      <w:snapToGrid w:val="0"/>
                      <w:color w:val="FF0000"/>
                      <w:kern w:val="21"/>
                      <w:szCs w:val="21"/>
                    </w:rPr>
                    <w:t>/</w:t>
                  </w:r>
                </w:p>
              </w:tc>
              <w:tc>
                <w:tcPr>
                  <w:tcW w:w="425" w:type="pct"/>
                  <w:tcBorders>
                    <w:tl2br w:val="nil"/>
                    <w:tr2bl w:val="nil"/>
                  </w:tcBorders>
                  <w:noWrap w:val="0"/>
                  <w:vAlign w:val="center"/>
                </w:tcPr>
                <w:p w14:paraId="4A7B8244">
                  <w:pPr>
                    <w:adjustRightInd w:val="0"/>
                    <w:snapToGrid w:val="0"/>
                    <w:jc w:val="center"/>
                    <w:rPr>
                      <w:rFonts w:hint="default"/>
                      <w:bCs/>
                      <w:snapToGrid w:val="0"/>
                      <w:color w:val="FF0000"/>
                      <w:kern w:val="21"/>
                      <w:szCs w:val="21"/>
                      <w:lang w:val="en-US" w:eastAsia="zh-CN"/>
                    </w:rPr>
                  </w:pPr>
                  <w:r>
                    <w:rPr>
                      <w:bCs/>
                      <w:snapToGrid w:val="0"/>
                      <w:color w:val="FF0000"/>
                      <w:kern w:val="21"/>
                      <w:szCs w:val="21"/>
                    </w:rPr>
                    <w:t>/</w:t>
                  </w:r>
                </w:p>
              </w:tc>
              <w:tc>
                <w:tcPr>
                  <w:tcW w:w="424" w:type="pct"/>
                  <w:tcBorders>
                    <w:tl2br w:val="nil"/>
                    <w:tr2bl w:val="nil"/>
                  </w:tcBorders>
                  <w:noWrap w:val="0"/>
                  <w:vAlign w:val="center"/>
                </w:tcPr>
                <w:p w14:paraId="675CD665">
                  <w:pPr>
                    <w:adjustRightInd w:val="0"/>
                    <w:snapToGrid w:val="0"/>
                    <w:jc w:val="center"/>
                    <w:rPr>
                      <w:rFonts w:hint="eastAsia"/>
                      <w:bCs/>
                      <w:snapToGrid w:val="0"/>
                      <w:color w:val="FF0000"/>
                      <w:kern w:val="21"/>
                      <w:szCs w:val="21"/>
                      <w:lang w:val="en-US" w:eastAsia="zh-CN"/>
                    </w:rPr>
                  </w:pPr>
                  <w:r>
                    <w:rPr>
                      <w:bCs/>
                      <w:snapToGrid w:val="0"/>
                      <w:color w:val="FF0000"/>
                      <w:kern w:val="21"/>
                      <w:szCs w:val="21"/>
                    </w:rPr>
                    <w:t>/</w:t>
                  </w:r>
                </w:p>
              </w:tc>
              <w:tc>
                <w:tcPr>
                  <w:tcW w:w="417" w:type="pct"/>
                  <w:tcBorders>
                    <w:tl2br w:val="nil"/>
                    <w:tr2bl w:val="nil"/>
                  </w:tcBorders>
                  <w:noWrap w:val="0"/>
                  <w:vAlign w:val="center"/>
                </w:tcPr>
                <w:p w14:paraId="075473DC">
                  <w:pPr>
                    <w:pStyle w:val="9"/>
                    <w:spacing w:line="240" w:lineRule="auto"/>
                    <w:ind w:left="0" w:leftChars="0" w:firstLine="0" w:firstLineChars="0"/>
                    <w:jc w:val="center"/>
                    <w:rPr>
                      <w:rFonts w:hint="eastAsia" w:cs="Times New Roman"/>
                      <w:b w:val="0"/>
                      <w:bCs w:val="0"/>
                      <w:color w:val="FF0000"/>
                      <w:sz w:val="21"/>
                      <w:szCs w:val="21"/>
                      <w:lang w:val="en-US" w:eastAsia="zh-CN"/>
                    </w:rPr>
                  </w:pPr>
                  <w:r>
                    <w:rPr>
                      <w:rFonts w:hint="eastAsia"/>
                      <w:color w:val="FF0000"/>
                      <w:sz w:val="21"/>
                      <w:szCs w:val="21"/>
                      <w:lang w:val="en-US" w:eastAsia="zh-CN"/>
                    </w:rPr>
                    <w:t>1.054</w:t>
                  </w:r>
                </w:p>
              </w:tc>
              <w:tc>
                <w:tcPr>
                  <w:tcW w:w="419" w:type="pct"/>
                  <w:tcBorders>
                    <w:tl2br w:val="nil"/>
                    <w:tr2bl w:val="nil"/>
                  </w:tcBorders>
                  <w:shd w:val="clear" w:color="auto" w:fill="auto"/>
                  <w:noWrap w:val="0"/>
                  <w:vAlign w:val="center"/>
                </w:tcPr>
                <w:p w14:paraId="01E34388">
                  <w:pPr>
                    <w:tabs>
                      <w:tab w:val="left" w:pos="295"/>
                    </w:tabs>
                    <w:adjustRightInd w:val="0"/>
                    <w:snapToGrid w:val="0"/>
                    <w:jc w:val="center"/>
                    <w:rPr>
                      <w:rFonts w:hint="eastAsia" w:cs="Times New Roman"/>
                      <w:b w:val="0"/>
                      <w:bCs w:val="0"/>
                      <w:color w:val="FF0000"/>
                      <w:sz w:val="21"/>
                      <w:szCs w:val="21"/>
                      <w:lang w:val="en-US" w:eastAsia="zh-CN"/>
                    </w:rPr>
                  </w:pPr>
                  <w:r>
                    <w:rPr>
                      <w:rFonts w:hint="eastAsia"/>
                      <w:bCs/>
                      <w:snapToGrid w:val="0"/>
                      <w:color w:val="FF0000"/>
                      <w:kern w:val="21"/>
                      <w:szCs w:val="21"/>
                      <w:lang w:val="en-US" w:eastAsia="zh-CN"/>
                    </w:rPr>
                    <w:t>0.211</w:t>
                  </w:r>
                </w:p>
              </w:tc>
              <w:tc>
                <w:tcPr>
                  <w:tcW w:w="509" w:type="pct"/>
                  <w:tcBorders>
                    <w:tl2br w:val="nil"/>
                    <w:tr2bl w:val="nil"/>
                  </w:tcBorders>
                  <w:noWrap w:val="0"/>
                  <w:vAlign w:val="center"/>
                </w:tcPr>
                <w:p w14:paraId="72DA1A30">
                  <w:pPr>
                    <w:pStyle w:val="9"/>
                    <w:spacing w:line="240" w:lineRule="auto"/>
                    <w:ind w:left="0" w:leftChars="0" w:firstLine="0" w:firstLineChars="0"/>
                    <w:jc w:val="center"/>
                    <w:rPr>
                      <w:rFonts w:hint="eastAsia" w:cs="Times New Roman"/>
                      <w:b w:val="0"/>
                      <w:bCs w:val="0"/>
                      <w:color w:val="FF0000"/>
                      <w:sz w:val="21"/>
                      <w:szCs w:val="21"/>
                      <w:lang w:val="en-US" w:eastAsia="zh-CN"/>
                    </w:rPr>
                  </w:pPr>
                  <w:r>
                    <w:rPr>
                      <w:rFonts w:hint="eastAsia"/>
                      <w:color w:val="FF0000"/>
                      <w:sz w:val="21"/>
                      <w:szCs w:val="21"/>
                      <w:lang w:val="en-US" w:eastAsia="zh-CN"/>
                    </w:rPr>
                    <w:t>0.843</w:t>
                  </w:r>
                </w:p>
              </w:tc>
              <w:tc>
                <w:tcPr>
                  <w:tcW w:w="483" w:type="pct"/>
                  <w:tcBorders>
                    <w:tl2br w:val="nil"/>
                    <w:tr2bl w:val="nil"/>
                  </w:tcBorders>
                  <w:noWrap w:val="0"/>
                  <w:vAlign w:val="center"/>
                </w:tcPr>
                <w:p w14:paraId="77FEBE2B">
                  <w:pPr>
                    <w:adjustRightInd w:val="0"/>
                    <w:snapToGrid w:val="0"/>
                    <w:jc w:val="center"/>
                    <w:rPr>
                      <w:rFonts w:hint="eastAsia"/>
                      <w:b w:val="0"/>
                      <w:bCs w:val="0"/>
                      <w:color w:val="FF0000"/>
                      <w:sz w:val="21"/>
                      <w:szCs w:val="21"/>
                      <w:lang w:val="en-US" w:eastAsia="zh-CN"/>
                    </w:rPr>
                  </w:pPr>
                  <w:r>
                    <w:rPr>
                      <w:rFonts w:hint="eastAsia" w:cs="Times New Roman"/>
                      <w:b w:val="0"/>
                      <w:bCs w:val="0"/>
                      <w:color w:val="FF0000"/>
                      <w:sz w:val="21"/>
                      <w:szCs w:val="21"/>
                      <w:lang w:val="en-US" w:eastAsia="zh-CN"/>
                    </w:rPr>
                    <w:t>0</w:t>
                  </w:r>
                </w:p>
              </w:tc>
              <w:tc>
                <w:tcPr>
                  <w:tcW w:w="569" w:type="pct"/>
                  <w:tcBorders>
                    <w:tl2br w:val="nil"/>
                    <w:tr2bl w:val="nil"/>
                  </w:tcBorders>
                  <w:noWrap w:val="0"/>
                  <w:vAlign w:val="center"/>
                </w:tcPr>
                <w:p w14:paraId="062E70E9">
                  <w:pPr>
                    <w:pStyle w:val="9"/>
                    <w:spacing w:line="240" w:lineRule="auto"/>
                    <w:ind w:left="0" w:leftChars="0" w:firstLine="0" w:firstLineChars="0"/>
                    <w:jc w:val="center"/>
                    <w:rPr>
                      <w:rFonts w:hint="eastAsia"/>
                      <w:bCs/>
                      <w:snapToGrid w:val="0"/>
                      <w:color w:val="FF0000"/>
                      <w:kern w:val="21"/>
                      <w:szCs w:val="21"/>
                      <w:lang w:val="en-US" w:eastAsia="zh-CN"/>
                    </w:rPr>
                  </w:pPr>
                  <w:r>
                    <w:rPr>
                      <w:rFonts w:hint="eastAsia"/>
                      <w:color w:val="FF0000"/>
                      <w:sz w:val="21"/>
                      <w:szCs w:val="21"/>
                      <w:lang w:val="en-US" w:eastAsia="zh-CN"/>
                    </w:rPr>
                    <w:t>0.843</w:t>
                  </w:r>
                </w:p>
              </w:tc>
              <w:tc>
                <w:tcPr>
                  <w:tcW w:w="481" w:type="pct"/>
                  <w:tcBorders>
                    <w:tl2br w:val="nil"/>
                    <w:tr2bl w:val="nil"/>
                  </w:tcBorders>
                  <w:noWrap w:val="0"/>
                  <w:vAlign w:val="center"/>
                </w:tcPr>
                <w:p w14:paraId="05BE9255">
                  <w:pPr>
                    <w:pStyle w:val="9"/>
                    <w:spacing w:line="240" w:lineRule="auto"/>
                    <w:ind w:left="0" w:leftChars="0" w:firstLine="0" w:firstLineChars="0"/>
                    <w:jc w:val="center"/>
                    <w:rPr>
                      <w:rFonts w:hint="eastAsia" w:cs="Times New Roman"/>
                      <w:b w:val="0"/>
                      <w:bCs w:val="0"/>
                      <w:color w:val="FF0000"/>
                      <w:sz w:val="21"/>
                      <w:szCs w:val="21"/>
                      <w:lang w:val="en-US" w:eastAsia="zh-CN"/>
                    </w:rPr>
                  </w:pPr>
                  <w:r>
                    <w:rPr>
                      <w:rFonts w:hint="eastAsia"/>
                      <w:color w:val="FF0000"/>
                      <w:sz w:val="21"/>
                      <w:szCs w:val="21"/>
                      <w:lang w:val="en-US" w:eastAsia="zh-CN"/>
                    </w:rPr>
                    <w:t>+0.843</w:t>
                  </w:r>
                </w:p>
              </w:tc>
            </w:tr>
            <w:tr w14:paraId="488B4E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60" w:type="pct"/>
                  <w:vMerge w:val="continue"/>
                  <w:tcBorders>
                    <w:tl2br w:val="nil"/>
                    <w:tr2bl w:val="nil"/>
                  </w:tcBorders>
                  <w:noWrap w:val="0"/>
                  <w:vAlign w:val="center"/>
                </w:tcPr>
                <w:p w14:paraId="650F665D">
                  <w:pPr>
                    <w:pStyle w:val="55"/>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FF0000"/>
                      <w:sz w:val="21"/>
                      <w:szCs w:val="21"/>
                      <w:lang w:val="en-US"/>
                    </w:rPr>
                  </w:pPr>
                </w:p>
              </w:tc>
              <w:tc>
                <w:tcPr>
                  <w:tcW w:w="584" w:type="pct"/>
                  <w:gridSpan w:val="2"/>
                  <w:tcBorders>
                    <w:tl2br w:val="nil"/>
                    <w:tr2bl w:val="nil"/>
                  </w:tcBorders>
                  <w:noWrap w:val="0"/>
                  <w:vAlign w:val="center"/>
                </w:tcPr>
                <w:p w14:paraId="76D3DE9A">
                  <w:pPr>
                    <w:adjustRightInd w:val="0"/>
                    <w:snapToGrid w:val="0"/>
                    <w:jc w:val="center"/>
                    <w:rPr>
                      <w:rFonts w:hint="eastAsia" w:eastAsia="宋体"/>
                      <w:bCs/>
                      <w:snapToGrid w:val="0"/>
                      <w:color w:val="FF0000"/>
                      <w:kern w:val="21"/>
                      <w:szCs w:val="21"/>
                      <w:lang w:val="en-US" w:eastAsia="zh-CN"/>
                    </w:rPr>
                  </w:pPr>
                  <w:r>
                    <w:rPr>
                      <w:rFonts w:hint="eastAsia"/>
                      <w:bCs/>
                      <w:snapToGrid w:val="0"/>
                      <w:color w:val="FF0000"/>
                      <w:kern w:val="21"/>
                      <w:szCs w:val="21"/>
                      <w:lang w:val="en-US" w:eastAsia="zh-CN"/>
                    </w:rPr>
                    <w:t>硫酸盐</w:t>
                  </w:r>
                </w:p>
              </w:tc>
              <w:tc>
                <w:tcPr>
                  <w:tcW w:w="424" w:type="pct"/>
                  <w:tcBorders>
                    <w:tl2br w:val="nil"/>
                    <w:tr2bl w:val="nil"/>
                  </w:tcBorders>
                  <w:noWrap w:val="0"/>
                  <w:vAlign w:val="center"/>
                </w:tcPr>
                <w:p w14:paraId="35ACE68E">
                  <w:pPr>
                    <w:adjustRightInd w:val="0"/>
                    <w:snapToGrid w:val="0"/>
                    <w:jc w:val="center"/>
                    <w:rPr>
                      <w:rFonts w:hint="eastAsia"/>
                      <w:bCs/>
                      <w:snapToGrid w:val="0"/>
                      <w:color w:val="FF0000"/>
                      <w:kern w:val="21"/>
                      <w:szCs w:val="21"/>
                      <w:lang w:val="en-US" w:eastAsia="zh-CN"/>
                    </w:rPr>
                  </w:pPr>
                  <w:r>
                    <w:rPr>
                      <w:bCs/>
                      <w:snapToGrid w:val="0"/>
                      <w:color w:val="FF0000"/>
                      <w:kern w:val="21"/>
                      <w:szCs w:val="21"/>
                    </w:rPr>
                    <w:t>/</w:t>
                  </w:r>
                </w:p>
              </w:tc>
              <w:tc>
                <w:tcPr>
                  <w:tcW w:w="425" w:type="pct"/>
                  <w:tcBorders>
                    <w:tl2br w:val="nil"/>
                    <w:tr2bl w:val="nil"/>
                  </w:tcBorders>
                  <w:shd w:val="clear" w:color="auto" w:fill="auto"/>
                  <w:noWrap w:val="0"/>
                  <w:vAlign w:val="center"/>
                </w:tcPr>
                <w:p w14:paraId="75DABA94">
                  <w:pPr>
                    <w:adjustRightInd w:val="0"/>
                    <w:snapToGrid w:val="0"/>
                    <w:jc w:val="center"/>
                    <w:rPr>
                      <w:rFonts w:hint="eastAsia" w:ascii="Times New Roman" w:hAnsi="Times New Roman" w:eastAsia="宋体" w:cs="Times New Roman"/>
                      <w:bCs/>
                      <w:snapToGrid w:val="0"/>
                      <w:color w:val="FF0000"/>
                      <w:kern w:val="21"/>
                      <w:sz w:val="21"/>
                      <w:szCs w:val="21"/>
                      <w:lang w:val="en-US" w:eastAsia="zh-CN" w:bidi="ar-SA"/>
                    </w:rPr>
                  </w:pPr>
                  <w:r>
                    <w:rPr>
                      <w:bCs/>
                      <w:snapToGrid w:val="0"/>
                      <w:color w:val="FF0000"/>
                      <w:kern w:val="21"/>
                      <w:szCs w:val="21"/>
                    </w:rPr>
                    <w:t>/</w:t>
                  </w:r>
                </w:p>
              </w:tc>
              <w:tc>
                <w:tcPr>
                  <w:tcW w:w="424" w:type="pct"/>
                  <w:tcBorders>
                    <w:tl2br w:val="nil"/>
                    <w:tr2bl w:val="nil"/>
                  </w:tcBorders>
                  <w:noWrap w:val="0"/>
                  <w:vAlign w:val="center"/>
                </w:tcPr>
                <w:p w14:paraId="30C865D4">
                  <w:pPr>
                    <w:adjustRightInd w:val="0"/>
                    <w:snapToGrid w:val="0"/>
                    <w:jc w:val="center"/>
                    <w:rPr>
                      <w:rFonts w:hint="eastAsia"/>
                      <w:bCs/>
                      <w:snapToGrid w:val="0"/>
                      <w:color w:val="FF0000"/>
                      <w:kern w:val="21"/>
                      <w:szCs w:val="21"/>
                      <w:lang w:val="en-US" w:eastAsia="zh-CN"/>
                    </w:rPr>
                  </w:pPr>
                  <w:r>
                    <w:rPr>
                      <w:bCs/>
                      <w:snapToGrid w:val="0"/>
                      <w:color w:val="FF0000"/>
                      <w:kern w:val="21"/>
                      <w:szCs w:val="21"/>
                    </w:rPr>
                    <w:t>/</w:t>
                  </w:r>
                </w:p>
              </w:tc>
              <w:tc>
                <w:tcPr>
                  <w:tcW w:w="417" w:type="pct"/>
                  <w:tcBorders>
                    <w:tl2br w:val="nil"/>
                    <w:tr2bl w:val="nil"/>
                  </w:tcBorders>
                  <w:noWrap w:val="0"/>
                  <w:vAlign w:val="center"/>
                </w:tcPr>
                <w:p w14:paraId="0810985E">
                  <w:pPr>
                    <w:pStyle w:val="9"/>
                    <w:spacing w:line="240" w:lineRule="auto"/>
                    <w:ind w:left="0" w:leftChars="0" w:firstLine="0" w:firstLineChars="0"/>
                    <w:jc w:val="center"/>
                    <w:rPr>
                      <w:rFonts w:hint="eastAsia" w:cs="Times New Roman"/>
                      <w:b w:val="0"/>
                      <w:bCs w:val="0"/>
                      <w:color w:val="FF0000"/>
                      <w:sz w:val="21"/>
                      <w:szCs w:val="21"/>
                      <w:lang w:val="en-US" w:eastAsia="zh-CN"/>
                    </w:rPr>
                  </w:pPr>
                  <w:r>
                    <w:rPr>
                      <w:rFonts w:hint="eastAsia"/>
                      <w:color w:val="FF0000"/>
                      <w:sz w:val="21"/>
                      <w:szCs w:val="21"/>
                      <w:lang w:val="en-US" w:eastAsia="zh-CN"/>
                    </w:rPr>
                    <w:t>1.054</w:t>
                  </w:r>
                </w:p>
              </w:tc>
              <w:tc>
                <w:tcPr>
                  <w:tcW w:w="419" w:type="pct"/>
                  <w:tcBorders>
                    <w:tl2br w:val="nil"/>
                    <w:tr2bl w:val="nil"/>
                  </w:tcBorders>
                  <w:shd w:val="clear" w:color="auto" w:fill="auto"/>
                  <w:noWrap w:val="0"/>
                  <w:vAlign w:val="center"/>
                </w:tcPr>
                <w:p w14:paraId="4A4B7927">
                  <w:pPr>
                    <w:tabs>
                      <w:tab w:val="left" w:pos="295"/>
                    </w:tabs>
                    <w:adjustRightInd w:val="0"/>
                    <w:snapToGrid w:val="0"/>
                    <w:jc w:val="center"/>
                    <w:rPr>
                      <w:rFonts w:hint="eastAsia" w:cs="Times New Roman"/>
                      <w:b w:val="0"/>
                      <w:bCs w:val="0"/>
                      <w:color w:val="FF0000"/>
                      <w:sz w:val="21"/>
                      <w:szCs w:val="21"/>
                      <w:lang w:val="en-US" w:eastAsia="zh-CN"/>
                    </w:rPr>
                  </w:pPr>
                  <w:r>
                    <w:rPr>
                      <w:rFonts w:hint="eastAsia"/>
                      <w:bCs/>
                      <w:snapToGrid w:val="0"/>
                      <w:color w:val="FF0000"/>
                      <w:kern w:val="21"/>
                      <w:szCs w:val="21"/>
                      <w:lang w:val="en-US" w:eastAsia="zh-CN"/>
                    </w:rPr>
                    <w:t>0.211</w:t>
                  </w:r>
                </w:p>
              </w:tc>
              <w:tc>
                <w:tcPr>
                  <w:tcW w:w="509" w:type="pct"/>
                  <w:tcBorders>
                    <w:tl2br w:val="nil"/>
                    <w:tr2bl w:val="nil"/>
                  </w:tcBorders>
                  <w:noWrap w:val="0"/>
                  <w:vAlign w:val="center"/>
                </w:tcPr>
                <w:p w14:paraId="6D38F757">
                  <w:pPr>
                    <w:pStyle w:val="9"/>
                    <w:spacing w:line="240" w:lineRule="auto"/>
                    <w:ind w:left="0" w:leftChars="0" w:firstLine="0" w:firstLineChars="0"/>
                    <w:jc w:val="center"/>
                    <w:rPr>
                      <w:rFonts w:hint="eastAsia" w:cs="Times New Roman"/>
                      <w:b w:val="0"/>
                      <w:bCs w:val="0"/>
                      <w:color w:val="FF0000"/>
                      <w:sz w:val="21"/>
                      <w:szCs w:val="21"/>
                      <w:lang w:val="en-US" w:eastAsia="zh-CN"/>
                    </w:rPr>
                  </w:pPr>
                  <w:r>
                    <w:rPr>
                      <w:rFonts w:hint="eastAsia"/>
                      <w:color w:val="FF0000"/>
                      <w:sz w:val="21"/>
                      <w:szCs w:val="21"/>
                      <w:lang w:val="en-US" w:eastAsia="zh-CN"/>
                    </w:rPr>
                    <w:t>0.843</w:t>
                  </w:r>
                </w:p>
              </w:tc>
              <w:tc>
                <w:tcPr>
                  <w:tcW w:w="483" w:type="pct"/>
                  <w:tcBorders>
                    <w:tl2br w:val="nil"/>
                    <w:tr2bl w:val="nil"/>
                  </w:tcBorders>
                  <w:noWrap w:val="0"/>
                  <w:vAlign w:val="center"/>
                </w:tcPr>
                <w:p w14:paraId="421CFEE1">
                  <w:pPr>
                    <w:adjustRightInd w:val="0"/>
                    <w:snapToGrid w:val="0"/>
                    <w:jc w:val="center"/>
                    <w:rPr>
                      <w:rFonts w:hint="eastAsia"/>
                      <w:b w:val="0"/>
                      <w:bCs w:val="0"/>
                      <w:color w:val="FF0000"/>
                      <w:sz w:val="21"/>
                      <w:szCs w:val="21"/>
                      <w:lang w:val="en-US" w:eastAsia="zh-CN"/>
                    </w:rPr>
                  </w:pPr>
                  <w:r>
                    <w:rPr>
                      <w:rFonts w:hint="eastAsia" w:cs="Times New Roman"/>
                      <w:b w:val="0"/>
                      <w:bCs w:val="0"/>
                      <w:color w:val="FF0000"/>
                      <w:sz w:val="21"/>
                      <w:szCs w:val="21"/>
                      <w:lang w:val="en-US" w:eastAsia="zh-CN"/>
                    </w:rPr>
                    <w:t>0</w:t>
                  </w:r>
                </w:p>
              </w:tc>
              <w:tc>
                <w:tcPr>
                  <w:tcW w:w="569" w:type="pct"/>
                  <w:tcBorders>
                    <w:tl2br w:val="nil"/>
                    <w:tr2bl w:val="nil"/>
                  </w:tcBorders>
                  <w:noWrap w:val="0"/>
                  <w:vAlign w:val="center"/>
                </w:tcPr>
                <w:p w14:paraId="1631FE64">
                  <w:pPr>
                    <w:pStyle w:val="9"/>
                    <w:spacing w:line="240" w:lineRule="auto"/>
                    <w:ind w:left="0" w:leftChars="0" w:firstLine="0" w:firstLineChars="0"/>
                    <w:jc w:val="center"/>
                    <w:rPr>
                      <w:rFonts w:hint="eastAsia"/>
                      <w:bCs/>
                      <w:snapToGrid w:val="0"/>
                      <w:color w:val="FF0000"/>
                      <w:kern w:val="21"/>
                      <w:szCs w:val="21"/>
                      <w:lang w:val="en-US" w:eastAsia="zh-CN"/>
                    </w:rPr>
                  </w:pPr>
                  <w:r>
                    <w:rPr>
                      <w:rFonts w:hint="eastAsia"/>
                      <w:color w:val="FF0000"/>
                      <w:sz w:val="21"/>
                      <w:szCs w:val="21"/>
                      <w:lang w:val="en-US" w:eastAsia="zh-CN"/>
                    </w:rPr>
                    <w:t>0.843</w:t>
                  </w:r>
                </w:p>
              </w:tc>
              <w:tc>
                <w:tcPr>
                  <w:tcW w:w="481" w:type="pct"/>
                  <w:tcBorders>
                    <w:tl2br w:val="nil"/>
                    <w:tr2bl w:val="nil"/>
                  </w:tcBorders>
                  <w:noWrap w:val="0"/>
                  <w:vAlign w:val="center"/>
                </w:tcPr>
                <w:p w14:paraId="08DF5FC9">
                  <w:pPr>
                    <w:pStyle w:val="9"/>
                    <w:spacing w:line="240" w:lineRule="auto"/>
                    <w:ind w:left="0" w:leftChars="0" w:firstLine="0" w:firstLineChars="0"/>
                    <w:jc w:val="center"/>
                    <w:rPr>
                      <w:rFonts w:hint="eastAsia" w:cs="Times New Roman"/>
                      <w:b w:val="0"/>
                      <w:bCs w:val="0"/>
                      <w:color w:val="FF0000"/>
                      <w:sz w:val="21"/>
                      <w:szCs w:val="21"/>
                      <w:lang w:val="en-US" w:eastAsia="zh-CN"/>
                    </w:rPr>
                  </w:pPr>
                  <w:r>
                    <w:rPr>
                      <w:rFonts w:hint="eastAsia"/>
                      <w:color w:val="FF0000"/>
                      <w:sz w:val="21"/>
                      <w:szCs w:val="21"/>
                      <w:lang w:val="en-US" w:eastAsia="zh-CN"/>
                    </w:rPr>
                    <w:t>+0.843</w:t>
                  </w:r>
                </w:p>
              </w:tc>
            </w:tr>
            <w:tr w14:paraId="51070B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60" w:type="pct"/>
                  <w:vMerge w:val="restart"/>
                  <w:tcBorders>
                    <w:tl2br w:val="nil"/>
                    <w:tr2bl w:val="nil"/>
                  </w:tcBorders>
                  <w:noWrap w:val="0"/>
                  <w:vAlign w:val="center"/>
                </w:tcPr>
                <w:p w14:paraId="22CEA0BB">
                  <w:pPr>
                    <w:pStyle w:val="55"/>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FF0000"/>
                      <w:sz w:val="21"/>
                      <w:szCs w:val="21"/>
                      <w:lang w:val="en-US" w:eastAsia="zh-CN"/>
                    </w:rPr>
                  </w:pPr>
                  <w:r>
                    <w:rPr>
                      <w:rFonts w:hint="default" w:ascii="Times New Roman" w:hAnsi="Times New Roman" w:cs="Times New Roman"/>
                      <w:color w:val="FF0000"/>
                      <w:sz w:val="21"/>
                      <w:szCs w:val="21"/>
                      <w:lang w:val="en-US" w:eastAsia="zh-CN"/>
                    </w:rPr>
                    <w:t>固废</w:t>
                  </w:r>
                </w:p>
              </w:tc>
              <w:tc>
                <w:tcPr>
                  <w:tcW w:w="196" w:type="pct"/>
                  <w:vMerge w:val="restart"/>
                  <w:tcBorders>
                    <w:tl2br w:val="nil"/>
                    <w:tr2bl w:val="nil"/>
                  </w:tcBorders>
                  <w:noWrap w:val="0"/>
                  <w:vAlign w:val="center"/>
                </w:tcPr>
                <w:p w14:paraId="5E32CB7D">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color w:val="FF0000"/>
                      <w:sz w:val="21"/>
                      <w:szCs w:val="21"/>
                      <w:lang w:val="en-US" w:eastAsia="zh-CN"/>
                    </w:rPr>
                  </w:pPr>
                  <w:r>
                    <w:rPr>
                      <w:rFonts w:hint="default" w:ascii="Times New Roman" w:hAnsi="Times New Roman" w:cs="Times New Roman"/>
                      <w:color w:val="FF0000"/>
                      <w:sz w:val="21"/>
                      <w:szCs w:val="21"/>
                      <w:lang w:val="en-US" w:eastAsia="zh-CN"/>
                    </w:rPr>
                    <w:t>一般</w:t>
                  </w:r>
                  <w:r>
                    <w:rPr>
                      <w:rFonts w:hint="eastAsia" w:cs="Times New Roman"/>
                      <w:b w:val="0"/>
                      <w:bCs w:val="0"/>
                      <w:color w:val="FF0000"/>
                      <w:kern w:val="0"/>
                      <w:sz w:val="21"/>
                      <w:szCs w:val="21"/>
                      <w:lang w:val="en-US" w:eastAsia="zh-CN"/>
                    </w:rPr>
                    <w:t>工业</w:t>
                  </w:r>
                  <w:r>
                    <w:rPr>
                      <w:rFonts w:hint="eastAsia" w:ascii="Times New Roman" w:hAnsi="Times New Roman" w:cs="Times New Roman"/>
                      <w:color w:val="FF0000"/>
                      <w:sz w:val="21"/>
                      <w:szCs w:val="21"/>
                      <w:lang w:val="en-US" w:eastAsia="zh-CN"/>
                    </w:rPr>
                    <w:t>固体废物</w:t>
                  </w:r>
                </w:p>
              </w:tc>
              <w:tc>
                <w:tcPr>
                  <w:tcW w:w="388" w:type="pct"/>
                  <w:tcBorders>
                    <w:tl2br w:val="nil"/>
                    <w:tr2bl w:val="nil"/>
                  </w:tcBorders>
                  <w:noWrap w:val="0"/>
                  <w:vAlign w:val="center"/>
                </w:tcPr>
                <w:p w14:paraId="764C96EB">
                  <w:pPr>
                    <w:widowControl/>
                    <w:jc w:val="center"/>
                    <w:textAlignment w:val="center"/>
                    <w:rPr>
                      <w:rFonts w:hint="default" w:ascii="Times New Roman" w:hAnsi="Times New Roman" w:cs="Times New Roman"/>
                      <w:color w:val="FF0000"/>
                      <w:sz w:val="21"/>
                      <w:szCs w:val="21"/>
                      <w:lang w:val="en-US" w:eastAsia="zh-CN"/>
                    </w:rPr>
                  </w:pPr>
                  <w:r>
                    <w:rPr>
                      <w:rFonts w:hint="eastAsia"/>
                      <w:color w:val="FF0000"/>
                      <w:sz w:val="21"/>
                      <w:szCs w:val="21"/>
                      <w:lang w:val="en-US" w:eastAsia="zh-CN"/>
                    </w:rPr>
                    <w:t>除尘灰</w:t>
                  </w:r>
                </w:p>
              </w:tc>
              <w:tc>
                <w:tcPr>
                  <w:tcW w:w="424" w:type="pct"/>
                  <w:tcBorders>
                    <w:tl2br w:val="nil"/>
                    <w:tr2bl w:val="nil"/>
                  </w:tcBorders>
                  <w:shd w:val="clear" w:color="auto" w:fill="auto"/>
                  <w:noWrap w:val="0"/>
                  <w:vAlign w:val="center"/>
                </w:tcPr>
                <w:p w14:paraId="0178C1DA">
                  <w:pPr>
                    <w:adjustRightInd w:val="0"/>
                    <w:snapToGrid w:val="0"/>
                    <w:jc w:val="center"/>
                    <w:rPr>
                      <w:rFonts w:hint="default" w:ascii="Times New Roman" w:hAnsi="Times New Roman" w:eastAsia="宋体" w:cs="Times New Roman"/>
                      <w:color w:val="FF0000"/>
                      <w:kern w:val="2"/>
                      <w:sz w:val="21"/>
                      <w:szCs w:val="21"/>
                      <w:lang w:val="en-US" w:eastAsia="zh-CN" w:bidi="ar-SA"/>
                    </w:rPr>
                  </w:pPr>
                  <w:r>
                    <w:rPr>
                      <w:bCs/>
                      <w:snapToGrid w:val="0"/>
                      <w:color w:val="FF0000"/>
                      <w:kern w:val="21"/>
                      <w:szCs w:val="21"/>
                    </w:rPr>
                    <w:t>/</w:t>
                  </w:r>
                </w:p>
              </w:tc>
              <w:tc>
                <w:tcPr>
                  <w:tcW w:w="425" w:type="pct"/>
                  <w:tcBorders>
                    <w:tl2br w:val="nil"/>
                    <w:tr2bl w:val="nil"/>
                  </w:tcBorders>
                  <w:noWrap w:val="0"/>
                  <w:vAlign w:val="center"/>
                </w:tcPr>
                <w:p w14:paraId="4A026477">
                  <w:pPr>
                    <w:adjustRightInd w:val="0"/>
                    <w:snapToGrid w:val="0"/>
                    <w:jc w:val="center"/>
                    <w:rPr>
                      <w:bCs/>
                      <w:snapToGrid w:val="0"/>
                      <w:color w:val="FF0000"/>
                      <w:kern w:val="21"/>
                      <w:szCs w:val="21"/>
                    </w:rPr>
                  </w:pPr>
                  <w:r>
                    <w:rPr>
                      <w:bCs/>
                      <w:snapToGrid w:val="0"/>
                      <w:color w:val="FF0000"/>
                      <w:kern w:val="21"/>
                      <w:szCs w:val="21"/>
                    </w:rPr>
                    <w:t>/</w:t>
                  </w:r>
                </w:p>
              </w:tc>
              <w:tc>
                <w:tcPr>
                  <w:tcW w:w="424" w:type="pct"/>
                  <w:tcBorders>
                    <w:tl2br w:val="nil"/>
                    <w:tr2bl w:val="nil"/>
                  </w:tcBorders>
                  <w:noWrap w:val="0"/>
                  <w:vAlign w:val="center"/>
                </w:tcPr>
                <w:p w14:paraId="7AC15D8D">
                  <w:pPr>
                    <w:adjustRightInd w:val="0"/>
                    <w:snapToGrid w:val="0"/>
                    <w:jc w:val="center"/>
                    <w:rPr>
                      <w:rFonts w:hint="default" w:ascii="Times New Roman" w:hAnsi="Times New Roman" w:eastAsia="宋体" w:cs="Times New Roman"/>
                      <w:color w:val="FF0000"/>
                      <w:sz w:val="21"/>
                      <w:szCs w:val="21"/>
                      <w:lang w:val="en-US" w:eastAsia="zh-CN"/>
                    </w:rPr>
                  </w:pPr>
                  <w:r>
                    <w:rPr>
                      <w:bCs/>
                      <w:snapToGrid w:val="0"/>
                      <w:color w:val="FF0000"/>
                      <w:kern w:val="21"/>
                      <w:szCs w:val="21"/>
                    </w:rPr>
                    <w:t>/</w:t>
                  </w:r>
                </w:p>
              </w:tc>
              <w:tc>
                <w:tcPr>
                  <w:tcW w:w="417" w:type="pct"/>
                  <w:tcBorders>
                    <w:tl2br w:val="nil"/>
                    <w:tr2bl w:val="nil"/>
                  </w:tcBorders>
                  <w:shd w:val="clear" w:color="auto" w:fill="auto"/>
                  <w:noWrap w:val="0"/>
                  <w:vAlign w:val="center"/>
                </w:tcPr>
                <w:p w14:paraId="0F0757EA">
                  <w:pPr>
                    <w:keepNext w:val="0"/>
                    <w:keepLines w:val="0"/>
                    <w:pageBreakBefore w:val="0"/>
                    <w:widowControl/>
                    <w:kinsoku/>
                    <w:wordWrap/>
                    <w:overflowPunct/>
                    <w:topLinePunct w:val="0"/>
                    <w:bidi w:val="0"/>
                    <w:snapToGrid/>
                    <w:spacing w:line="240" w:lineRule="auto"/>
                    <w:jc w:val="center"/>
                    <w:textAlignment w:val="center"/>
                    <w:rPr>
                      <w:rFonts w:hint="eastAsia" w:ascii="Times New Roman" w:hAnsi="Times New Roman" w:eastAsia="宋体" w:cs="Times New Roman"/>
                      <w:color w:val="FF0000"/>
                      <w:kern w:val="2"/>
                      <w:sz w:val="21"/>
                      <w:szCs w:val="21"/>
                      <w:lang w:val="en-US" w:eastAsia="zh-CN" w:bidi="ar-SA"/>
                    </w:rPr>
                  </w:pPr>
                  <w:r>
                    <w:rPr>
                      <w:rFonts w:hint="eastAsia"/>
                      <w:color w:val="FF0000"/>
                      <w:sz w:val="21"/>
                      <w:szCs w:val="21"/>
                      <w:lang w:val="en-US" w:eastAsia="zh-CN"/>
                    </w:rPr>
                    <w:t>168.692</w:t>
                  </w:r>
                </w:p>
              </w:tc>
              <w:tc>
                <w:tcPr>
                  <w:tcW w:w="419" w:type="pct"/>
                  <w:tcBorders>
                    <w:tl2br w:val="nil"/>
                    <w:tr2bl w:val="nil"/>
                  </w:tcBorders>
                  <w:shd w:val="clear" w:color="auto" w:fill="auto"/>
                  <w:noWrap w:val="0"/>
                  <w:vAlign w:val="center"/>
                </w:tcPr>
                <w:p w14:paraId="034AFC25">
                  <w:pPr>
                    <w:adjustRightInd w:val="0"/>
                    <w:snapToGrid w:val="0"/>
                    <w:jc w:val="center"/>
                    <w:rPr>
                      <w:rFonts w:hint="eastAsia" w:ascii="Times New Roman" w:hAnsi="Times New Roman" w:eastAsia="宋体" w:cs="Times New Roman"/>
                      <w:color w:val="FF0000"/>
                      <w:kern w:val="2"/>
                      <w:sz w:val="21"/>
                      <w:szCs w:val="21"/>
                      <w:lang w:val="en-US" w:eastAsia="zh-CN" w:bidi="ar-SA"/>
                    </w:rPr>
                  </w:pPr>
                  <w:r>
                    <w:rPr>
                      <w:rFonts w:hint="eastAsia" w:cs="Times New Roman"/>
                      <w:b w:val="0"/>
                      <w:bCs w:val="0"/>
                      <w:color w:val="FF0000"/>
                      <w:sz w:val="21"/>
                      <w:szCs w:val="21"/>
                      <w:lang w:val="en-US" w:eastAsia="zh-CN"/>
                    </w:rPr>
                    <w:t>0</w:t>
                  </w:r>
                </w:p>
              </w:tc>
              <w:tc>
                <w:tcPr>
                  <w:tcW w:w="849" w:type="dxa"/>
                  <w:tcBorders>
                    <w:tl2br w:val="nil"/>
                    <w:tr2bl w:val="nil"/>
                  </w:tcBorders>
                  <w:noWrap w:val="0"/>
                  <w:vAlign w:val="center"/>
                </w:tcPr>
                <w:p w14:paraId="24860D4E">
                  <w:pPr>
                    <w:keepNext w:val="0"/>
                    <w:keepLines w:val="0"/>
                    <w:pageBreakBefore w:val="0"/>
                    <w:widowControl/>
                    <w:kinsoku/>
                    <w:wordWrap/>
                    <w:overflowPunct/>
                    <w:topLinePunct w:val="0"/>
                    <w:bidi w:val="0"/>
                    <w:snapToGrid/>
                    <w:spacing w:line="240" w:lineRule="auto"/>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color w:val="FF0000"/>
                      <w:sz w:val="21"/>
                      <w:szCs w:val="21"/>
                      <w:lang w:val="en-US" w:eastAsia="zh-CN"/>
                    </w:rPr>
                    <w:t>168.692</w:t>
                  </w:r>
                </w:p>
              </w:tc>
              <w:tc>
                <w:tcPr>
                  <w:tcW w:w="483" w:type="pct"/>
                  <w:tcBorders>
                    <w:tl2br w:val="nil"/>
                    <w:tr2bl w:val="nil"/>
                  </w:tcBorders>
                  <w:noWrap w:val="0"/>
                  <w:vAlign w:val="center"/>
                </w:tcPr>
                <w:p w14:paraId="38E44F4E">
                  <w:pPr>
                    <w:adjustRightInd w:val="0"/>
                    <w:snapToGrid w:val="0"/>
                    <w:jc w:val="center"/>
                    <w:rPr>
                      <w:rFonts w:hint="eastAsia"/>
                      <w:color w:val="FF0000"/>
                      <w:kern w:val="0"/>
                      <w:sz w:val="21"/>
                      <w:szCs w:val="21"/>
                      <w:lang w:val="en-US" w:eastAsia="zh-CN" w:bidi="ar"/>
                    </w:rPr>
                  </w:pPr>
                  <w:r>
                    <w:rPr>
                      <w:rFonts w:hint="eastAsia"/>
                      <w:b w:val="0"/>
                      <w:bCs w:val="0"/>
                      <w:color w:val="FF0000"/>
                      <w:sz w:val="21"/>
                      <w:szCs w:val="21"/>
                      <w:lang w:val="en-US" w:eastAsia="zh-CN"/>
                    </w:rPr>
                    <w:t>0</w:t>
                  </w:r>
                </w:p>
              </w:tc>
              <w:tc>
                <w:tcPr>
                  <w:tcW w:w="569" w:type="pct"/>
                  <w:tcBorders>
                    <w:tl2br w:val="nil"/>
                    <w:tr2bl w:val="nil"/>
                  </w:tcBorders>
                  <w:noWrap w:val="0"/>
                  <w:vAlign w:val="center"/>
                </w:tcPr>
                <w:p w14:paraId="15EB3BA0">
                  <w:pPr>
                    <w:adjustRightInd w:val="0"/>
                    <w:snapToGrid w:val="0"/>
                    <w:jc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b w:val="0"/>
                      <w:bCs w:val="0"/>
                      <w:color w:val="FF0000"/>
                      <w:sz w:val="21"/>
                      <w:szCs w:val="21"/>
                      <w:lang w:val="en-US" w:eastAsia="zh-CN"/>
                    </w:rPr>
                    <w:t>2.243</w:t>
                  </w:r>
                </w:p>
              </w:tc>
              <w:tc>
                <w:tcPr>
                  <w:tcW w:w="481" w:type="pct"/>
                  <w:tcBorders>
                    <w:tl2br w:val="nil"/>
                    <w:tr2bl w:val="nil"/>
                  </w:tcBorders>
                  <w:shd w:val="clear" w:color="auto" w:fill="auto"/>
                  <w:noWrap w:val="0"/>
                  <w:vAlign w:val="center"/>
                </w:tcPr>
                <w:p w14:paraId="4659021C">
                  <w:pPr>
                    <w:adjustRightInd w:val="0"/>
                    <w:snapToGrid w:val="0"/>
                    <w:jc w:val="center"/>
                    <w:rPr>
                      <w:rFonts w:hint="default" w:ascii="Times New Roman" w:hAnsi="Times New Roman" w:eastAsia="宋体" w:cs="Times New Roman"/>
                      <w:b w:val="0"/>
                      <w:bCs w:val="0"/>
                      <w:color w:val="FF0000"/>
                      <w:kern w:val="2"/>
                      <w:sz w:val="21"/>
                      <w:szCs w:val="21"/>
                      <w:lang w:val="en-US" w:eastAsia="zh-CN" w:bidi="ar-SA"/>
                    </w:rPr>
                  </w:pPr>
                  <w:r>
                    <w:rPr>
                      <w:rFonts w:hint="eastAsia"/>
                      <w:b w:val="0"/>
                      <w:bCs w:val="0"/>
                      <w:color w:val="FF0000"/>
                      <w:sz w:val="21"/>
                      <w:szCs w:val="21"/>
                      <w:lang w:val="en-US" w:eastAsia="zh-CN"/>
                    </w:rPr>
                    <w:t>+</w:t>
                  </w:r>
                  <w:r>
                    <w:rPr>
                      <w:rFonts w:hint="eastAsia"/>
                      <w:color w:val="FF0000"/>
                      <w:sz w:val="21"/>
                      <w:szCs w:val="21"/>
                      <w:lang w:val="en-US" w:eastAsia="zh-CN"/>
                    </w:rPr>
                    <w:t>168.692</w:t>
                  </w:r>
                </w:p>
              </w:tc>
            </w:tr>
            <w:tr w14:paraId="01A0B6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60" w:type="pct"/>
                  <w:vMerge w:val="continue"/>
                  <w:tcBorders>
                    <w:tl2br w:val="nil"/>
                    <w:tr2bl w:val="nil"/>
                  </w:tcBorders>
                  <w:noWrap w:val="0"/>
                  <w:vAlign w:val="center"/>
                </w:tcPr>
                <w:p w14:paraId="7A8ED9E4">
                  <w:pPr>
                    <w:pStyle w:val="55"/>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FF0000"/>
                      <w:sz w:val="21"/>
                      <w:szCs w:val="21"/>
                      <w:lang w:val="en-US" w:eastAsia="zh-CN"/>
                    </w:rPr>
                  </w:pPr>
                </w:p>
              </w:tc>
              <w:tc>
                <w:tcPr>
                  <w:tcW w:w="196" w:type="pct"/>
                  <w:vMerge w:val="continue"/>
                  <w:tcBorders>
                    <w:tl2br w:val="nil"/>
                    <w:tr2bl w:val="nil"/>
                  </w:tcBorders>
                  <w:noWrap w:val="0"/>
                  <w:vAlign w:val="center"/>
                </w:tcPr>
                <w:p w14:paraId="754C8189">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color w:val="FF0000"/>
                      <w:sz w:val="21"/>
                      <w:szCs w:val="21"/>
                      <w:lang w:val="en-US" w:eastAsia="zh-CN"/>
                    </w:rPr>
                  </w:pPr>
                </w:p>
              </w:tc>
              <w:tc>
                <w:tcPr>
                  <w:tcW w:w="388" w:type="pct"/>
                  <w:tcBorders>
                    <w:tl2br w:val="nil"/>
                    <w:tr2bl w:val="nil"/>
                  </w:tcBorders>
                  <w:noWrap w:val="0"/>
                  <w:vAlign w:val="center"/>
                </w:tcPr>
                <w:p w14:paraId="2BDCDFD5">
                  <w:pPr>
                    <w:widowControl/>
                    <w:jc w:val="center"/>
                    <w:textAlignment w:val="center"/>
                    <w:rPr>
                      <w:rFonts w:hint="default" w:ascii="Times New Roman" w:hAnsi="Times New Roman" w:cs="Times New Roman"/>
                      <w:color w:val="FF0000"/>
                      <w:sz w:val="21"/>
                      <w:szCs w:val="21"/>
                      <w:lang w:val="en-US" w:eastAsia="zh-CN"/>
                    </w:rPr>
                  </w:pPr>
                  <w:r>
                    <w:rPr>
                      <w:rFonts w:hint="eastAsia"/>
                      <w:color w:val="FF0000"/>
                      <w:sz w:val="21"/>
                      <w:szCs w:val="21"/>
                      <w:lang w:val="en-US" w:eastAsia="zh-CN"/>
                    </w:rPr>
                    <w:t>废布袋</w:t>
                  </w:r>
                </w:p>
              </w:tc>
              <w:tc>
                <w:tcPr>
                  <w:tcW w:w="424" w:type="pct"/>
                  <w:tcBorders>
                    <w:tl2br w:val="nil"/>
                    <w:tr2bl w:val="nil"/>
                  </w:tcBorders>
                  <w:noWrap w:val="0"/>
                  <w:vAlign w:val="center"/>
                </w:tcPr>
                <w:p w14:paraId="2DF176BD">
                  <w:pPr>
                    <w:adjustRightInd w:val="0"/>
                    <w:snapToGrid w:val="0"/>
                    <w:jc w:val="center"/>
                    <w:rPr>
                      <w:bCs/>
                      <w:snapToGrid w:val="0"/>
                      <w:color w:val="FF0000"/>
                      <w:kern w:val="21"/>
                      <w:szCs w:val="21"/>
                    </w:rPr>
                  </w:pPr>
                  <w:r>
                    <w:rPr>
                      <w:bCs/>
                      <w:snapToGrid w:val="0"/>
                      <w:color w:val="FF0000"/>
                      <w:kern w:val="21"/>
                      <w:szCs w:val="21"/>
                    </w:rPr>
                    <w:t>/</w:t>
                  </w:r>
                </w:p>
              </w:tc>
              <w:tc>
                <w:tcPr>
                  <w:tcW w:w="425" w:type="pct"/>
                  <w:tcBorders>
                    <w:tl2br w:val="nil"/>
                    <w:tr2bl w:val="nil"/>
                  </w:tcBorders>
                  <w:noWrap w:val="0"/>
                  <w:vAlign w:val="center"/>
                </w:tcPr>
                <w:p w14:paraId="000F6EA7">
                  <w:pPr>
                    <w:adjustRightInd w:val="0"/>
                    <w:snapToGrid w:val="0"/>
                    <w:jc w:val="center"/>
                    <w:rPr>
                      <w:bCs/>
                      <w:snapToGrid w:val="0"/>
                      <w:color w:val="FF0000"/>
                      <w:kern w:val="21"/>
                      <w:szCs w:val="21"/>
                    </w:rPr>
                  </w:pPr>
                  <w:r>
                    <w:rPr>
                      <w:bCs/>
                      <w:snapToGrid w:val="0"/>
                      <w:color w:val="FF0000"/>
                      <w:kern w:val="21"/>
                      <w:szCs w:val="21"/>
                    </w:rPr>
                    <w:t>/</w:t>
                  </w:r>
                </w:p>
              </w:tc>
              <w:tc>
                <w:tcPr>
                  <w:tcW w:w="424" w:type="pct"/>
                  <w:tcBorders>
                    <w:tl2br w:val="nil"/>
                    <w:tr2bl w:val="nil"/>
                  </w:tcBorders>
                  <w:noWrap w:val="0"/>
                  <w:vAlign w:val="center"/>
                </w:tcPr>
                <w:p w14:paraId="1716C266">
                  <w:pPr>
                    <w:adjustRightInd w:val="0"/>
                    <w:snapToGrid w:val="0"/>
                    <w:jc w:val="center"/>
                    <w:rPr>
                      <w:rFonts w:hint="default" w:ascii="Times New Roman" w:hAnsi="Times New Roman" w:cs="Times New Roman"/>
                      <w:color w:val="FF0000"/>
                      <w:sz w:val="21"/>
                      <w:szCs w:val="21"/>
                      <w:lang w:val="en-US" w:eastAsia="zh-CN"/>
                    </w:rPr>
                  </w:pPr>
                  <w:r>
                    <w:rPr>
                      <w:bCs/>
                      <w:snapToGrid w:val="0"/>
                      <w:color w:val="FF0000"/>
                      <w:kern w:val="21"/>
                      <w:szCs w:val="21"/>
                    </w:rPr>
                    <w:t>/</w:t>
                  </w:r>
                </w:p>
              </w:tc>
              <w:tc>
                <w:tcPr>
                  <w:tcW w:w="417" w:type="pct"/>
                  <w:tcBorders>
                    <w:tl2br w:val="nil"/>
                    <w:tr2bl w:val="nil"/>
                  </w:tcBorders>
                  <w:noWrap w:val="0"/>
                  <w:vAlign w:val="center"/>
                </w:tcPr>
                <w:p w14:paraId="3A2AE345">
                  <w:pPr>
                    <w:widowControl/>
                    <w:jc w:val="center"/>
                    <w:textAlignment w:val="center"/>
                    <w:rPr>
                      <w:rFonts w:hint="eastAsia"/>
                      <w:color w:val="FF0000"/>
                      <w:kern w:val="0"/>
                      <w:sz w:val="21"/>
                      <w:szCs w:val="21"/>
                      <w:lang w:bidi="ar"/>
                    </w:rPr>
                  </w:pPr>
                  <w:r>
                    <w:rPr>
                      <w:rFonts w:hint="eastAsia"/>
                      <w:color w:val="FF0000"/>
                      <w:kern w:val="0"/>
                      <w:sz w:val="21"/>
                      <w:szCs w:val="21"/>
                      <w:lang w:bidi="ar"/>
                    </w:rPr>
                    <w:t>0.</w:t>
                  </w:r>
                  <w:r>
                    <w:rPr>
                      <w:rFonts w:hint="eastAsia"/>
                      <w:color w:val="FF0000"/>
                      <w:kern w:val="0"/>
                      <w:sz w:val="21"/>
                      <w:szCs w:val="21"/>
                      <w:lang w:val="en-US" w:eastAsia="zh-CN" w:bidi="ar"/>
                    </w:rPr>
                    <w:t>2</w:t>
                  </w:r>
                </w:p>
              </w:tc>
              <w:tc>
                <w:tcPr>
                  <w:tcW w:w="419" w:type="pct"/>
                  <w:tcBorders>
                    <w:tl2br w:val="nil"/>
                    <w:tr2bl w:val="nil"/>
                  </w:tcBorders>
                  <w:shd w:val="clear" w:color="auto" w:fill="auto"/>
                  <w:noWrap w:val="0"/>
                  <w:vAlign w:val="center"/>
                </w:tcPr>
                <w:p w14:paraId="583C458E">
                  <w:pPr>
                    <w:adjustRightInd w:val="0"/>
                    <w:snapToGrid w:val="0"/>
                    <w:jc w:val="center"/>
                    <w:rPr>
                      <w:rFonts w:hint="eastAsia" w:ascii="Times New Roman" w:hAnsi="Times New Roman" w:eastAsia="宋体" w:cs="Times New Roman"/>
                      <w:color w:val="FF0000"/>
                      <w:kern w:val="2"/>
                      <w:sz w:val="21"/>
                      <w:szCs w:val="21"/>
                      <w:lang w:val="en-US" w:eastAsia="zh-CN" w:bidi="ar-SA"/>
                    </w:rPr>
                  </w:pPr>
                  <w:r>
                    <w:rPr>
                      <w:rFonts w:hint="eastAsia" w:cs="Times New Roman"/>
                      <w:b w:val="0"/>
                      <w:bCs w:val="0"/>
                      <w:color w:val="FF0000"/>
                      <w:sz w:val="21"/>
                      <w:szCs w:val="21"/>
                      <w:lang w:val="en-US" w:eastAsia="zh-CN"/>
                    </w:rPr>
                    <w:t>0</w:t>
                  </w:r>
                </w:p>
              </w:tc>
              <w:tc>
                <w:tcPr>
                  <w:tcW w:w="509" w:type="pct"/>
                  <w:tcBorders>
                    <w:tl2br w:val="nil"/>
                    <w:tr2bl w:val="nil"/>
                  </w:tcBorders>
                  <w:noWrap w:val="0"/>
                  <w:vAlign w:val="center"/>
                </w:tcPr>
                <w:p w14:paraId="23E23AB7">
                  <w:pPr>
                    <w:widowControl/>
                    <w:jc w:val="center"/>
                    <w:textAlignment w:val="center"/>
                    <w:rPr>
                      <w:rFonts w:hint="default" w:ascii="Times New Roman" w:hAnsi="Times New Roman" w:cs="Times New Roman"/>
                      <w:i w:val="0"/>
                      <w:iCs w:val="0"/>
                      <w:color w:val="FF0000"/>
                      <w:kern w:val="0"/>
                      <w:sz w:val="21"/>
                      <w:szCs w:val="21"/>
                      <w:u w:val="none"/>
                      <w:lang w:val="en-US" w:eastAsia="zh-CN" w:bidi="ar"/>
                    </w:rPr>
                  </w:pPr>
                  <w:r>
                    <w:rPr>
                      <w:rFonts w:hint="eastAsia"/>
                      <w:color w:val="FF0000"/>
                      <w:kern w:val="0"/>
                      <w:sz w:val="21"/>
                      <w:szCs w:val="21"/>
                      <w:lang w:bidi="ar"/>
                    </w:rPr>
                    <w:t>0.</w:t>
                  </w:r>
                  <w:r>
                    <w:rPr>
                      <w:rFonts w:hint="eastAsia"/>
                      <w:color w:val="FF0000"/>
                      <w:kern w:val="0"/>
                      <w:sz w:val="21"/>
                      <w:szCs w:val="21"/>
                      <w:lang w:val="en-US" w:eastAsia="zh-CN" w:bidi="ar"/>
                    </w:rPr>
                    <w:t>2</w:t>
                  </w:r>
                </w:p>
              </w:tc>
              <w:tc>
                <w:tcPr>
                  <w:tcW w:w="483" w:type="pct"/>
                  <w:tcBorders>
                    <w:tl2br w:val="nil"/>
                    <w:tr2bl w:val="nil"/>
                  </w:tcBorders>
                  <w:noWrap w:val="0"/>
                  <w:vAlign w:val="center"/>
                </w:tcPr>
                <w:p w14:paraId="30806297">
                  <w:pPr>
                    <w:adjustRightInd w:val="0"/>
                    <w:snapToGrid w:val="0"/>
                    <w:jc w:val="center"/>
                    <w:rPr>
                      <w:rFonts w:hint="eastAsia"/>
                      <w:color w:val="FF0000"/>
                      <w:kern w:val="0"/>
                      <w:sz w:val="21"/>
                      <w:szCs w:val="21"/>
                      <w:lang w:bidi="ar"/>
                    </w:rPr>
                  </w:pPr>
                  <w:r>
                    <w:rPr>
                      <w:rFonts w:hint="eastAsia"/>
                      <w:b w:val="0"/>
                      <w:bCs w:val="0"/>
                      <w:color w:val="FF0000"/>
                      <w:sz w:val="21"/>
                      <w:szCs w:val="21"/>
                      <w:lang w:val="en-US" w:eastAsia="zh-CN"/>
                    </w:rPr>
                    <w:t>0</w:t>
                  </w:r>
                </w:p>
              </w:tc>
              <w:tc>
                <w:tcPr>
                  <w:tcW w:w="569" w:type="pct"/>
                  <w:tcBorders>
                    <w:tl2br w:val="nil"/>
                    <w:tr2bl w:val="nil"/>
                  </w:tcBorders>
                  <w:noWrap w:val="0"/>
                  <w:vAlign w:val="center"/>
                </w:tcPr>
                <w:p w14:paraId="4364CF55">
                  <w:pPr>
                    <w:widowControl/>
                    <w:jc w:val="center"/>
                    <w:textAlignment w:val="center"/>
                    <w:rPr>
                      <w:rFonts w:hint="default" w:ascii="Times New Roman" w:hAnsi="Times New Roman" w:cs="Times New Roman"/>
                      <w:i w:val="0"/>
                      <w:iCs w:val="0"/>
                      <w:color w:val="FF0000"/>
                      <w:kern w:val="0"/>
                      <w:sz w:val="21"/>
                      <w:szCs w:val="21"/>
                      <w:u w:val="none"/>
                      <w:lang w:val="en-US" w:eastAsia="zh-CN" w:bidi="ar"/>
                    </w:rPr>
                  </w:pPr>
                  <w:r>
                    <w:rPr>
                      <w:rFonts w:hint="eastAsia"/>
                      <w:color w:val="FF0000"/>
                      <w:kern w:val="0"/>
                      <w:sz w:val="21"/>
                      <w:szCs w:val="21"/>
                      <w:lang w:bidi="ar"/>
                    </w:rPr>
                    <w:t>0.</w:t>
                  </w:r>
                  <w:r>
                    <w:rPr>
                      <w:rFonts w:hint="eastAsia"/>
                      <w:color w:val="FF0000"/>
                      <w:kern w:val="0"/>
                      <w:sz w:val="21"/>
                      <w:szCs w:val="21"/>
                      <w:lang w:val="en-US" w:eastAsia="zh-CN" w:bidi="ar"/>
                    </w:rPr>
                    <w:t>2</w:t>
                  </w:r>
                </w:p>
              </w:tc>
              <w:tc>
                <w:tcPr>
                  <w:tcW w:w="481" w:type="pct"/>
                  <w:tcBorders>
                    <w:tl2br w:val="nil"/>
                    <w:tr2bl w:val="nil"/>
                  </w:tcBorders>
                  <w:noWrap w:val="0"/>
                  <w:vAlign w:val="center"/>
                </w:tcPr>
                <w:p w14:paraId="0A637249">
                  <w:pPr>
                    <w:widowControl/>
                    <w:jc w:val="center"/>
                    <w:textAlignment w:val="center"/>
                    <w:rPr>
                      <w:rFonts w:hint="default" w:ascii="Times New Roman" w:hAnsi="Times New Roman" w:cs="Times New Roman"/>
                      <w:i w:val="0"/>
                      <w:iCs w:val="0"/>
                      <w:color w:val="FF0000"/>
                      <w:kern w:val="0"/>
                      <w:sz w:val="21"/>
                      <w:szCs w:val="21"/>
                      <w:u w:val="none"/>
                      <w:lang w:val="en-US" w:eastAsia="zh-CN" w:bidi="ar"/>
                    </w:rPr>
                  </w:pPr>
                  <w:r>
                    <w:rPr>
                      <w:rFonts w:hint="eastAsia"/>
                      <w:color w:val="FF0000"/>
                      <w:kern w:val="0"/>
                      <w:sz w:val="21"/>
                      <w:szCs w:val="21"/>
                      <w:lang w:val="en-US" w:eastAsia="zh-CN" w:bidi="ar"/>
                    </w:rPr>
                    <w:t>+</w:t>
                  </w:r>
                  <w:r>
                    <w:rPr>
                      <w:rFonts w:hint="eastAsia"/>
                      <w:color w:val="FF0000"/>
                      <w:kern w:val="0"/>
                      <w:sz w:val="21"/>
                      <w:szCs w:val="21"/>
                      <w:lang w:bidi="ar"/>
                    </w:rPr>
                    <w:t>0.</w:t>
                  </w:r>
                  <w:r>
                    <w:rPr>
                      <w:rFonts w:hint="eastAsia"/>
                      <w:color w:val="FF0000"/>
                      <w:kern w:val="0"/>
                      <w:sz w:val="21"/>
                      <w:szCs w:val="21"/>
                      <w:lang w:val="en-US" w:eastAsia="zh-CN" w:bidi="ar"/>
                    </w:rPr>
                    <w:t>2</w:t>
                  </w:r>
                </w:p>
              </w:tc>
            </w:tr>
            <w:tr w14:paraId="666D37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60" w:type="pct"/>
                  <w:vMerge w:val="continue"/>
                  <w:tcBorders>
                    <w:tl2br w:val="nil"/>
                    <w:tr2bl w:val="nil"/>
                  </w:tcBorders>
                  <w:noWrap w:val="0"/>
                  <w:vAlign w:val="center"/>
                </w:tcPr>
                <w:p w14:paraId="5A0478ED">
                  <w:pPr>
                    <w:pStyle w:val="55"/>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FF0000"/>
                      <w:sz w:val="21"/>
                      <w:szCs w:val="21"/>
                      <w:lang w:val="en-US" w:eastAsia="zh-CN"/>
                    </w:rPr>
                  </w:pPr>
                </w:p>
              </w:tc>
              <w:tc>
                <w:tcPr>
                  <w:tcW w:w="196" w:type="pct"/>
                  <w:vMerge w:val="continue"/>
                  <w:tcBorders>
                    <w:tl2br w:val="nil"/>
                    <w:tr2bl w:val="nil"/>
                  </w:tcBorders>
                  <w:noWrap w:val="0"/>
                  <w:vAlign w:val="center"/>
                </w:tcPr>
                <w:p w14:paraId="32080EAA">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color w:val="FF0000"/>
                      <w:sz w:val="21"/>
                      <w:szCs w:val="21"/>
                      <w:lang w:val="en-US" w:eastAsia="zh-CN"/>
                    </w:rPr>
                  </w:pPr>
                </w:p>
              </w:tc>
              <w:tc>
                <w:tcPr>
                  <w:tcW w:w="388" w:type="pct"/>
                  <w:tcBorders>
                    <w:tl2br w:val="nil"/>
                    <w:tr2bl w:val="nil"/>
                  </w:tcBorders>
                  <w:noWrap w:val="0"/>
                  <w:vAlign w:val="center"/>
                </w:tcPr>
                <w:p w14:paraId="7E4E7072">
                  <w:pPr>
                    <w:widowControl/>
                    <w:jc w:val="center"/>
                    <w:textAlignment w:val="center"/>
                    <w:rPr>
                      <w:rFonts w:hint="default" w:ascii="Times New Roman" w:hAnsi="Times New Roman" w:cs="Times New Roman"/>
                      <w:color w:val="FF0000"/>
                      <w:sz w:val="21"/>
                      <w:szCs w:val="21"/>
                      <w:lang w:val="en-US" w:eastAsia="zh-CN"/>
                    </w:rPr>
                  </w:pPr>
                  <w:r>
                    <w:rPr>
                      <w:rFonts w:hint="eastAsia"/>
                      <w:color w:val="FF0000"/>
                      <w:kern w:val="0"/>
                      <w:sz w:val="21"/>
                      <w:szCs w:val="21"/>
                      <w:lang w:val="en-US" w:eastAsia="zh-CN" w:bidi="ar"/>
                    </w:rPr>
                    <w:t>锅炉灰渣</w:t>
                  </w:r>
                </w:p>
              </w:tc>
              <w:tc>
                <w:tcPr>
                  <w:tcW w:w="424" w:type="pct"/>
                  <w:tcBorders>
                    <w:tl2br w:val="nil"/>
                    <w:tr2bl w:val="nil"/>
                  </w:tcBorders>
                  <w:noWrap w:val="0"/>
                  <w:vAlign w:val="center"/>
                </w:tcPr>
                <w:p w14:paraId="37DC6FE3">
                  <w:pPr>
                    <w:adjustRightInd w:val="0"/>
                    <w:snapToGrid w:val="0"/>
                    <w:jc w:val="center"/>
                    <w:rPr>
                      <w:rFonts w:hint="eastAsia"/>
                      <w:bCs/>
                      <w:snapToGrid w:val="0"/>
                      <w:color w:val="FF0000"/>
                      <w:kern w:val="21"/>
                      <w:szCs w:val="21"/>
                      <w:lang w:val="en-US" w:eastAsia="zh-CN"/>
                    </w:rPr>
                  </w:pPr>
                  <w:r>
                    <w:rPr>
                      <w:rFonts w:hint="eastAsia"/>
                      <w:bCs/>
                      <w:snapToGrid w:val="0"/>
                      <w:color w:val="FF0000"/>
                      <w:kern w:val="21"/>
                      <w:szCs w:val="21"/>
                      <w:lang w:val="en-US" w:eastAsia="zh-CN"/>
                    </w:rPr>
                    <w:t>800</w:t>
                  </w:r>
                </w:p>
              </w:tc>
              <w:tc>
                <w:tcPr>
                  <w:tcW w:w="425" w:type="pct"/>
                  <w:tcBorders>
                    <w:tl2br w:val="nil"/>
                    <w:tr2bl w:val="nil"/>
                  </w:tcBorders>
                  <w:noWrap w:val="0"/>
                  <w:vAlign w:val="center"/>
                </w:tcPr>
                <w:p w14:paraId="000A6D3D">
                  <w:pPr>
                    <w:adjustRightInd w:val="0"/>
                    <w:snapToGrid w:val="0"/>
                    <w:jc w:val="center"/>
                    <w:rPr>
                      <w:rFonts w:hint="default"/>
                      <w:bCs/>
                      <w:snapToGrid w:val="0"/>
                      <w:color w:val="FF0000"/>
                      <w:kern w:val="21"/>
                      <w:szCs w:val="21"/>
                      <w:lang w:val="en-US" w:eastAsia="zh-CN"/>
                    </w:rPr>
                  </w:pPr>
                  <w:r>
                    <w:rPr>
                      <w:rFonts w:hint="eastAsia"/>
                      <w:bCs/>
                      <w:snapToGrid w:val="0"/>
                      <w:color w:val="FF0000"/>
                      <w:kern w:val="21"/>
                      <w:szCs w:val="21"/>
                      <w:lang w:val="en-US" w:eastAsia="zh-CN"/>
                    </w:rPr>
                    <w:t>0</w:t>
                  </w:r>
                </w:p>
              </w:tc>
              <w:tc>
                <w:tcPr>
                  <w:tcW w:w="424" w:type="pct"/>
                  <w:tcBorders>
                    <w:tl2br w:val="nil"/>
                    <w:tr2bl w:val="nil"/>
                  </w:tcBorders>
                  <w:noWrap w:val="0"/>
                  <w:vAlign w:val="center"/>
                </w:tcPr>
                <w:p w14:paraId="31309E38">
                  <w:pPr>
                    <w:adjustRightInd w:val="0"/>
                    <w:snapToGrid w:val="0"/>
                    <w:jc w:val="center"/>
                    <w:rPr>
                      <w:rFonts w:hint="default" w:ascii="Times New Roman" w:hAnsi="Times New Roman" w:cs="Times New Roman"/>
                      <w:color w:val="FF0000"/>
                      <w:sz w:val="21"/>
                      <w:szCs w:val="21"/>
                      <w:lang w:val="en-US" w:eastAsia="zh-CN"/>
                    </w:rPr>
                  </w:pPr>
                  <w:r>
                    <w:rPr>
                      <w:rFonts w:hint="eastAsia"/>
                      <w:bCs/>
                      <w:snapToGrid w:val="0"/>
                      <w:color w:val="FF0000"/>
                      <w:kern w:val="21"/>
                      <w:szCs w:val="21"/>
                      <w:lang w:val="en-US" w:eastAsia="zh-CN"/>
                    </w:rPr>
                    <w:t>800</w:t>
                  </w:r>
                </w:p>
              </w:tc>
              <w:tc>
                <w:tcPr>
                  <w:tcW w:w="417" w:type="pct"/>
                  <w:tcBorders>
                    <w:tl2br w:val="nil"/>
                    <w:tr2bl w:val="nil"/>
                  </w:tcBorders>
                  <w:noWrap w:val="0"/>
                  <w:vAlign w:val="center"/>
                </w:tcPr>
                <w:p w14:paraId="2B878694">
                  <w:pPr>
                    <w:adjustRightInd w:val="0"/>
                    <w:snapToGrid w:val="0"/>
                    <w:jc w:val="center"/>
                    <w:rPr>
                      <w:rFonts w:hint="eastAsia" w:cs="Times New Roman"/>
                      <w:b w:val="0"/>
                      <w:bCs w:val="0"/>
                      <w:color w:val="FF0000"/>
                      <w:sz w:val="21"/>
                      <w:szCs w:val="21"/>
                      <w:lang w:val="en-US" w:eastAsia="zh-CN"/>
                    </w:rPr>
                  </w:pPr>
                  <w:r>
                    <w:rPr>
                      <w:rFonts w:hint="eastAsia" w:cs="Times New Roman"/>
                      <w:b w:val="0"/>
                      <w:bCs w:val="0"/>
                      <w:color w:val="FF0000"/>
                      <w:sz w:val="21"/>
                      <w:szCs w:val="21"/>
                      <w:lang w:val="en-US" w:eastAsia="zh-CN"/>
                    </w:rPr>
                    <w:t>0</w:t>
                  </w:r>
                </w:p>
              </w:tc>
              <w:tc>
                <w:tcPr>
                  <w:tcW w:w="419" w:type="pct"/>
                  <w:tcBorders>
                    <w:tl2br w:val="nil"/>
                    <w:tr2bl w:val="nil"/>
                  </w:tcBorders>
                  <w:shd w:val="clear" w:color="auto" w:fill="auto"/>
                  <w:noWrap w:val="0"/>
                  <w:vAlign w:val="center"/>
                </w:tcPr>
                <w:p w14:paraId="51F0EA3A">
                  <w:pPr>
                    <w:adjustRightInd w:val="0"/>
                    <w:snapToGrid w:val="0"/>
                    <w:jc w:val="center"/>
                    <w:rPr>
                      <w:rFonts w:hint="eastAsia" w:ascii="Times New Roman" w:hAnsi="Times New Roman" w:eastAsia="宋体" w:cs="Times New Roman"/>
                      <w:color w:val="FF0000"/>
                      <w:kern w:val="2"/>
                      <w:sz w:val="21"/>
                      <w:szCs w:val="21"/>
                      <w:lang w:val="en-US" w:eastAsia="zh-CN" w:bidi="ar-SA"/>
                    </w:rPr>
                  </w:pPr>
                  <w:r>
                    <w:rPr>
                      <w:rFonts w:hint="eastAsia" w:cs="Times New Roman"/>
                      <w:b w:val="0"/>
                      <w:bCs w:val="0"/>
                      <w:color w:val="FF0000"/>
                      <w:sz w:val="21"/>
                      <w:szCs w:val="21"/>
                      <w:lang w:val="en-US" w:eastAsia="zh-CN"/>
                    </w:rPr>
                    <w:t>0</w:t>
                  </w:r>
                </w:p>
              </w:tc>
              <w:tc>
                <w:tcPr>
                  <w:tcW w:w="509" w:type="pct"/>
                  <w:tcBorders>
                    <w:tl2br w:val="nil"/>
                    <w:tr2bl w:val="nil"/>
                  </w:tcBorders>
                  <w:noWrap w:val="0"/>
                  <w:vAlign w:val="center"/>
                </w:tcPr>
                <w:p w14:paraId="67FDD095">
                  <w:pPr>
                    <w:adjustRightInd w:val="0"/>
                    <w:snapToGrid w:val="0"/>
                    <w:jc w:val="center"/>
                    <w:rPr>
                      <w:rFonts w:hint="default" w:ascii="Times New Roman" w:hAnsi="Times New Roman" w:cs="Times New Roman"/>
                      <w:i w:val="0"/>
                      <w:iCs w:val="0"/>
                      <w:color w:val="FF0000"/>
                      <w:kern w:val="0"/>
                      <w:sz w:val="21"/>
                      <w:szCs w:val="21"/>
                      <w:u w:val="none"/>
                      <w:lang w:val="en-US" w:eastAsia="zh-CN" w:bidi="ar"/>
                    </w:rPr>
                  </w:pPr>
                  <w:r>
                    <w:rPr>
                      <w:rFonts w:hint="eastAsia" w:cs="Times New Roman"/>
                      <w:b w:val="0"/>
                      <w:bCs w:val="0"/>
                      <w:color w:val="FF0000"/>
                      <w:sz w:val="21"/>
                      <w:szCs w:val="21"/>
                      <w:lang w:val="en-US" w:eastAsia="zh-CN"/>
                    </w:rPr>
                    <w:t>0</w:t>
                  </w:r>
                </w:p>
              </w:tc>
              <w:tc>
                <w:tcPr>
                  <w:tcW w:w="483" w:type="pct"/>
                  <w:tcBorders>
                    <w:tl2br w:val="nil"/>
                    <w:tr2bl w:val="nil"/>
                  </w:tcBorders>
                  <w:noWrap w:val="0"/>
                  <w:vAlign w:val="center"/>
                </w:tcPr>
                <w:p w14:paraId="1B27605F">
                  <w:pPr>
                    <w:adjustRightInd w:val="0"/>
                    <w:snapToGrid w:val="0"/>
                    <w:jc w:val="center"/>
                    <w:rPr>
                      <w:rFonts w:hint="eastAsia" w:cs="Times New Roman"/>
                      <w:b w:val="0"/>
                      <w:bCs w:val="0"/>
                      <w:color w:val="FF0000"/>
                      <w:sz w:val="21"/>
                      <w:szCs w:val="21"/>
                      <w:lang w:val="en-US" w:eastAsia="zh-CN"/>
                    </w:rPr>
                  </w:pPr>
                  <w:r>
                    <w:rPr>
                      <w:rFonts w:hint="eastAsia"/>
                      <w:b w:val="0"/>
                      <w:bCs w:val="0"/>
                      <w:color w:val="FF0000"/>
                      <w:sz w:val="21"/>
                      <w:szCs w:val="21"/>
                      <w:lang w:val="en-US" w:eastAsia="zh-CN"/>
                    </w:rPr>
                    <w:t>0</w:t>
                  </w:r>
                </w:p>
              </w:tc>
              <w:tc>
                <w:tcPr>
                  <w:tcW w:w="569" w:type="pct"/>
                  <w:tcBorders>
                    <w:tl2br w:val="nil"/>
                    <w:tr2bl w:val="nil"/>
                  </w:tcBorders>
                  <w:noWrap w:val="0"/>
                  <w:vAlign w:val="center"/>
                </w:tcPr>
                <w:p w14:paraId="13A97DD5">
                  <w:pPr>
                    <w:adjustRightInd w:val="0"/>
                    <w:snapToGrid w:val="0"/>
                    <w:jc w:val="center"/>
                    <w:rPr>
                      <w:rFonts w:hint="default" w:ascii="Times New Roman" w:hAnsi="Times New Roman" w:cs="Times New Roman"/>
                      <w:i w:val="0"/>
                      <w:iCs w:val="0"/>
                      <w:color w:val="FF0000"/>
                      <w:kern w:val="0"/>
                      <w:sz w:val="21"/>
                      <w:szCs w:val="21"/>
                      <w:u w:val="none"/>
                      <w:lang w:val="en-US" w:eastAsia="zh-CN" w:bidi="ar"/>
                    </w:rPr>
                  </w:pPr>
                  <w:r>
                    <w:rPr>
                      <w:rFonts w:hint="eastAsia"/>
                      <w:bCs/>
                      <w:snapToGrid w:val="0"/>
                      <w:color w:val="FF0000"/>
                      <w:kern w:val="21"/>
                      <w:szCs w:val="21"/>
                      <w:lang w:val="en-US" w:eastAsia="zh-CN"/>
                    </w:rPr>
                    <w:t>800</w:t>
                  </w:r>
                </w:p>
              </w:tc>
              <w:tc>
                <w:tcPr>
                  <w:tcW w:w="481" w:type="pct"/>
                  <w:tcBorders>
                    <w:tl2br w:val="nil"/>
                    <w:tr2bl w:val="nil"/>
                  </w:tcBorders>
                  <w:noWrap w:val="0"/>
                  <w:vAlign w:val="center"/>
                </w:tcPr>
                <w:p w14:paraId="2E06FFE8">
                  <w:pPr>
                    <w:adjustRightInd w:val="0"/>
                    <w:snapToGrid w:val="0"/>
                    <w:jc w:val="center"/>
                    <w:rPr>
                      <w:rFonts w:hint="default" w:ascii="Times New Roman" w:hAnsi="Times New Roman" w:cs="Times New Roman"/>
                      <w:i w:val="0"/>
                      <w:iCs w:val="0"/>
                      <w:color w:val="FF0000"/>
                      <w:kern w:val="0"/>
                      <w:sz w:val="21"/>
                      <w:szCs w:val="21"/>
                      <w:u w:val="none"/>
                      <w:lang w:val="en-US" w:eastAsia="zh-CN" w:bidi="ar"/>
                    </w:rPr>
                  </w:pPr>
                  <w:r>
                    <w:rPr>
                      <w:rFonts w:hint="eastAsia" w:cs="Times New Roman"/>
                      <w:b w:val="0"/>
                      <w:bCs w:val="0"/>
                      <w:color w:val="FF0000"/>
                      <w:sz w:val="21"/>
                      <w:szCs w:val="21"/>
                      <w:lang w:val="en-US" w:eastAsia="zh-CN"/>
                    </w:rPr>
                    <w:t>+0</w:t>
                  </w:r>
                </w:p>
              </w:tc>
            </w:tr>
            <w:tr w14:paraId="6C4EDC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60" w:type="pct"/>
                  <w:vMerge w:val="continue"/>
                  <w:tcBorders>
                    <w:tl2br w:val="nil"/>
                    <w:tr2bl w:val="nil"/>
                  </w:tcBorders>
                  <w:noWrap w:val="0"/>
                  <w:vAlign w:val="center"/>
                </w:tcPr>
                <w:p w14:paraId="0FE97E28">
                  <w:pPr>
                    <w:pStyle w:val="55"/>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FF0000"/>
                      <w:sz w:val="21"/>
                      <w:szCs w:val="21"/>
                      <w:lang w:val="en-US" w:eastAsia="zh-CN"/>
                    </w:rPr>
                  </w:pPr>
                </w:p>
              </w:tc>
              <w:tc>
                <w:tcPr>
                  <w:tcW w:w="196" w:type="pct"/>
                  <w:vMerge w:val="continue"/>
                  <w:tcBorders>
                    <w:tl2br w:val="nil"/>
                    <w:tr2bl w:val="nil"/>
                  </w:tcBorders>
                  <w:noWrap w:val="0"/>
                  <w:vAlign w:val="center"/>
                </w:tcPr>
                <w:p w14:paraId="7C44C003">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color w:val="FF0000"/>
                      <w:sz w:val="21"/>
                      <w:szCs w:val="21"/>
                      <w:lang w:val="en-US" w:eastAsia="zh-CN"/>
                    </w:rPr>
                  </w:pPr>
                </w:p>
              </w:tc>
              <w:tc>
                <w:tcPr>
                  <w:tcW w:w="388" w:type="pct"/>
                  <w:tcBorders>
                    <w:tl2br w:val="nil"/>
                    <w:tr2bl w:val="nil"/>
                  </w:tcBorders>
                  <w:noWrap w:val="0"/>
                  <w:vAlign w:val="center"/>
                </w:tcPr>
                <w:p w14:paraId="37B8796A">
                  <w:pPr>
                    <w:widowControl/>
                    <w:jc w:val="center"/>
                    <w:textAlignment w:val="center"/>
                    <w:rPr>
                      <w:rFonts w:hint="default" w:ascii="Times New Roman" w:hAnsi="Times New Roman" w:cs="Times New Roman"/>
                      <w:color w:val="FF0000"/>
                      <w:sz w:val="21"/>
                      <w:szCs w:val="21"/>
                      <w:lang w:val="en-US" w:eastAsia="zh-CN"/>
                    </w:rPr>
                  </w:pPr>
                  <w:r>
                    <w:rPr>
                      <w:rFonts w:hint="eastAsia"/>
                      <w:color w:val="FF0000"/>
                      <w:kern w:val="0"/>
                      <w:sz w:val="21"/>
                      <w:szCs w:val="21"/>
                      <w:lang w:val="en-US" w:eastAsia="zh-CN" w:bidi="ar"/>
                    </w:rPr>
                    <w:t>废包装袋</w:t>
                  </w:r>
                </w:p>
              </w:tc>
              <w:tc>
                <w:tcPr>
                  <w:tcW w:w="424" w:type="pct"/>
                  <w:tcBorders>
                    <w:tl2br w:val="nil"/>
                    <w:tr2bl w:val="nil"/>
                  </w:tcBorders>
                  <w:noWrap w:val="0"/>
                  <w:vAlign w:val="center"/>
                </w:tcPr>
                <w:p w14:paraId="3A6F2709">
                  <w:pPr>
                    <w:adjustRightInd w:val="0"/>
                    <w:snapToGrid w:val="0"/>
                    <w:jc w:val="center"/>
                    <w:rPr>
                      <w:rFonts w:hint="eastAsia"/>
                      <w:bCs/>
                      <w:snapToGrid w:val="0"/>
                      <w:color w:val="FF0000"/>
                      <w:kern w:val="21"/>
                      <w:szCs w:val="21"/>
                      <w:lang w:val="en-US" w:eastAsia="zh-CN"/>
                    </w:rPr>
                  </w:pPr>
                  <w:r>
                    <w:rPr>
                      <w:rFonts w:hint="eastAsia"/>
                      <w:bCs/>
                      <w:snapToGrid w:val="0"/>
                      <w:color w:val="FF0000"/>
                      <w:kern w:val="21"/>
                      <w:szCs w:val="21"/>
                      <w:lang w:val="en-US" w:eastAsia="zh-CN"/>
                    </w:rPr>
                    <w:t>5</w:t>
                  </w:r>
                </w:p>
              </w:tc>
              <w:tc>
                <w:tcPr>
                  <w:tcW w:w="425" w:type="pct"/>
                  <w:tcBorders>
                    <w:tl2br w:val="nil"/>
                    <w:tr2bl w:val="nil"/>
                  </w:tcBorders>
                  <w:noWrap w:val="0"/>
                  <w:vAlign w:val="center"/>
                </w:tcPr>
                <w:p w14:paraId="6B2B4A8C">
                  <w:pPr>
                    <w:adjustRightInd w:val="0"/>
                    <w:snapToGrid w:val="0"/>
                    <w:jc w:val="center"/>
                    <w:rPr>
                      <w:rFonts w:hint="default"/>
                      <w:bCs/>
                      <w:snapToGrid w:val="0"/>
                      <w:color w:val="FF0000"/>
                      <w:kern w:val="21"/>
                      <w:szCs w:val="21"/>
                      <w:lang w:val="en-US" w:eastAsia="zh-CN"/>
                    </w:rPr>
                  </w:pPr>
                  <w:r>
                    <w:rPr>
                      <w:rFonts w:hint="eastAsia"/>
                      <w:bCs/>
                      <w:snapToGrid w:val="0"/>
                      <w:color w:val="FF0000"/>
                      <w:kern w:val="21"/>
                      <w:szCs w:val="21"/>
                      <w:lang w:val="en-US" w:eastAsia="zh-CN"/>
                    </w:rPr>
                    <w:t>0</w:t>
                  </w:r>
                </w:p>
              </w:tc>
              <w:tc>
                <w:tcPr>
                  <w:tcW w:w="424" w:type="pct"/>
                  <w:tcBorders>
                    <w:tl2br w:val="nil"/>
                    <w:tr2bl w:val="nil"/>
                  </w:tcBorders>
                  <w:noWrap w:val="0"/>
                  <w:vAlign w:val="center"/>
                </w:tcPr>
                <w:p w14:paraId="6496D592">
                  <w:pPr>
                    <w:adjustRightInd w:val="0"/>
                    <w:snapToGrid w:val="0"/>
                    <w:jc w:val="center"/>
                    <w:rPr>
                      <w:rFonts w:hint="default" w:ascii="Times New Roman" w:hAnsi="Times New Roman" w:cs="Times New Roman"/>
                      <w:color w:val="FF0000"/>
                      <w:sz w:val="21"/>
                      <w:szCs w:val="21"/>
                      <w:lang w:val="en-US" w:eastAsia="zh-CN"/>
                    </w:rPr>
                  </w:pPr>
                  <w:r>
                    <w:rPr>
                      <w:rFonts w:hint="eastAsia"/>
                      <w:bCs/>
                      <w:snapToGrid w:val="0"/>
                      <w:color w:val="FF0000"/>
                      <w:kern w:val="21"/>
                      <w:szCs w:val="21"/>
                      <w:lang w:val="en-US" w:eastAsia="zh-CN"/>
                    </w:rPr>
                    <w:t>5</w:t>
                  </w:r>
                </w:p>
              </w:tc>
              <w:tc>
                <w:tcPr>
                  <w:tcW w:w="417" w:type="pct"/>
                  <w:tcBorders>
                    <w:tl2br w:val="nil"/>
                    <w:tr2bl w:val="nil"/>
                  </w:tcBorders>
                  <w:noWrap w:val="0"/>
                  <w:vAlign w:val="center"/>
                </w:tcPr>
                <w:p w14:paraId="2124B9D0">
                  <w:pPr>
                    <w:adjustRightInd w:val="0"/>
                    <w:snapToGrid w:val="0"/>
                    <w:jc w:val="center"/>
                    <w:rPr>
                      <w:rFonts w:hint="eastAsia" w:cs="Times New Roman"/>
                      <w:b w:val="0"/>
                      <w:bCs w:val="0"/>
                      <w:color w:val="FF0000"/>
                      <w:sz w:val="21"/>
                      <w:szCs w:val="21"/>
                      <w:lang w:val="en-US" w:eastAsia="zh-CN"/>
                    </w:rPr>
                  </w:pPr>
                  <w:r>
                    <w:rPr>
                      <w:rFonts w:hint="eastAsia" w:cs="Times New Roman"/>
                      <w:b w:val="0"/>
                      <w:bCs w:val="0"/>
                      <w:color w:val="FF0000"/>
                      <w:sz w:val="21"/>
                      <w:szCs w:val="21"/>
                      <w:lang w:val="en-US" w:eastAsia="zh-CN"/>
                    </w:rPr>
                    <w:t>0</w:t>
                  </w:r>
                </w:p>
              </w:tc>
              <w:tc>
                <w:tcPr>
                  <w:tcW w:w="419" w:type="pct"/>
                  <w:tcBorders>
                    <w:tl2br w:val="nil"/>
                    <w:tr2bl w:val="nil"/>
                  </w:tcBorders>
                  <w:shd w:val="clear" w:color="auto" w:fill="auto"/>
                  <w:noWrap w:val="0"/>
                  <w:vAlign w:val="center"/>
                </w:tcPr>
                <w:p w14:paraId="4EB94388">
                  <w:pPr>
                    <w:adjustRightInd w:val="0"/>
                    <w:snapToGrid w:val="0"/>
                    <w:jc w:val="center"/>
                    <w:rPr>
                      <w:rFonts w:hint="eastAsia" w:ascii="Times New Roman" w:hAnsi="Times New Roman" w:eastAsia="宋体" w:cs="Times New Roman"/>
                      <w:color w:val="FF0000"/>
                      <w:kern w:val="2"/>
                      <w:sz w:val="21"/>
                      <w:szCs w:val="21"/>
                      <w:lang w:val="en-US" w:eastAsia="zh-CN" w:bidi="ar-SA"/>
                    </w:rPr>
                  </w:pPr>
                  <w:r>
                    <w:rPr>
                      <w:rFonts w:hint="eastAsia" w:cs="Times New Roman"/>
                      <w:b w:val="0"/>
                      <w:bCs w:val="0"/>
                      <w:color w:val="FF0000"/>
                      <w:sz w:val="21"/>
                      <w:szCs w:val="21"/>
                      <w:lang w:val="en-US" w:eastAsia="zh-CN"/>
                    </w:rPr>
                    <w:t>0</w:t>
                  </w:r>
                </w:p>
              </w:tc>
              <w:tc>
                <w:tcPr>
                  <w:tcW w:w="509" w:type="pct"/>
                  <w:tcBorders>
                    <w:tl2br w:val="nil"/>
                    <w:tr2bl w:val="nil"/>
                  </w:tcBorders>
                  <w:noWrap w:val="0"/>
                  <w:vAlign w:val="center"/>
                </w:tcPr>
                <w:p w14:paraId="24BCCE03">
                  <w:pPr>
                    <w:adjustRightInd w:val="0"/>
                    <w:snapToGrid w:val="0"/>
                    <w:jc w:val="center"/>
                    <w:rPr>
                      <w:rFonts w:hint="default" w:ascii="Times New Roman" w:hAnsi="Times New Roman" w:cs="Times New Roman"/>
                      <w:i w:val="0"/>
                      <w:iCs w:val="0"/>
                      <w:color w:val="FF0000"/>
                      <w:kern w:val="0"/>
                      <w:sz w:val="21"/>
                      <w:szCs w:val="21"/>
                      <w:u w:val="none"/>
                      <w:lang w:val="en-US" w:eastAsia="zh-CN" w:bidi="ar"/>
                    </w:rPr>
                  </w:pPr>
                  <w:r>
                    <w:rPr>
                      <w:rFonts w:hint="eastAsia" w:cs="Times New Roman"/>
                      <w:b w:val="0"/>
                      <w:bCs w:val="0"/>
                      <w:color w:val="FF0000"/>
                      <w:sz w:val="21"/>
                      <w:szCs w:val="21"/>
                      <w:lang w:val="en-US" w:eastAsia="zh-CN"/>
                    </w:rPr>
                    <w:t>0</w:t>
                  </w:r>
                </w:p>
              </w:tc>
              <w:tc>
                <w:tcPr>
                  <w:tcW w:w="483" w:type="pct"/>
                  <w:tcBorders>
                    <w:tl2br w:val="nil"/>
                    <w:tr2bl w:val="nil"/>
                  </w:tcBorders>
                  <w:noWrap w:val="0"/>
                  <w:vAlign w:val="center"/>
                </w:tcPr>
                <w:p w14:paraId="26B07490">
                  <w:pPr>
                    <w:adjustRightInd w:val="0"/>
                    <w:snapToGrid w:val="0"/>
                    <w:jc w:val="center"/>
                    <w:rPr>
                      <w:rFonts w:hint="eastAsia" w:cs="Times New Roman"/>
                      <w:b w:val="0"/>
                      <w:bCs w:val="0"/>
                      <w:color w:val="FF0000"/>
                      <w:sz w:val="21"/>
                      <w:szCs w:val="21"/>
                      <w:lang w:val="en-US" w:eastAsia="zh-CN"/>
                    </w:rPr>
                  </w:pPr>
                  <w:r>
                    <w:rPr>
                      <w:rFonts w:hint="eastAsia"/>
                      <w:b w:val="0"/>
                      <w:bCs w:val="0"/>
                      <w:color w:val="FF0000"/>
                      <w:sz w:val="21"/>
                      <w:szCs w:val="21"/>
                      <w:lang w:val="en-US" w:eastAsia="zh-CN"/>
                    </w:rPr>
                    <w:t>0</w:t>
                  </w:r>
                </w:p>
              </w:tc>
              <w:tc>
                <w:tcPr>
                  <w:tcW w:w="569" w:type="pct"/>
                  <w:tcBorders>
                    <w:tl2br w:val="nil"/>
                    <w:tr2bl w:val="nil"/>
                  </w:tcBorders>
                  <w:noWrap w:val="0"/>
                  <w:vAlign w:val="center"/>
                </w:tcPr>
                <w:p w14:paraId="4D944272">
                  <w:pPr>
                    <w:adjustRightInd w:val="0"/>
                    <w:snapToGrid w:val="0"/>
                    <w:jc w:val="center"/>
                    <w:rPr>
                      <w:rFonts w:hint="default" w:ascii="Times New Roman" w:hAnsi="Times New Roman" w:cs="Times New Roman"/>
                      <w:i w:val="0"/>
                      <w:iCs w:val="0"/>
                      <w:color w:val="FF0000"/>
                      <w:kern w:val="0"/>
                      <w:sz w:val="21"/>
                      <w:szCs w:val="21"/>
                      <w:u w:val="none"/>
                      <w:lang w:val="en-US" w:eastAsia="zh-CN" w:bidi="ar"/>
                    </w:rPr>
                  </w:pPr>
                  <w:r>
                    <w:rPr>
                      <w:rFonts w:hint="eastAsia"/>
                      <w:bCs/>
                      <w:snapToGrid w:val="0"/>
                      <w:color w:val="FF0000"/>
                      <w:kern w:val="21"/>
                      <w:szCs w:val="21"/>
                      <w:lang w:val="en-US" w:eastAsia="zh-CN"/>
                    </w:rPr>
                    <w:t>5</w:t>
                  </w:r>
                </w:p>
              </w:tc>
              <w:tc>
                <w:tcPr>
                  <w:tcW w:w="481" w:type="pct"/>
                  <w:tcBorders>
                    <w:tl2br w:val="nil"/>
                    <w:tr2bl w:val="nil"/>
                  </w:tcBorders>
                  <w:noWrap w:val="0"/>
                  <w:vAlign w:val="center"/>
                </w:tcPr>
                <w:p w14:paraId="3029E1E2">
                  <w:pPr>
                    <w:adjustRightInd w:val="0"/>
                    <w:snapToGrid w:val="0"/>
                    <w:jc w:val="center"/>
                    <w:rPr>
                      <w:rFonts w:hint="default" w:ascii="Times New Roman" w:hAnsi="Times New Roman" w:cs="Times New Roman"/>
                      <w:i w:val="0"/>
                      <w:iCs w:val="0"/>
                      <w:color w:val="FF0000"/>
                      <w:kern w:val="0"/>
                      <w:sz w:val="21"/>
                      <w:szCs w:val="21"/>
                      <w:u w:val="none"/>
                      <w:lang w:val="en-US" w:eastAsia="zh-CN" w:bidi="ar"/>
                    </w:rPr>
                  </w:pPr>
                  <w:r>
                    <w:rPr>
                      <w:rFonts w:hint="eastAsia" w:cs="Times New Roman"/>
                      <w:b w:val="0"/>
                      <w:bCs w:val="0"/>
                      <w:color w:val="FF0000"/>
                      <w:sz w:val="21"/>
                      <w:szCs w:val="21"/>
                      <w:lang w:val="en-US" w:eastAsia="zh-CN"/>
                    </w:rPr>
                    <w:t>+0</w:t>
                  </w:r>
                </w:p>
              </w:tc>
            </w:tr>
            <w:tr w14:paraId="4650EA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60" w:type="pct"/>
                  <w:vMerge w:val="continue"/>
                  <w:tcBorders>
                    <w:tl2br w:val="nil"/>
                    <w:tr2bl w:val="nil"/>
                  </w:tcBorders>
                  <w:noWrap w:val="0"/>
                  <w:vAlign w:val="center"/>
                </w:tcPr>
                <w:p w14:paraId="38C14CA9">
                  <w:pPr>
                    <w:pStyle w:val="55"/>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FF0000"/>
                      <w:sz w:val="21"/>
                      <w:szCs w:val="21"/>
                      <w:lang w:val="en-US" w:eastAsia="zh-CN"/>
                    </w:rPr>
                  </w:pPr>
                </w:p>
              </w:tc>
              <w:tc>
                <w:tcPr>
                  <w:tcW w:w="196" w:type="pct"/>
                  <w:vMerge w:val="continue"/>
                  <w:tcBorders>
                    <w:tl2br w:val="nil"/>
                    <w:tr2bl w:val="nil"/>
                  </w:tcBorders>
                  <w:noWrap w:val="0"/>
                  <w:vAlign w:val="center"/>
                </w:tcPr>
                <w:p w14:paraId="57B89272">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color w:val="FF0000"/>
                      <w:sz w:val="21"/>
                      <w:szCs w:val="21"/>
                      <w:lang w:val="en-US" w:eastAsia="zh-CN"/>
                    </w:rPr>
                  </w:pPr>
                </w:p>
              </w:tc>
              <w:tc>
                <w:tcPr>
                  <w:tcW w:w="388" w:type="pct"/>
                  <w:tcBorders>
                    <w:tl2br w:val="nil"/>
                    <w:tr2bl w:val="nil"/>
                  </w:tcBorders>
                  <w:noWrap w:val="0"/>
                  <w:vAlign w:val="center"/>
                </w:tcPr>
                <w:p w14:paraId="62DBF357">
                  <w:pPr>
                    <w:widowControl/>
                    <w:jc w:val="center"/>
                    <w:textAlignment w:val="center"/>
                    <w:rPr>
                      <w:rFonts w:hint="default" w:ascii="Times New Roman" w:hAnsi="Times New Roman" w:cs="Times New Roman"/>
                      <w:color w:val="FF0000"/>
                      <w:sz w:val="21"/>
                      <w:szCs w:val="21"/>
                      <w:lang w:val="en-US" w:eastAsia="zh-CN"/>
                    </w:rPr>
                  </w:pPr>
                  <w:r>
                    <w:rPr>
                      <w:rFonts w:hint="eastAsia"/>
                      <w:color w:val="FF0000"/>
                      <w:kern w:val="0"/>
                      <w:sz w:val="21"/>
                      <w:szCs w:val="21"/>
                      <w:lang w:val="en-US" w:eastAsia="zh-CN" w:bidi="ar"/>
                    </w:rPr>
                    <w:t>杂质</w:t>
                  </w:r>
                </w:p>
              </w:tc>
              <w:tc>
                <w:tcPr>
                  <w:tcW w:w="424" w:type="pct"/>
                  <w:tcBorders>
                    <w:tl2br w:val="nil"/>
                    <w:tr2bl w:val="nil"/>
                  </w:tcBorders>
                  <w:noWrap w:val="0"/>
                  <w:vAlign w:val="center"/>
                </w:tcPr>
                <w:p w14:paraId="04776119">
                  <w:pPr>
                    <w:adjustRightInd w:val="0"/>
                    <w:snapToGrid w:val="0"/>
                    <w:jc w:val="center"/>
                    <w:rPr>
                      <w:rFonts w:hint="eastAsia"/>
                      <w:bCs/>
                      <w:snapToGrid w:val="0"/>
                      <w:color w:val="FF0000"/>
                      <w:kern w:val="21"/>
                      <w:szCs w:val="21"/>
                      <w:lang w:val="en-US" w:eastAsia="zh-CN"/>
                    </w:rPr>
                  </w:pPr>
                  <w:r>
                    <w:rPr>
                      <w:rFonts w:hint="eastAsia"/>
                      <w:bCs/>
                      <w:snapToGrid w:val="0"/>
                      <w:color w:val="FF0000"/>
                      <w:kern w:val="21"/>
                      <w:szCs w:val="21"/>
                      <w:lang w:val="en-US" w:eastAsia="zh-CN"/>
                    </w:rPr>
                    <w:t>20</w:t>
                  </w:r>
                </w:p>
              </w:tc>
              <w:tc>
                <w:tcPr>
                  <w:tcW w:w="425" w:type="pct"/>
                  <w:tcBorders>
                    <w:tl2br w:val="nil"/>
                    <w:tr2bl w:val="nil"/>
                  </w:tcBorders>
                  <w:noWrap w:val="0"/>
                  <w:vAlign w:val="center"/>
                </w:tcPr>
                <w:p w14:paraId="6AF4189F">
                  <w:pPr>
                    <w:adjustRightInd w:val="0"/>
                    <w:snapToGrid w:val="0"/>
                    <w:jc w:val="center"/>
                    <w:rPr>
                      <w:rFonts w:hint="default"/>
                      <w:bCs/>
                      <w:snapToGrid w:val="0"/>
                      <w:color w:val="FF0000"/>
                      <w:kern w:val="21"/>
                      <w:szCs w:val="21"/>
                      <w:lang w:val="en-US" w:eastAsia="zh-CN"/>
                    </w:rPr>
                  </w:pPr>
                  <w:r>
                    <w:rPr>
                      <w:rFonts w:hint="eastAsia"/>
                      <w:bCs/>
                      <w:snapToGrid w:val="0"/>
                      <w:color w:val="FF0000"/>
                      <w:kern w:val="21"/>
                      <w:szCs w:val="21"/>
                      <w:lang w:val="en-US" w:eastAsia="zh-CN"/>
                    </w:rPr>
                    <w:t>0</w:t>
                  </w:r>
                </w:p>
              </w:tc>
              <w:tc>
                <w:tcPr>
                  <w:tcW w:w="424" w:type="pct"/>
                  <w:tcBorders>
                    <w:tl2br w:val="nil"/>
                    <w:tr2bl w:val="nil"/>
                  </w:tcBorders>
                  <w:noWrap w:val="0"/>
                  <w:vAlign w:val="center"/>
                </w:tcPr>
                <w:p w14:paraId="51E6546E">
                  <w:pPr>
                    <w:adjustRightInd w:val="0"/>
                    <w:snapToGrid w:val="0"/>
                    <w:jc w:val="center"/>
                    <w:rPr>
                      <w:rFonts w:hint="default" w:ascii="Times New Roman" w:hAnsi="Times New Roman" w:cs="Times New Roman"/>
                      <w:color w:val="FF0000"/>
                      <w:sz w:val="21"/>
                      <w:szCs w:val="21"/>
                      <w:lang w:val="en-US" w:eastAsia="zh-CN"/>
                    </w:rPr>
                  </w:pPr>
                  <w:r>
                    <w:rPr>
                      <w:rFonts w:hint="eastAsia"/>
                      <w:bCs/>
                      <w:snapToGrid w:val="0"/>
                      <w:color w:val="FF0000"/>
                      <w:kern w:val="21"/>
                      <w:szCs w:val="21"/>
                      <w:lang w:val="en-US" w:eastAsia="zh-CN"/>
                    </w:rPr>
                    <w:t>20</w:t>
                  </w:r>
                </w:p>
              </w:tc>
              <w:tc>
                <w:tcPr>
                  <w:tcW w:w="417" w:type="pct"/>
                  <w:tcBorders>
                    <w:tl2br w:val="nil"/>
                    <w:tr2bl w:val="nil"/>
                  </w:tcBorders>
                  <w:noWrap w:val="0"/>
                  <w:vAlign w:val="center"/>
                </w:tcPr>
                <w:p w14:paraId="3DC3F080">
                  <w:pPr>
                    <w:adjustRightInd w:val="0"/>
                    <w:snapToGrid w:val="0"/>
                    <w:jc w:val="center"/>
                    <w:rPr>
                      <w:rFonts w:hint="eastAsia" w:cs="Times New Roman"/>
                      <w:b w:val="0"/>
                      <w:bCs w:val="0"/>
                      <w:color w:val="FF0000"/>
                      <w:sz w:val="21"/>
                      <w:szCs w:val="21"/>
                      <w:lang w:val="en-US" w:eastAsia="zh-CN"/>
                    </w:rPr>
                  </w:pPr>
                  <w:r>
                    <w:rPr>
                      <w:rFonts w:hint="eastAsia" w:cs="Times New Roman"/>
                      <w:b w:val="0"/>
                      <w:bCs w:val="0"/>
                      <w:color w:val="FF0000"/>
                      <w:sz w:val="21"/>
                      <w:szCs w:val="21"/>
                      <w:lang w:val="en-US" w:eastAsia="zh-CN"/>
                    </w:rPr>
                    <w:t>0</w:t>
                  </w:r>
                </w:p>
              </w:tc>
              <w:tc>
                <w:tcPr>
                  <w:tcW w:w="419" w:type="pct"/>
                  <w:tcBorders>
                    <w:tl2br w:val="nil"/>
                    <w:tr2bl w:val="nil"/>
                  </w:tcBorders>
                  <w:shd w:val="clear" w:color="auto" w:fill="auto"/>
                  <w:noWrap w:val="0"/>
                  <w:vAlign w:val="center"/>
                </w:tcPr>
                <w:p w14:paraId="2BABE557">
                  <w:pPr>
                    <w:adjustRightInd w:val="0"/>
                    <w:snapToGrid w:val="0"/>
                    <w:jc w:val="center"/>
                    <w:rPr>
                      <w:rFonts w:hint="eastAsia" w:ascii="Times New Roman" w:hAnsi="Times New Roman" w:eastAsia="宋体" w:cs="Times New Roman"/>
                      <w:color w:val="FF0000"/>
                      <w:kern w:val="2"/>
                      <w:sz w:val="21"/>
                      <w:szCs w:val="21"/>
                      <w:lang w:val="en-US" w:eastAsia="zh-CN" w:bidi="ar-SA"/>
                    </w:rPr>
                  </w:pPr>
                  <w:r>
                    <w:rPr>
                      <w:rFonts w:hint="eastAsia" w:cs="Times New Roman"/>
                      <w:b w:val="0"/>
                      <w:bCs w:val="0"/>
                      <w:color w:val="FF0000"/>
                      <w:sz w:val="21"/>
                      <w:szCs w:val="21"/>
                      <w:lang w:val="en-US" w:eastAsia="zh-CN"/>
                    </w:rPr>
                    <w:t>0</w:t>
                  </w:r>
                </w:p>
              </w:tc>
              <w:tc>
                <w:tcPr>
                  <w:tcW w:w="509" w:type="pct"/>
                  <w:tcBorders>
                    <w:tl2br w:val="nil"/>
                    <w:tr2bl w:val="nil"/>
                  </w:tcBorders>
                  <w:noWrap w:val="0"/>
                  <w:vAlign w:val="center"/>
                </w:tcPr>
                <w:p w14:paraId="450826CE">
                  <w:pPr>
                    <w:adjustRightInd w:val="0"/>
                    <w:snapToGrid w:val="0"/>
                    <w:jc w:val="center"/>
                    <w:rPr>
                      <w:rFonts w:hint="default" w:ascii="Times New Roman" w:hAnsi="Times New Roman" w:cs="Times New Roman"/>
                      <w:i w:val="0"/>
                      <w:iCs w:val="0"/>
                      <w:color w:val="FF0000"/>
                      <w:kern w:val="0"/>
                      <w:sz w:val="21"/>
                      <w:szCs w:val="21"/>
                      <w:u w:val="none"/>
                      <w:lang w:val="en-US" w:eastAsia="zh-CN" w:bidi="ar"/>
                    </w:rPr>
                  </w:pPr>
                  <w:r>
                    <w:rPr>
                      <w:rFonts w:hint="eastAsia" w:cs="Times New Roman"/>
                      <w:b w:val="0"/>
                      <w:bCs w:val="0"/>
                      <w:color w:val="FF0000"/>
                      <w:sz w:val="21"/>
                      <w:szCs w:val="21"/>
                      <w:lang w:val="en-US" w:eastAsia="zh-CN"/>
                    </w:rPr>
                    <w:t>0</w:t>
                  </w:r>
                </w:p>
              </w:tc>
              <w:tc>
                <w:tcPr>
                  <w:tcW w:w="483" w:type="pct"/>
                  <w:tcBorders>
                    <w:tl2br w:val="nil"/>
                    <w:tr2bl w:val="nil"/>
                  </w:tcBorders>
                  <w:noWrap w:val="0"/>
                  <w:vAlign w:val="center"/>
                </w:tcPr>
                <w:p w14:paraId="69CE0A59">
                  <w:pPr>
                    <w:adjustRightInd w:val="0"/>
                    <w:snapToGrid w:val="0"/>
                    <w:jc w:val="center"/>
                    <w:rPr>
                      <w:rFonts w:hint="eastAsia" w:cs="Times New Roman"/>
                      <w:b w:val="0"/>
                      <w:bCs w:val="0"/>
                      <w:color w:val="FF0000"/>
                      <w:sz w:val="21"/>
                      <w:szCs w:val="21"/>
                      <w:lang w:val="en-US" w:eastAsia="zh-CN"/>
                    </w:rPr>
                  </w:pPr>
                  <w:r>
                    <w:rPr>
                      <w:rFonts w:hint="eastAsia"/>
                      <w:b w:val="0"/>
                      <w:bCs w:val="0"/>
                      <w:color w:val="FF0000"/>
                      <w:sz w:val="21"/>
                      <w:szCs w:val="21"/>
                      <w:lang w:val="en-US" w:eastAsia="zh-CN"/>
                    </w:rPr>
                    <w:t>0</w:t>
                  </w:r>
                </w:p>
              </w:tc>
              <w:tc>
                <w:tcPr>
                  <w:tcW w:w="569" w:type="pct"/>
                  <w:tcBorders>
                    <w:tl2br w:val="nil"/>
                    <w:tr2bl w:val="nil"/>
                  </w:tcBorders>
                  <w:noWrap w:val="0"/>
                  <w:vAlign w:val="center"/>
                </w:tcPr>
                <w:p w14:paraId="237EA863">
                  <w:pPr>
                    <w:adjustRightInd w:val="0"/>
                    <w:snapToGrid w:val="0"/>
                    <w:jc w:val="center"/>
                    <w:rPr>
                      <w:rFonts w:hint="default" w:ascii="Times New Roman" w:hAnsi="Times New Roman" w:cs="Times New Roman"/>
                      <w:i w:val="0"/>
                      <w:iCs w:val="0"/>
                      <w:color w:val="FF0000"/>
                      <w:kern w:val="0"/>
                      <w:sz w:val="21"/>
                      <w:szCs w:val="21"/>
                      <w:u w:val="none"/>
                      <w:lang w:val="en-US" w:eastAsia="zh-CN" w:bidi="ar"/>
                    </w:rPr>
                  </w:pPr>
                  <w:r>
                    <w:rPr>
                      <w:rFonts w:hint="eastAsia"/>
                      <w:bCs/>
                      <w:snapToGrid w:val="0"/>
                      <w:color w:val="FF0000"/>
                      <w:kern w:val="21"/>
                      <w:szCs w:val="21"/>
                      <w:lang w:val="en-US" w:eastAsia="zh-CN"/>
                    </w:rPr>
                    <w:t>20</w:t>
                  </w:r>
                </w:p>
              </w:tc>
              <w:tc>
                <w:tcPr>
                  <w:tcW w:w="481" w:type="pct"/>
                  <w:tcBorders>
                    <w:tl2br w:val="nil"/>
                    <w:tr2bl w:val="nil"/>
                  </w:tcBorders>
                  <w:noWrap w:val="0"/>
                  <w:vAlign w:val="center"/>
                </w:tcPr>
                <w:p w14:paraId="6D93922B">
                  <w:pPr>
                    <w:adjustRightInd w:val="0"/>
                    <w:snapToGrid w:val="0"/>
                    <w:jc w:val="center"/>
                    <w:rPr>
                      <w:rFonts w:hint="default" w:ascii="Times New Roman" w:hAnsi="Times New Roman" w:cs="Times New Roman"/>
                      <w:i w:val="0"/>
                      <w:iCs w:val="0"/>
                      <w:color w:val="FF0000"/>
                      <w:kern w:val="0"/>
                      <w:sz w:val="21"/>
                      <w:szCs w:val="21"/>
                      <w:u w:val="none"/>
                      <w:lang w:val="en-US" w:eastAsia="zh-CN" w:bidi="ar"/>
                    </w:rPr>
                  </w:pPr>
                  <w:r>
                    <w:rPr>
                      <w:rFonts w:hint="eastAsia" w:cs="Times New Roman"/>
                      <w:b w:val="0"/>
                      <w:bCs w:val="0"/>
                      <w:color w:val="FF0000"/>
                      <w:sz w:val="21"/>
                      <w:szCs w:val="21"/>
                      <w:lang w:val="en-US" w:eastAsia="zh-CN"/>
                    </w:rPr>
                    <w:t>+0</w:t>
                  </w:r>
                </w:p>
              </w:tc>
            </w:tr>
            <w:tr w14:paraId="4BE2FB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60" w:type="pct"/>
                  <w:vMerge w:val="continue"/>
                  <w:tcBorders>
                    <w:tl2br w:val="nil"/>
                    <w:tr2bl w:val="nil"/>
                  </w:tcBorders>
                  <w:noWrap w:val="0"/>
                  <w:vAlign w:val="center"/>
                </w:tcPr>
                <w:p w14:paraId="16AEFC99">
                  <w:pPr>
                    <w:pStyle w:val="55"/>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FF0000"/>
                      <w:sz w:val="21"/>
                      <w:szCs w:val="21"/>
                      <w:lang w:val="en-US" w:eastAsia="zh-CN"/>
                    </w:rPr>
                  </w:pPr>
                </w:p>
              </w:tc>
              <w:tc>
                <w:tcPr>
                  <w:tcW w:w="196" w:type="pct"/>
                  <w:vMerge w:val="continue"/>
                  <w:tcBorders>
                    <w:tl2br w:val="nil"/>
                    <w:tr2bl w:val="nil"/>
                  </w:tcBorders>
                  <w:noWrap w:val="0"/>
                  <w:vAlign w:val="center"/>
                </w:tcPr>
                <w:p w14:paraId="196D8B99">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color w:val="FF0000"/>
                      <w:sz w:val="21"/>
                      <w:szCs w:val="21"/>
                      <w:lang w:val="en-US" w:eastAsia="zh-CN"/>
                    </w:rPr>
                  </w:pPr>
                </w:p>
              </w:tc>
              <w:tc>
                <w:tcPr>
                  <w:tcW w:w="388" w:type="pct"/>
                  <w:tcBorders>
                    <w:tl2br w:val="nil"/>
                    <w:tr2bl w:val="nil"/>
                  </w:tcBorders>
                  <w:noWrap w:val="0"/>
                  <w:vAlign w:val="center"/>
                </w:tcPr>
                <w:p w14:paraId="647A3A39">
                  <w:pPr>
                    <w:widowControl/>
                    <w:jc w:val="center"/>
                    <w:textAlignment w:val="center"/>
                    <w:rPr>
                      <w:rFonts w:hint="default"/>
                      <w:color w:val="FF0000"/>
                      <w:kern w:val="0"/>
                      <w:sz w:val="21"/>
                      <w:szCs w:val="21"/>
                      <w:lang w:val="en-US" w:eastAsia="zh-CN" w:bidi="ar"/>
                    </w:rPr>
                  </w:pPr>
                  <w:r>
                    <w:rPr>
                      <w:rFonts w:hint="eastAsia"/>
                      <w:color w:val="FF0000"/>
                      <w:kern w:val="0"/>
                      <w:sz w:val="21"/>
                      <w:szCs w:val="21"/>
                      <w:lang w:val="en-US" w:eastAsia="zh-CN" w:bidi="ar"/>
                    </w:rPr>
                    <w:t>废离子交换树脂</w:t>
                  </w:r>
                </w:p>
              </w:tc>
              <w:tc>
                <w:tcPr>
                  <w:tcW w:w="424" w:type="pct"/>
                  <w:tcBorders>
                    <w:tl2br w:val="nil"/>
                    <w:tr2bl w:val="nil"/>
                  </w:tcBorders>
                  <w:noWrap w:val="0"/>
                  <w:vAlign w:val="center"/>
                </w:tcPr>
                <w:p w14:paraId="316B1546">
                  <w:pPr>
                    <w:adjustRightInd w:val="0"/>
                    <w:snapToGrid w:val="0"/>
                    <w:jc w:val="center"/>
                    <w:rPr>
                      <w:rFonts w:hint="default"/>
                      <w:bCs/>
                      <w:snapToGrid w:val="0"/>
                      <w:color w:val="FF0000"/>
                      <w:kern w:val="21"/>
                      <w:szCs w:val="21"/>
                      <w:lang w:val="en-US" w:eastAsia="zh-CN"/>
                    </w:rPr>
                  </w:pPr>
                  <w:r>
                    <w:rPr>
                      <w:rFonts w:hint="eastAsia"/>
                      <w:bCs/>
                      <w:snapToGrid w:val="0"/>
                      <w:color w:val="FF0000"/>
                      <w:kern w:val="21"/>
                      <w:szCs w:val="21"/>
                      <w:lang w:val="en-US" w:eastAsia="zh-CN"/>
                    </w:rPr>
                    <w:t>4</w:t>
                  </w:r>
                </w:p>
              </w:tc>
              <w:tc>
                <w:tcPr>
                  <w:tcW w:w="425" w:type="pct"/>
                  <w:tcBorders>
                    <w:tl2br w:val="nil"/>
                    <w:tr2bl w:val="nil"/>
                  </w:tcBorders>
                  <w:noWrap w:val="0"/>
                  <w:vAlign w:val="center"/>
                </w:tcPr>
                <w:p w14:paraId="43D4625D">
                  <w:pPr>
                    <w:adjustRightInd w:val="0"/>
                    <w:snapToGrid w:val="0"/>
                    <w:jc w:val="center"/>
                    <w:rPr>
                      <w:rFonts w:hint="default"/>
                      <w:bCs/>
                      <w:snapToGrid w:val="0"/>
                      <w:color w:val="FF0000"/>
                      <w:kern w:val="21"/>
                      <w:szCs w:val="21"/>
                      <w:lang w:val="en-US" w:eastAsia="zh-CN"/>
                    </w:rPr>
                  </w:pPr>
                  <w:r>
                    <w:rPr>
                      <w:rFonts w:hint="eastAsia"/>
                      <w:bCs/>
                      <w:snapToGrid w:val="0"/>
                      <w:color w:val="FF0000"/>
                      <w:kern w:val="21"/>
                      <w:szCs w:val="21"/>
                      <w:lang w:val="en-US" w:eastAsia="zh-CN"/>
                    </w:rPr>
                    <w:t>0</w:t>
                  </w:r>
                </w:p>
              </w:tc>
              <w:tc>
                <w:tcPr>
                  <w:tcW w:w="424" w:type="pct"/>
                  <w:tcBorders>
                    <w:tl2br w:val="nil"/>
                    <w:tr2bl w:val="nil"/>
                  </w:tcBorders>
                  <w:noWrap w:val="0"/>
                  <w:vAlign w:val="center"/>
                </w:tcPr>
                <w:p w14:paraId="032EA57B">
                  <w:pPr>
                    <w:adjustRightInd w:val="0"/>
                    <w:snapToGrid w:val="0"/>
                    <w:jc w:val="center"/>
                    <w:rPr>
                      <w:rFonts w:hint="default"/>
                      <w:bCs/>
                      <w:snapToGrid w:val="0"/>
                      <w:color w:val="FF0000"/>
                      <w:kern w:val="21"/>
                      <w:szCs w:val="21"/>
                      <w:lang w:val="en-US" w:eastAsia="zh-CN"/>
                    </w:rPr>
                  </w:pPr>
                  <w:r>
                    <w:rPr>
                      <w:rFonts w:hint="eastAsia"/>
                      <w:bCs/>
                      <w:snapToGrid w:val="0"/>
                      <w:color w:val="FF0000"/>
                      <w:kern w:val="21"/>
                      <w:szCs w:val="21"/>
                      <w:lang w:val="en-US" w:eastAsia="zh-CN"/>
                    </w:rPr>
                    <w:t>4</w:t>
                  </w:r>
                </w:p>
              </w:tc>
              <w:tc>
                <w:tcPr>
                  <w:tcW w:w="417" w:type="pct"/>
                  <w:tcBorders>
                    <w:tl2br w:val="nil"/>
                    <w:tr2bl w:val="nil"/>
                  </w:tcBorders>
                  <w:noWrap w:val="0"/>
                  <w:vAlign w:val="center"/>
                </w:tcPr>
                <w:p w14:paraId="2324858A">
                  <w:pPr>
                    <w:adjustRightInd w:val="0"/>
                    <w:snapToGrid w:val="0"/>
                    <w:jc w:val="center"/>
                    <w:rPr>
                      <w:rFonts w:hint="default" w:cs="Times New Roman"/>
                      <w:b w:val="0"/>
                      <w:bCs w:val="0"/>
                      <w:color w:val="FF0000"/>
                      <w:sz w:val="21"/>
                      <w:szCs w:val="21"/>
                      <w:lang w:val="en-US" w:eastAsia="zh-CN"/>
                    </w:rPr>
                  </w:pPr>
                  <w:r>
                    <w:rPr>
                      <w:rFonts w:hint="eastAsia" w:cs="Times New Roman"/>
                      <w:b w:val="0"/>
                      <w:bCs w:val="0"/>
                      <w:color w:val="FF0000"/>
                      <w:sz w:val="21"/>
                      <w:szCs w:val="21"/>
                      <w:lang w:val="en-US" w:eastAsia="zh-CN"/>
                    </w:rPr>
                    <w:t>0</w:t>
                  </w:r>
                </w:p>
              </w:tc>
              <w:tc>
                <w:tcPr>
                  <w:tcW w:w="419" w:type="pct"/>
                  <w:tcBorders>
                    <w:tl2br w:val="nil"/>
                    <w:tr2bl w:val="nil"/>
                  </w:tcBorders>
                  <w:shd w:val="clear" w:color="auto" w:fill="auto"/>
                  <w:noWrap w:val="0"/>
                  <w:vAlign w:val="center"/>
                </w:tcPr>
                <w:p w14:paraId="3E83BD30">
                  <w:pPr>
                    <w:adjustRightInd w:val="0"/>
                    <w:snapToGrid w:val="0"/>
                    <w:jc w:val="center"/>
                    <w:rPr>
                      <w:rFonts w:hint="default" w:cs="Times New Roman"/>
                      <w:b w:val="0"/>
                      <w:bCs w:val="0"/>
                      <w:color w:val="FF0000"/>
                      <w:sz w:val="21"/>
                      <w:szCs w:val="21"/>
                      <w:lang w:val="en-US" w:eastAsia="zh-CN"/>
                    </w:rPr>
                  </w:pPr>
                  <w:r>
                    <w:rPr>
                      <w:rFonts w:hint="eastAsia" w:cs="Times New Roman"/>
                      <w:b w:val="0"/>
                      <w:bCs w:val="0"/>
                      <w:color w:val="FF0000"/>
                      <w:sz w:val="21"/>
                      <w:szCs w:val="21"/>
                      <w:lang w:val="en-US" w:eastAsia="zh-CN"/>
                    </w:rPr>
                    <w:t>0</w:t>
                  </w:r>
                </w:p>
              </w:tc>
              <w:tc>
                <w:tcPr>
                  <w:tcW w:w="509" w:type="pct"/>
                  <w:tcBorders>
                    <w:tl2br w:val="nil"/>
                    <w:tr2bl w:val="nil"/>
                  </w:tcBorders>
                  <w:noWrap w:val="0"/>
                  <w:vAlign w:val="center"/>
                </w:tcPr>
                <w:p w14:paraId="35DF6D5C">
                  <w:pPr>
                    <w:adjustRightInd w:val="0"/>
                    <w:snapToGrid w:val="0"/>
                    <w:jc w:val="center"/>
                    <w:rPr>
                      <w:rFonts w:hint="default" w:cs="Times New Roman"/>
                      <w:b w:val="0"/>
                      <w:bCs w:val="0"/>
                      <w:color w:val="FF0000"/>
                      <w:sz w:val="21"/>
                      <w:szCs w:val="21"/>
                      <w:lang w:val="en-US" w:eastAsia="zh-CN"/>
                    </w:rPr>
                  </w:pPr>
                  <w:r>
                    <w:rPr>
                      <w:rFonts w:hint="eastAsia" w:cs="Times New Roman"/>
                      <w:b w:val="0"/>
                      <w:bCs w:val="0"/>
                      <w:color w:val="FF0000"/>
                      <w:sz w:val="21"/>
                      <w:szCs w:val="21"/>
                      <w:lang w:val="en-US" w:eastAsia="zh-CN"/>
                    </w:rPr>
                    <w:t>0</w:t>
                  </w:r>
                </w:p>
              </w:tc>
              <w:tc>
                <w:tcPr>
                  <w:tcW w:w="483" w:type="pct"/>
                  <w:tcBorders>
                    <w:tl2br w:val="nil"/>
                    <w:tr2bl w:val="nil"/>
                  </w:tcBorders>
                  <w:noWrap w:val="0"/>
                  <w:vAlign w:val="center"/>
                </w:tcPr>
                <w:p w14:paraId="4D11F832">
                  <w:pPr>
                    <w:adjustRightInd w:val="0"/>
                    <w:snapToGrid w:val="0"/>
                    <w:jc w:val="center"/>
                    <w:rPr>
                      <w:rFonts w:hint="default"/>
                      <w:b w:val="0"/>
                      <w:bCs w:val="0"/>
                      <w:color w:val="FF0000"/>
                      <w:sz w:val="21"/>
                      <w:szCs w:val="21"/>
                      <w:lang w:val="en-US" w:eastAsia="zh-CN"/>
                    </w:rPr>
                  </w:pPr>
                  <w:r>
                    <w:rPr>
                      <w:rFonts w:hint="eastAsia"/>
                      <w:b w:val="0"/>
                      <w:bCs w:val="0"/>
                      <w:color w:val="FF0000"/>
                      <w:sz w:val="21"/>
                      <w:szCs w:val="21"/>
                      <w:lang w:val="en-US" w:eastAsia="zh-CN"/>
                    </w:rPr>
                    <w:t>0</w:t>
                  </w:r>
                </w:p>
              </w:tc>
              <w:tc>
                <w:tcPr>
                  <w:tcW w:w="569" w:type="pct"/>
                  <w:tcBorders>
                    <w:tl2br w:val="nil"/>
                    <w:tr2bl w:val="nil"/>
                  </w:tcBorders>
                  <w:noWrap w:val="0"/>
                  <w:vAlign w:val="center"/>
                </w:tcPr>
                <w:p w14:paraId="34CC99EC">
                  <w:pPr>
                    <w:adjustRightInd w:val="0"/>
                    <w:snapToGrid w:val="0"/>
                    <w:jc w:val="center"/>
                    <w:rPr>
                      <w:rFonts w:hint="default"/>
                      <w:bCs/>
                      <w:snapToGrid w:val="0"/>
                      <w:color w:val="FF0000"/>
                      <w:kern w:val="21"/>
                      <w:szCs w:val="21"/>
                      <w:lang w:val="en-US" w:eastAsia="zh-CN"/>
                    </w:rPr>
                  </w:pPr>
                  <w:r>
                    <w:rPr>
                      <w:rFonts w:hint="eastAsia"/>
                      <w:bCs/>
                      <w:snapToGrid w:val="0"/>
                      <w:color w:val="FF0000"/>
                      <w:kern w:val="21"/>
                      <w:szCs w:val="21"/>
                      <w:lang w:val="en-US" w:eastAsia="zh-CN"/>
                    </w:rPr>
                    <w:t>4</w:t>
                  </w:r>
                </w:p>
              </w:tc>
              <w:tc>
                <w:tcPr>
                  <w:tcW w:w="481" w:type="pct"/>
                  <w:tcBorders>
                    <w:tl2br w:val="nil"/>
                    <w:tr2bl w:val="nil"/>
                  </w:tcBorders>
                  <w:noWrap w:val="0"/>
                  <w:vAlign w:val="center"/>
                </w:tcPr>
                <w:p w14:paraId="70F0FFD0">
                  <w:pPr>
                    <w:adjustRightInd w:val="0"/>
                    <w:snapToGrid w:val="0"/>
                    <w:jc w:val="center"/>
                    <w:rPr>
                      <w:rFonts w:hint="default" w:cs="Times New Roman"/>
                      <w:b w:val="0"/>
                      <w:bCs w:val="0"/>
                      <w:color w:val="FF0000"/>
                      <w:sz w:val="21"/>
                      <w:szCs w:val="21"/>
                      <w:lang w:val="en-US" w:eastAsia="zh-CN"/>
                    </w:rPr>
                  </w:pPr>
                  <w:r>
                    <w:rPr>
                      <w:rFonts w:hint="eastAsia" w:cs="Times New Roman"/>
                      <w:b w:val="0"/>
                      <w:bCs w:val="0"/>
                      <w:color w:val="FF0000"/>
                      <w:sz w:val="21"/>
                      <w:szCs w:val="21"/>
                      <w:lang w:val="en-US" w:eastAsia="zh-CN"/>
                    </w:rPr>
                    <w:t>+0</w:t>
                  </w:r>
                </w:p>
              </w:tc>
            </w:tr>
            <w:tr w14:paraId="1F53D7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60" w:type="pct"/>
                  <w:vMerge w:val="continue"/>
                  <w:tcBorders>
                    <w:tl2br w:val="nil"/>
                    <w:tr2bl w:val="nil"/>
                  </w:tcBorders>
                  <w:noWrap w:val="0"/>
                  <w:vAlign w:val="center"/>
                </w:tcPr>
                <w:p w14:paraId="2F50FCEE">
                  <w:pPr>
                    <w:pStyle w:val="55"/>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FF0000"/>
                      <w:sz w:val="21"/>
                      <w:szCs w:val="21"/>
                      <w:lang w:val="en-US" w:eastAsia="zh-CN"/>
                    </w:rPr>
                  </w:pPr>
                </w:p>
              </w:tc>
              <w:tc>
                <w:tcPr>
                  <w:tcW w:w="196" w:type="pct"/>
                  <w:vMerge w:val="continue"/>
                  <w:tcBorders>
                    <w:tl2br w:val="nil"/>
                    <w:tr2bl w:val="nil"/>
                  </w:tcBorders>
                  <w:noWrap w:val="0"/>
                  <w:vAlign w:val="center"/>
                </w:tcPr>
                <w:p w14:paraId="0B2A20E0">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color w:val="FF0000"/>
                      <w:sz w:val="21"/>
                      <w:szCs w:val="21"/>
                      <w:lang w:val="en-US" w:eastAsia="zh-CN"/>
                    </w:rPr>
                  </w:pPr>
                </w:p>
              </w:tc>
              <w:tc>
                <w:tcPr>
                  <w:tcW w:w="388" w:type="pct"/>
                  <w:tcBorders>
                    <w:tl2br w:val="nil"/>
                    <w:tr2bl w:val="nil"/>
                  </w:tcBorders>
                  <w:noWrap w:val="0"/>
                  <w:vAlign w:val="center"/>
                </w:tcPr>
                <w:p w14:paraId="16B704D7">
                  <w:pPr>
                    <w:widowControl/>
                    <w:jc w:val="center"/>
                    <w:textAlignment w:val="center"/>
                    <w:rPr>
                      <w:rFonts w:hint="default"/>
                      <w:color w:val="FF0000"/>
                      <w:kern w:val="0"/>
                      <w:sz w:val="21"/>
                      <w:szCs w:val="21"/>
                      <w:lang w:val="en-US" w:eastAsia="zh-CN" w:bidi="ar"/>
                    </w:rPr>
                  </w:pPr>
                  <w:r>
                    <w:rPr>
                      <w:rFonts w:hint="eastAsia"/>
                      <w:color w:val="FF0000"/>
                      <w:kern w:val="0"/>
                      <w:sz w:val="21"/>
                      <w:szCs w:val="21"/>
                      <w:lang w:val="en-US" w:eastAsia="zh-CN" w:bidi="ar"/>
                    </w:rPr>
                    <w:t>污水处理污泥</w:t>
                  </w:r>
                </w:p>
              </w:tc>
              <w:tc>
                <w:tcPr>
                  <w:tcW w:w="424" w:type="pct"/>
                  <w:tcBorders>
                    <w:tl2br w:val="nil"/>
                    <w:tr2bl w:val="nil"/>
                  </w:tcBorders>
                  <w:noWrap w:val="0"/>
                  <w:vAlign w:val="center"/>
                </w:tcPr>
                <w:p w14:paraId="1626C015">
                  <w:pPr>
                    <w:adjustRightInd w:val="0"/>
                    <w:snapToGrid w:val="0"/>
                    <w:jc w:val="center"/>
                    <w:rPr>
                      <w:rFonts w:hint="default"/>
                      <w:bCs/>
                      <w:snapToGrid w:val="0"/>
                      <w:color w:val="FF0000"/>
                      <w:kern w:val="21"/>
                      <w:szCs w:val="21"/>
                      <w:lang w:val="en-US" w:eastAsia="zh-CN"/>
                    </w:rPr>
                  </w:pPr>
                  <w:r>
                    <w:rPr>
                      <w:rFonts w:hint="eastAsia"/>
                      <w:bCs/>
                      <w:snapToGrid w:val="0"/>
                      <w:color w:val="FF0000"/>
                      <w:kern w:val="21"/>
                      <w:szCs w:val="21"/>
                      <w:lang w:val="en-US" w:eastAsia="zh-CN"/>
                    </w:rPr>
                    <w:t>2</w:t>
                  </w:r>
                </w:p>
              </w:tc>
              <w:tc>
                <w:tcPr>
                  <w:tcW w:w="425" w:type="pct"/>
                  <w:tcBorders>
                    <w:tl2br w:val="nil"/>
                    <w:tr2bl w:val="nil"/>
                  </w:tcBorders>
                  <w:noWrap w:val="0"/>
                  <w:vAlign w:val="center"/>
                </w:tcPr>
                <w:p w14:paraId="5D6C5545">
                  <w:pPr>
                    <w:adjustRightInd w:val="0"/>
                    <w:snapToGrid w:val="0"/>
                    <w:jc w:val="center"/>
                    <w:rPr>
                      <w:rFonts w:hint="default"/>
                      <w:bCs/>
                      <w:snapToGrid w:val="0"/>
                      <w:color w:val="FF0000"/>
                      <w:kern w:val="21"/>
                      <w:szCs w:val="21"/>
                      <w:lang w:val="en-US" w:eastAsia="zh-CN"/>
                    </w:rPr>
                  </w:pPr>
                  <w:r>
                    <w:rPr>
                      <w:rFonts w:hint="eastAsia"/>
                      <w:bCs/>
                      <w:snapToGrid w:val="0"/>
                      <w:color w:val="FF0000"/>
                      <w:kern w:val="21"/>
                      <w:szCs w:val="21"/>
                      <w:lang w:val="en-US" w:eastAsia="zh-CN"/>
                    </w:rPr>
                    <w:t>0</w:t>
                  </w:r>
                </w:p>
              </w:tc>
              <w:tc>
                <w:tcPr>
                  <w:tcW w:w="424" w:type="pct"/>
                  <w:tcBorders>
                    <w:tl2br w:val="nil"/>
                    <w:tr2bl w:val="nil"/>
                  </w:tcBorders>
                  <w:noWrap w:val="0"/>
                  <w:vAlign w:val="center"/>
                </w:tcPr>
                <w:p w14:paraId="0A741503">
                  <w:pPr>
                    <w:adjustRightInd w:val="0"/>
                    <w:snapToGrid w:val="0"/>
                    <w:jc w:val="center"/>
                    <w:rPr>
                      <w:rFonts w:hint="default"/>
                      <w:bCs/>
                      <w:snapToGrid w:val="0"/>
                      <w:color w:val="FF0000"/>
                      <w:kern w:val="21"/>
                      <w:szCs w:val="21"/>
                      <w:lang w:val="en-US" w:eastAsia="zh-CN"/>
                    </w:rPr>
                  </w:pPr>
                  <w:r>
                    <w:rPr>
                      <w:rFonts w:hint="eastAsia"/>
                      <w:bCs/>
                      <w:snapToGrid w:val="0"/>
                      <w:color w:val="FF0000"/>
                      <w:kern w:val="21"/>
                      <w:szCs w:val="21"/>
                      <w:lang w:val="en-US" w:eastAsia="zh-CN"/>
                    </w:rPr>
                    <w:t>2</w:t>
                  </w:r>
                </w:p>
              </w:tc>
              <w:tc>
                <w:tcPr>
                  <w:tcW w:w="417" w:type="pct"/>
                  <w:tcBorders>
                    <w:tl2br w:val="nil"/>
                    <w:tr2bl w:val="nil"/>
                  </w:tcBorders>
                  <w:noWrap w:val="0"/>
                  <w:vAlign w:val="center"/>
                </w:tcPr>
                <w:p w14:paraId="0D815F7F">
                  <w:pPr>
                    <w:adjustRightInd w:val="0"/>
                    <w:snapToGrid w:val="0"/>
                    <w:jc w:val="center"/>
                    <w:rPr>
                      <w:rFonts w:hint="default" w:cs="Times New Roman"/>
                      <w:b w:val="0"/>
                      <w:bCs w:val="0"/>
                      <w:color w:val="FF0000"/>
                      <w:sz w:val="21"/>
                      <w:szCs w:val="21"/>
                      <w:lang w:val="en-US" w:eastAsia="zh-CN"/>
                    </w:rPr>
                  </w:pPr>
                  <w:r>
                    <w:rPr>
                      <w:rFonts w:hint="eastAsia" w:cs="Times New Roman"/>
                      <w:b w:val="0"/>
                      <w:bCs w:val="0"/>
                      <w:color w:val="FF0000"/>
                      <w:sz w:val="21"/>
                      <w:szCs w:val="21"/>
                      <w:lang w:val="en-US" w:eastAsia="zh-CN"/>
                    </w:rPr>
                    <w:t>0</w:t>
                  </w:r>
                </w:p>
              </w:tc>
              <w:tc>
                <w:tcPr>
                  <w:tcW w:w="419" w:type="pct"/>
                  <w:tcBorders>
                    <w:tl2br w:val="nil"/>
                    <w:tr2bl w:val="nil"/>
                  </w:tcBorders>
                  <w:shd w:val="clear" w:color="auto" w:fill="auto"/>
                  <w:noWrap w:val="0"/>
                  <w:vAlign w:val="center"/>
                </w:tcPr>
                <w:p w14:paraId="1F2D2084">
                  <w:pPr>
                    <w:adjustRightInd w:val="0"/>
                    <w:snapToGrid w:val="0"/>
                    <w:jc w:val="center"/>
                    <w:rPr>
                      <w:rFonts w:hint="default" w:cs="Times New Roman"/>
                      <w:b w:val="0"/>
                      <w:bCs w:val="0"/>
                      <w:color w:val="FF0000"/>
                      <w:sz w:val="21"/>
                      <w:szCs w:val="21"/>
                      <w:lang w:val="en-US" w:eastAsia="zh-CN"/>
                    </w:rPr>
                  </w:pPr>
                  <w:r>
                    <w:rPr>
                      <w:rFonts w:hint="eastAsia" w:cs="Times New Roman"/>
                      <w:b w:val="0"/>
                      <w:bCs w:val="0"/>
                      <w:color w:val="FF0000"/>
                      <w:sz w:val="21"/>
                      <w:szCs w:val="21"/>
                      <w:lang w:val="en-US" w:eastAsia="zh-CN"/>
                    </w:rPr>
                    <w:t>0</w:t>
                  </w:r>
                </w:p>
              </w:tc>
              <w:tc>
                <w:tcPr>
                  <w:tcW w:w="509" w:type="pct"/>
                  <w:tcBorders>
                    <w:tl2br w:val="nil"/>
                    <w:tr2bl w:val="nil"/>
                  </w:tcBorders>
                  <w:noWrap w:val="0"/>
                  <w:vAlign w:val="center"/>
                </w:tcPr>
                <w:p w14:paraId="027E630E">
                  <w:pPr>
                    <w:adjustRightInd w:val="0"/>
                    <w:snapToGrid w:val="0"/>
                    <w:jc w:val="center"/>
                    <w:rPr>
                      <w:rFonts w:hint="default" w:cs="Times New Roman"/>
                      <w:b w:val="0"/>
                      <w:bCs w:val="0"/>
                      <w:color w:val="FF0000"/>
                      <w:sz w:val="21"/>
                      <w:szCs w:val="21"/>
                      <w:lang w:val="en-US" w:eastAsia="zh-CN"/>
                    </w:rPr>
                  </w:pPr>
                  <w:r>
                    <w:rPr>
                      <w:rFonts w:hint="eastAsia" w:cs="Times New Roman"/>
                      <w:b w:val="0"/>
                      <w:bCs w:val="0"/>
                      <w:color w:val="FF0000"/>
                      <w:sz w:val="21"/>
                      <w:szCs w:val="21"/>
                      <w:lang w:val="en-US" w:eastAsia="zh-CN"/>
                    </w:rPr>
                    <w:t>0</w:t>
                  </w:r>
                </w:p>
              </w:tc>
              <w:tc>
                <w:tcPr>
                  <w:tcW w:w="483" w:type="pct"/>
                  <w:tcBorders>
                    <w:tl2br w:val="nil"/>
                    <w:tr2bl w:val="nil"/>
                  </w:tcBorders>
                  <w:noWrap w:val="0"/>
                  <w:vAlign w:val="center"/>
                </w:tcPr>
                <w:p w14:paraId="64FAC562">
                  <w:pPr>
                    <w:adjustRightInd w:val="0"/>
                    <w:snapToGrid w:val="0"/>
                    <w:jc w:val="center"/>
                    <w:rPr>
                      <w:rFonts w:hint="default"/>
                      <w:b w:val="0"/>
                      <w:bCs w:val="0"/>
                      <w:color w:val="FF0000"/>
                      <w:sz w:val="21"/>
                      <w:szCs w:val="21"/>
                      <w:lang w:val="en-US" w:eastAsia="zh-CN"/>
                    </w:rPr>
                  </w:pPr>
                  <w:r>
                    <w:rPr>
                      <w:rFonts w:hint="eastAsia"/>
                      <w:b w:val="0"/>
                      <w:bCs w:val="0"/>
                      <w:color w:val="FF0000"/>
                      <w:sz w:val="21"/>
                      <w:szCs w:val="21"/>
                      <w:lang w:val="en-US" w:eastAsia="zh-CN"/>
                    </w:rPr>
                    <w:t>0</w:t>
                  </w:r>
                </w:p>
              </w:tc>
              <w:tc>
                <w:tcPr>
                  <w:tcW w:w="569" w:type="pct"/>
                  <w:tcBorders>
                    <w:tl2br w:val="nil"/>
                    <w:tr2bl w:val="nil"/>
                  </w:tcBorders>
                  <w:noWrap w:val="0"/>
                  <w:vAlign w:val="center"/>
                </w:tcPr>
                <w:p w14:paraId="572A0900">
                  <w:pPr>
                    <w:adjustRightInd w:val="0"/>
                    <w:snapToGrid w:val="0"/>
                    <w:jc w:val="center"/>
                    <w:rPr>
                      <w:rFonts w:hint="default"/>
                      <w:bCs/>
                      <w:snapToGrid w:val="0"/>
                      <w:color w:val="FF0000"/>
                      <w:kern w:val="21"/>
                      <w:szCs w:val="21"/>
                      <w:lang w:val="en-US" w:eastAsia="zh-CN"/>
                    </w:rPr>
                  </w:pPr>
                  <w:r>
                    <w:rPr>
                      <w:rFonts w:hint="eastAsia"/>
                      <w:bCs/>
                      <w:snapToGrid w:val="0"/>
                      <w:color w:val="FF0000"/>
                      <w:kern w:val="21"/>
                      <w:szCs w:val="21"/>
                      <w:lang w:val="en-US" w:eastAsia="zh-CN"/>
                    </w:rPr>
                    <w:t>2</w:t>
                  </w:r>
                </w:p>
              </w:tc>
              <w:tc>
                <w:tcPr>
                  <w:tcW w:w="481" w:type="pct"/>
                  <w:tcBorders>
                    <w:tl2br w:val="nil"/>
                    <w:tr2bl w:val="nil"/>
                  </w:tcBorders>
                  <w:noWrap w:val="0"/>
                  <w:vAlign w:val="center"/>
                </w:tcPr>
                <w:p w14:paraId="24C4AC23">
                  <w:pPr>
                    <w:adjustRightInd w:val="0"/>
                    <w:snapToGrid w:val="0"/>
                    <w:jc w:val="center"/>
                    <w:rPr>
                      <w:rFonts w:hint="eastAsia" w:cs="Times New Roman"/>
                      <w:b w:val="0"/>
                      <w:bCs w:val="0"/>
                      <w:color w:val="FF0000"/>
                      <w:sz w:val="21"/>
                      <w:szCs w:val="21"/>
                      <w:lang w:val="en-US" w:eastAsia="zh-CN"/>
                    </w:rPr>
                  </w:pPr>
                  <w:r>
                    <w:rPr>
                      <w:rFonts w:hint="eastAsia" w:cs="Times New Roman"/>
                      <w:b w:val="0"/>
                      <w:bCs w:val="0"/>
                      <w:color w:val="FF0000"/>
                      <w:sz w:val="21"/>
                      <w:szCs w:val="21"/>
                      <w:lang w:val="en-US" w:eastAsia="zh-CN"/>
                    </w:rPr>
                    <w:t>+0</w:t>
                  </w:r>
                </w:p>
              </w:tc>
            </w:tr>
            <w:tr w14:paraId="503886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60" w:type="pct"/>
                  <w:vMerge w:val="continue"/>
                  <w:tcBorders>
                    <w:tl2br w:val="nil"/>
                    <w:tr2bl w:val="nil"/>
                  </w:tcBorders>
                  <w:noWrap w:val="0"/>
                  <w:vAlign w:val="center"/>
                </w:tcPr>
                <w:p w14:paraId="17E808C9">
                  <w:pPr>
                    <w:pStyle w:val="55"/>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FF0000"/>
                      <w:sz w:val="21"/>
                      <w:szCs w:val="21"/>
                      <w:lang w:val="en-US" w:eastAsia="zh-CN"/>
                    </w:rPr>
                  </w:pPr>
                </w:p>
              </w:tc>
              <w:tc>
                <w:tcPr>
                  <w:tcW w:w="584" w:type="pct"/>
                  <w:gridSpan w:val="2"/>
                  <w:tcBorders>
                    <w:tl2br w:val="nil"/>
                    <w:tr2bl w:val="nil"/>
                  </w:tcBorders>
                  <w:noWrap w:val="0"/>
                  <w:vAlign w:val="center"/>
                </w:tcPr>
                <w:p w14:paraId="3ACF8D4B">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color w:val="FF0000"/>
                      <w:sz w:val="21"/>
                      <w:szCs w:val="21"/>
                      <w:lang w:val="en-US" w:eastAsia="zh-CN"/>
                    </w:rPr>
                  </w:pPr>
                  <w:r>
                    <w:rPr>
                      <w:rFonts w:hint="eastAsia" w:ascii="Times New Roman" w:hAnsi="Times New Roman" w:cs="Times New Roman"/>
                      <w:color w:val="FF0000"/>
                      <w:sz w:val="21"/>
                      <w:szCs w:val="21"/>
                      <w:lang w:val="en-US" w:eastAsia="zh-CN"/>
                    </w:rPr>
                    <w:t>生活垃圾</w:t>
                  </w:r>
                </w:p>
              </w:tc>
              <w:tc>
                <w:tcPr>
                  <w:tcW w:w="424" w:type="pct"/>
                  <w:tcBorders>
                    <w:tl2br w:val="nil"/>
                    <w:tr2bl w:val="nil"/>
                  </w:tcBorders>
                  <w:noWrap w:val="0"/>
                  <w:vAlign w:val="center"/>
                </w:tcPr>
                <w:p w14:paraId="4C2D6986">
                  <w:pPr>
                    <w:adjustRightInd w:val="0"/>
                    <w:snapToGrid w:val="0"/>
                    <w:jc w:val="center"/>
                    <w:rPr>
                      <w:rFonts w:hint="eastAsia"/>
                      <w:bCs/>
                      <w:snapToGrid w:val="0"/>
                      <w:color w:val="FF0000"/>
                      <w:kern w:val="21"/>
                      <w:szCs w:val="21"/>
                      <w:lang w:val="en-US" w:eastAsia="zh-CN"/>
                    </w:rPr>
                  </w:pPr>
                  <w:r>
                    <w:rPr>
                      <w:rFonts w:hint="eastAsia"/>
                      <w:bCs/>
                      <w:snapToGrid w:val="0"/>
                      <w:color w:val="FF0000"/>
                      <w:kern w:val="21"/>
                      <w:szCs w:val="21"/>
                      <w:lang w:val="en-US" w:eastAsia="zh-CN"/>
                    </w:rPr>
                    <w:t>22.5</w:t>
                  </w:r>
                </w:p>
              </w:tc>
              <w:tc>
                <w:tcPr>
                  <w:tcW w:w="425" w:type="pct"/>
                  <w:tcBorders>
                    <w:tl2br w:val="nil"/>
                    <w:tr2bl w:val="nil"/>
                  </w:tcBorders>
                  <w:noWrap w:val="0"/>
                  <w:vAlign w:val="center"/>
                </w:tcPr>
                <w:p w14:paraId="5448C715">
                  <w:pPr>
                    <w:adjustRightInd w:val="0"/>
                    <w:snapToGrid w:val="0"/>
                    <w:jc w:val="center"/>
                    <w:rPr>
                      <w:rFonts w:hint="default"/>
                      <w:bCs/>
                      <w:snapToGrid w:val="0"/>
                      <w:color w:val="FF0000"/>
                      <w:kern w:val="21"/>
                      <w:szCs w:val="21"/>
                      <w:lang w:val="en-US" w:eastAsia="zh-CN"/>
                    </w:rPr>
                  </w:pPr>
                  <w:r>
                    <w:rPr>
                      <w:rFonts w:hint="eastAsia"/>
                      <w:bCs/>
                      <w:snapToGrid w:val="0"/>
                      <w:color w:val="FF0000"/>
                      <w:kern w:val="21"/>
                      <w:szCs w:val="21"/>
                      <w:lang w:val="en-US" w:eastAsia="zh-CN"/>
                    </w:rPr>
                    <w:t>0</w:t>
                  </w:r>
                </w:p>
              </w:tc>
              <w:tc>
                <w:tcPr>
                  <w:tcW w:w="424" w:type="pct"/>
                  <w:tcBorders>
                    <w:tl2br w:val="nil"/>
                    <w:tr2bl w:val="nil"/>
                  </w:tcBorders>
                  <w:noWrap w:val="0"/>
                  <w:vAlign w:val="center"/>
                </w:tcPr>
                <w:p w14:paraId="7D3CCAAC">
                  <w:pPr>
                    <w:adjustRightInd w:val="0"/>
                    <w:snapToGrid w:val="0"/>
                    <w:jc w:val="center"/>
                    <w:rPr>
                      <w:rFonts w:hint="default" w:ascii="Times New Roman" w:hAnsi="Times New Roman" w:cs="Times New Roman"/>
                      <w:color w:val="FF0000"/>
                      <w:sz w:val="21"/>
                      <w:szCs w:val="21"/>
                      <w:lang w:val="en-US" w:eastAsia="zh-CN"/>
                    </w:rPr>
                  </w:pPr>
                  <w:r>
                    <w:rPr>
                      <w:rFonts w:hint="eastAsia"/>
                      <w:bCs/>
                      <w:snapToGrid w:val="0"/>
                      <w:color w:val="FF0000"/>
                      <w:kern w:val="21"/>
                      <w:szCs w:val="21"/>
                      <w:lang w:val="en-US" w:eastAsia="zh-CN"/>
                    </w:rPr>
                    <w:t>22.5</w:t>
                  </w:r>
                </w:p>
              </w:tc>
              <w:tc>
                <w:tcPr>
                  <w:tcW w:w="417" w:type="pct"/>
                  <w:tcBorders>
                    <w:tl2br w:val="nil"/>
                    <w:tr2bl w:val="nil"/>
                  </w:tcBorders>
                  <w:noWrap w:val="0"/>
                  <w:vAlign w:val="center"/>
                </w:tcPr>
                <w:p w14:paraId="79CDE398">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cs="Times New Roman"/>
                      <w:i w:val="0"/>
                      <w:iCs w:val="0"/>
                      <w:color w:val="FF0000"/>
                      <w:kern w:val="0"/>
                      <w:sz w:val="21"/>
                      <w:szCs w:val="21"/>
                      <w:u w:val="none"/>
                      <w:lang w:val="en-US" w:eastAsia="zh-CN" w:bidi="ar"/>
                    </w:rPr>
                  </w:pPr>
                  <w:r>
                    <w:rPr>
                      <w:rFonts w:hint="eastAsia" w:ascii="Times New Roman" w:hAnsi="Times New Roman" w:cs="Times New Roman"/>
                      <w:i w:val="0"/>
                      <w:iCs w:val="0"/>
                      <w:color w:val="FF0000"/>
                      <w:kern w:val="0"/>
                      <w:sz w:val="21"/>
                      <w:szCs w:val="21"/>
                      <w:u w:val="none"/>
                      <w:lang w:val="en-US" w:eastAsia="zh-CN" w:bidi="ar"/>
                    </w:rPr>
                    <w:t>0</w:t>
                  </w:r>
                </w:p>
              </w:tc>
              <w:tc>
                <w:tcPr>
                  <w:tcW w:w="419" w:type="pct"/>
                  <w:tcBorders>
                    <w:tl2br w:val="nil"/>
                    <w:tr2bl w:val="nil"/>
                  </w:tcBorders>
                  <w:shd w:val="clear" w:color="auto" w:fill="auto"/>
                  <w:noWrap w:val="0"/>
                  <w:vAlign w:val="center"/>
                </w:tcPr>
                <w:p w14:paraId="7A543CA0">
                  <w:pPr>
                    <w:adjustRightInd w:val="0"/>
                    <w:snapToGrid w:val="0"/>
                    <w:jc w:val="center"/>
                    <w:rPr>
                      <w:rFonts w:hint="eastAsia" w:ascii="Times New Roman" w:hAnsi="Times New Roman" w:eastAsia="宋体" w:cs="Times New Roman"/>
                      <w:color w:val="FF0000"/>
                      <w:kern w:val="2"/>
                      <w:sz w:val="21"/>
                      <w:szCs w:val="21"/>
                      <w:lang w:val="en-US" w:eastAsia="zh-CN" w:bidi="ar-SA"/>
                    </w:rPr>
                  </w:pPr>
                  <w:r>
                    <w:rPr>
                      <w:rFonts w:hint="eastAsia" w:cs="Times New Roman"/>
                      <w:b w:val="0"/>
                      <w:bCs w:val="0"/>
                      <w:color w:val="FF0000"/>
                      <w:sz w:val="21"/>
                      <w:szCs w:val="21"/>
                      <w:lang w:val="en-US" w:eastAsia="zh-CN"/>
                    </w:rPr>
                    <w:t>0</w:t>
                  </w:r>
                </w:p>
              </w:tc>
              <w:tc>
                <w:tcPr>
                  <w:tcW w:w="509" w:type="pct"/>
                  <w:tcBorders>
                    <w:tl2br w:val="nil"/>
                    <w:tr2bl w:val="nil"/>
                  </w:tcBorders>
                  <w:noWrap w:val="0"/>
                  <w:vAlign w:val="center"/>
                </w:tcPr>
                <w:p w14:paraId="7E61A6D7">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i w:val="0"/>
                      <w:iCs w:val="0"/>
                      <w:color w:val="FF0000"/>
                      <w:kern w:val="0"/>
                      <w:sz w:val="21"/>
                      <w:szCs w:val="21"/>
                      <w:u w:val="none"/>
                      <w:lang w:val="en-US" w:eastAsia="zh-CN" w:bidi="ar"/>
                    </w:rPr>
                  </w:pPr>
                  <w:r>
                    <w:rPr>
                      <w:rFonts w:hint="eastAsia" w:ascii="Times New Roman" w:hAnsi="Times New Roman" w:cs="Times New Roman"/>
                      <w:i w:val="0"/>
                      <w:iCs w:val="0"/>
                      <w:color w:val="FF0000"/>
                      <w:kern w:val="0"/>
                      <w:sz w:val="21"/>
                      <w:szCs w:val="21"/>
                      <w:u w:val="none"/>
                      <w:lang w:val="en-US" w:eastAsia="zh-CN" w:bidi="ar"/>
                    </w:rPr>
                    <w:t>0</w:t>
                  </w:r>
                </w:p>
              </w:tc>
              <w:tc>
                <w:tcPr>
                  <w:tcW w:w="483" w:type="pct"/>
                  <w:tcBorders>
                    <w:tl2br w:val="nil"/>
                    <w:tr2bl w:val="nil"/>
                  </w:tcBorders>
                  <w:noWrap w:val="0"/>
                  <w:vAlign w:val="center"/>
                </w:tcPr>
                <w:p w14:paraId="4D8966E0">
                  <w:pPr>
                    <w:adjustRightInd w:val="0"/>
                    <w:snapToGrid w:val="0"/>
                    <w:jc w:val="center"/>
                    <w:rPr>
                      <w:rFonts w:hint="eastAsia" w:ascii="Times New Roman" w:hAnsi="Times New Roman" w:cs="Times New Roman"/>
                      <w:i w:val="0"/>
                      <w:iCs w:val="0"/>
                      <w:color w:val="FF0000"/>
                      <w:kern w:val="0"/>
                      <w:sz w:val="21"/>
                      <w:szCs w:val="21"/>
                      <w:u w:val="none"/>
                      <w:lang w:val="en-US" w:eastAsia="zh-CN" w:bidi="ar"/>
                    </w:rPr>
                  </w:pPr>
                  <w:r>
                    <w:rPr>
                      <w:rFonts w:hint="eastAsia"/>
                      <w:b w:val="0"/>
                      <w:bCs w:val="0"/>
                      <w:color w:val="FF0000"/>
                      <w:sz w:val="21"/>
                      <w:szCs w:val="21"/>
                      <w:lang w:val="en-US" w:eastAsia="zh-CN"/>
                    </w:rPr>
                    <w:t>0</w:t>
                  </w:r>
                </w:p>
              </w:tc>
              <w:tc>
                <w:tcPr>
                  <w:tcW w:w="569" w:type="pct"/>
                  <w:tcBorders>
                    <w:tl2br w:val="nil"/>
                    <w:tr2bl w:val="nil"/>
                  </w:tcBorders>
                  <w:noWrap w:val="0"/>
                  <w:vAlign w:val="center"/>
                </w:tcPr>
                <w:p w14:paraId="628A0C0E">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i w:val="0"/>
                      <w:iCs w:val="0"/>
                      <w:color w:val="FF0000"/>
                      <w:kern w:val="0"/>
                      <w:sz w:val="21"/>
                      <w:szCs w:val="21"/>
                      <w:u w:val="none"/>
                      <w:lang w:val="en-US" w:eastAsia="zh-CN" w:bidi="ar"/>
                    </w:rPr>
                  </w:pPr>
                  <w:r>
                    <w:rPr>
                      <w:rFonts w:hint="eastAsia" w:ascii="Times New Roman" w:hAnsi="Times New Roman" w:cs="Times New Roman"/>
                      <w:i w:val="0"/>
                      <w:iCs w:val="0"/>
                      <w:color w:val="FF0000"/>
                      <w:kern w:val="0"/>
                      <w:sz w:val="21"/>
                      <w:szCs w:val="21"/>
                      <w:u w:val="none"/>
                      <w:lang w:val="en-US" w:eastAsia="zh-CN" w:bidi="ar"/>
                    </w:rPr>
                    <w:t>22.5</w:t>
                  </w:r>
                </w:p>
              </w:tc>
              <w:tc>
                <w:tcPr>
                  <w:tcW w:w="481" w:type="pct"/>
                  <w:tcBorders>
                    <w:tl2br w:val="nil"/>
                    <w:tr2bl w:val="nil"/>
                  </w:tcBorders>
                  <w:shd w:val="clear" w:color="auto" w:fill="auto"/>
                  <w:noWrap w:val="0"/>
                  <w:vAlign w:val="center"/>
                </w:tcPr>
                <w:p w14:paraId="1B4342C2">
                  <w:pPr>
                    <w:adjustRightInd w:val="0"/>
                    <w:snapToGrid w:val="0"/>
                    <w:jc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cs="Times New Roman"/>
                      <w:b w:val="0"/>
                      <w:bCs w:val="0"/>
                      <w:color w:val="FF0000"/>
                      <w:sz w:val="21"/>
                      <w:szCs w:val="21"/>
                      <w:lang w:val="en-US" w:eastAsia="zh-CN"/>
                    </w:rPr>
                    <w:t>+0</w:t>
                  </w:r>
                </w:p>
              </w:tc>
            </w:tr>
          </w:tbl>
          <w:p w14:paraId="5DF7C3FA">
            <w:pPr>
              <w:pStyle w:val="58"/>
              <w:adjustRightInd w:val="0"/>
              <w:snapToGrid w:val="0"/>
              <w:ind w:firstLine="0" w:firstLineChars="0"/>
            </w:pPr>
            <w:r>
              <w:rPr>
                <w:rFonts w:hint="eastAsia"/>
                <w:b/>
                <w:bCs/>
                <w:color w:val="000000" w:themeColor="text1"/>
                <w:sz w:val="21"/>
                <w:szCs w:val="21"/>
                <w:lang w:val="en-US" w:eastAsia="zh-CN"/>
                <w14:textFill>
                  <w14:solidFill>
                    <w14:schemeClr w14:val="tx1"/>
                  </w14:solidFill>
                </w14:textFill>
              </w:rPr>
              <w:t>备注：废气颗粒物为锅炉运行时产生的锅炉烟气，粉尘为产品生产过程中产生的工艺废气。</w:t>
            </w:r>
          </w:p>
        </w:tc>
      </w:tr>
    </w:tbl>
    <w:p w14:paraId="1471FF9E">
      <w:pPr>
        <w:pStyle w:val="6"/>
        <w:sectPr>
          <w:pgSz w:w="11907" w:h="16840"/>
          <w:pgMar w:top="1701" w:right="1531" w:bottom="2127"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43272ACF">
      <w:pPr>
        <w:pStyle w:val="23"/>
        <w:spacing w:before="0" w:beforeAutospacing="0" w:after="0" w:afterAutospacing="0"/>
        <w:jc w:val="center"/>
        <w:outlineLvl w:val="0"/>
        <w:rPr>
          <w:rFonts w:ascii="Times New Roman" w:hAnsi="Times New Roman"/>
          <w:snapToGrid w:val="0"/>
          <w:sz w:val="30"/>
          <w:szCs w:val="30"/>
        </w:rPr>
      </w:pPr>
      <w:r>
        <w:rPr>
          <w:rFonts w:ascii="Times New Roman" w:hAnsi="Times New Roman"/>
          <w:snapToGrid w:val="0"/>
          <w:sz w:val="30"/>
          <w:szCs w:val="30"/>
        </w:rPr>
        <w:t>五、环境保护措施监督检查清单</w:t>
      </w:r>
    </w:p>
    <w:tbl>
      <w:tblPr>
        <w:tblStyle w:val="2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91"/>
        <w:gridCol w:w="1452"/>
        <w:gridCol w:w="1180"/>
        <w:gridCol w:w="1398"/>
        <w:gridCol w:w="2098"/>
        <w:gridCol w:w="1842"/>
      </w:tblGrid>
      <w:tr w14:paraId="7CB3E5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91" w:type="dxa"/>
            <w:tcBorders>
              <w:tl2br w:val="single" w:color="auto" w:sz="4" w:space="0"/>
            </w:tcBorders>
            <w:vAlign w:val="center"/>
          </w:tcPr>
          <w:p w14:paraId="1A8049AE">
            <w:pPr>
              <w:pStyle w:val="23"/>
              <w:spacing w:before="0" w:beforeAutospacing="0" w:after="0" w:afterAutospacing="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内容</w:t>
            </w:r>
          </w:p>
          <w:p w14:paraId="6CD17A93">
            <w:pPr>
              <w:pStyle w:val="23"/>
              <w:spacing w:before="0" w:beforeAutospacing="0" w:after="0" w:afterAutospacing="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要素</w:t>
            </w:r>
          </w:p>
        </w:tc>
        <w:tc>
          <w:tcPr>
            <w:tcW w:w="1452" w:type="dxa"/>
            <w:vAlign w:val="center"/>
          </w:tcPr>
          <w:p w14:paraId="53DE6CA1">
            <w:pPr>
              <w:pStyle w:val="23"/>
              <w:spacing w:before="0" w:beforeAutospacing="0" w:after="0" w:afterAutospacing="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排放口（编号、名称）/污染源</w:t>
            </w:r>
          </w:p>
        </w:tc>
        <w:tc>
          <w:tcPr>
            <w:tcW w:w="2578" w:type="dxa"/>
            <w:gridSpan w:val="2"/>
            <w:vAlign w:val="center"/>
          </w:tcPr>
          <w:p w14:paraId="01235FC0">
            <w:pPr>
              <w:pStyle w:val="23"/>
              <w:spacing w:before="0" w:beforeAutospacing="0" w:after="0" w:afterAutospacing="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污染物项目</w:t>
            </w:r>
          </w:p>
        </w:tc>
        <w:tc>
          <w:tcPr>
            <w:tcW w:w="2098" w:type="dxa"/>
            <w:vAlign w:val="center"/>
          </w:tcPr>
          <w:p w14:paraId="0052518B">
            <w:pPr>
              <w:pStyle w:val="23"/>
              <w:spacing w:before="0" w:beforeAutospacing="0" w:after="0" w:afterAutospacing="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环境保护措施</w:t>
            </w:r>
          </w:p>
        </w:tc>
        <w:tc>
          <w:tcPr>
            <w:tcW w:w="1842" w:type="dxa"/>
            <w:vAlign w:val="center"/>
          </w:tcPr>
          <w:p w14:paraId="3D832F59">
            <w:pPr>
              <w:pStyle w:val="23"/>
              <w:spacing w:before="0" w:beforeAutospacing="0" w:after="0" w:afterAutospacing="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执行标准</w:t>
            </w:r>
          </w:p>
        </w:tc>
      </w:tr>
      <w:tr w14:paraId="2BE5A1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091" w:type="dxa"/>
            <w:vMerge w:val="restart"/>
            <w:vAlign w:val="center"/>
          </w:tcPr>
          <w:p w14:paraId="0A2D1A53">
            <w:pPr>
              <w:pStyle w:val="23"/>
              <w:spacing w:before="0" w:beforeAutospacing="0" w:after="0" w:afterAutospacing="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大气环境</w:t>
            </w:r>
          </w:p>
        </w:tc>
        <w:tc>
          <w:tcPr>
            <w:tcW w:w="1452" w:type="dxa"/>
            <w:vMerge w:val="restart"/>
            <w:vAlign w:val="center"/>
          </w:tcPr>
          <w:p w14:paraId="1A9CEFD5">
            <w:pPr>
              <w:pStyle w:val="9"/>
              <w:spacing w:line="240" w:lineRule="auto"/>
              <w:ind w:left="0" w:firstLine="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有组织废气</w:t>
            </w:r>
          </w:p>
        </w:tc>
        <w:tc>
          <w:tcPr>
            <w:tcW w:w="1180" w:type="dxa"/>
            <w:vAlign w:val="center"/>
          </w:tcPr>
          <w:p w14:paraId="16B9AD89">
            <w:pPr>
              <w:pStyle w:val="42"/>
              <w:keepNext w:val="0"/>
              <w:keepLines w:val="0"/>
              <w:pageBreakBefore w:val="0"/>
              <w:widowControl/>
              <w:kinsoku/>
              <w:wordWrap/>
              <w:overflowPunct/>
              <w:topLinePunct w:val="0"/>
              <w:autoSpaceDE/>
              <w:autoSpaceDN/>
              <w:bidi w:val="0"/>
              <w:adjustRightInd w:val="0"/>
              <w:snapToGrid w:val="0"/>
              <w:spacing w:before="0" w:beforeLines="0" w:beforeAutospacing="0" w:after="0" w:afterLines="0" w:line="240" w:lineRule="auto"/>
              <w:ind w:right="0"/>
              <w:textAlignment w:val="auto"/>
              <w:rPr>
                <w:rFonts w:hint="default" w:ascii="Times New Roman" w:hAnsi="Times New Roman" w:eastAsia="宋体" w:cs="Times New Roman"/>
                <w:b w:val="0"/>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color w:val="000000" w:themeColor="text1"/>
                <w:sz w:val="21"/>
                <w:szCs w:val="21"/>
                <w:vertAlign w:val="baseline"/>
                <w:lang w:val="en-US" w:eastAsia="zh-CN"/>
                <w14:textFill>
                  <w14:solidFill>
                    <w14:schemeClr w14:val="tx1"/>
                  </w14:solidFill>
                </w14:textFill>
              </w:rPr>
              <w:t>锅炉烟气</w:t>
            </w:r>
          </w:p>
        </w:tc>
        <w:tc>
          <w:tcPr>
            <w:tcW w:w="1398" w:type="dxa"/>
            <w:vAlign w:val="center"/>
          </w:tcPr>
          <w:p w14:paraId="68DBEF76">
            <w:pPr>
              <w:pStyle w:val="42"/>
              <w:keepNext w:val="0"/>
              <w:keepLines w:val="0"/>
              <w:pageBreakBefore w:val="0"/>
              <w:widowControl/>
              <w:kinsoku/>
              <w:wordWrap/>
              <w:overflowPunct/>
              <w:topLinePunct w:val="0"/>
              <w:autoSpaceDE/>
              <w:autoSpaceDN/>
              <w:bidi w:val="0"/>
              <w:adjustRightInd w:val="0"/>
              <w:snapToGrid w:val="0"/>
              <w:spacing w:before="0" w:beforeLines="0" w:beforeAutospacing="0" w:after="0" w:afterLines="0" w:line="240" w:lineRule="auto"/>
              <w:ind w:right="0"/>
              <w:textAlignment w:val="auto"/>
              <w:rPr>
                <w:rFonts w:hint="default" w:ascii="Times New Roman" w:hAnsi="Times New Roman" w:eastAsia="宋体" w:cs="Times New Roman"/>
                <w:b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color w:val="000000" w:themeColor="text1"/>
                <w:sz w:val="21"/>
                <w:szCs w:val="21"/>
                <w:lang w:val="en-US" w:eastAsia="zh-CN"/>
                <w14:textFill>
                  <w14:solidFill>
                    <w14:schemeClr w14:val="tx1"/>
                  </w14:solidFill>
                </w14:textFill>
              </w:rPr>
              <w:t>颗粒物、SO</w:t>
            </w:r>
            <w:r>
              <w:rPr>
                <w:rFonts w:hint="default" w:ascii="Times New Roman" w:hAnsi="Times New Roman" w:eastAsia="宋体" w:cs="Times New Roman"/>
                <w:b w:val="0"/>
                <w:color w:val="000000" w:themeColor="text1"/>
                <w:sz w:val="21"/>
                <w:szCs w:val="21"/>
                <w:vertAlign w:val="subscript"/>
                <w:lang w:val="en-US" w:eastAsia="zh-CN"/>
                <w14:textFill>
                  <w14:solidFill>
                    <w14:schemeClr w14:val="tx1"/>
                  </w14:solidFill>
                </w14:textFill>
              </w:rPr>
              <w:t>2</w:t>
            </w:r>
            <w:r>
              <w:rPr>
                <w:rFonts w:hint="default" w:ascii="Times New Roman" w:hAnsi="Times New Roman" w:eastAsia="宋体" w:cs="Times New Roman"/>
                <w:b w:val="0"/>
                <w:color w:val="000000" w:themeColor="text1"/>
                <w:sz w:val="21"/>
                <w:szCs w:val="21"/>
                <w:lang w:val="en-US" w:eastAsia="zh-CN"/>
                <w14:textFill>
                  <w14:solidFill>
                    <w14:schemeClr w14:val="tx1"/>
                  </w14:solidFill>
                </w14:textFill>
              </w:rPr>
              <w:t>、NO</w:t>
            </w:r>
            <w:r>
              <w:rPr>
                <w:rFonts w:hint="default" w:ascii="Times New Roman" w:hAnsi="Times New Roman" w:eastAsia="宋体" w:cs="Times New Roman"/>
                <w:b w:val="0"/>
                <w:color w:val="000000" w:themeColor="text1"/>
                <w:sz w:val="21"/>
                <w:szCs w:val="21"/>
                <w:vertAlign w:val="subscript"/>
                <w:lang w:val="en-US" w:eastAsia="zh-CN"/>
                <w14:textFill>
                  <w14:solidFill>
                    <w14:schemeClr w14:val="tx1"/>
                  </w14:solidFill>
                </w14:textFill>
              </w:rPr>
              <w:t>X</w:t>
            </w:r>
            <w:r>
              <w:rPr>
                <w:rFonts w:hint="default" w:ascii="Times New Roman" w:hAnsi="Times New Roman" w:eastAsia="宋体" w:cs="Times New Roman"/>
                <w:b w:val="0"/>
                <w:color w:val="000000" w:themeColor="text1"/>
                <w:sz w:val="21"/>
                <w:szCs w:val="21"/>
                <w:vertAlign w:val="baseline"/>
                <w:lang w:val="en-US" w:eastAsia="zh-CN"/>
                <w14:textFill>
                  <w14:solidFill>
                    <w14:schemeClr w14:val="tx1"/>
                  </w14:solidFill>
                </w14:textFill>
              </w:rPr>
              <w:t>、林格曼黑度</w:t>
            </w:r>
          </w:p>
        </w:tc>
        <w:tc>
          <w:tcPr>
            <w:tcW w:w="2098" w:type="dxa"/>
            <w:vAlign w:val="center"/>
          </w:tcPr>
          <w:p w14:paraId="3C5C1408">
            <w:pPr>
              <w:pStyle w:val="42"/>
              <w:keepNext w:val="0"/>
              <w:keepLines w:val="0"/>
              <w:pageBreakBefore w:val="0"/>
              <w:kinsoku/>
              <w:wordWrap/>
              <w:overflowPunct/>
              <w:topLinePunct w:val="0"/>
              <w:bidi w:val="0"/>
              <w:adjustRightInd w:val="0"/>
              <w:spacing w:before="0" w:beforeLines="0" w:beforeAutospacing="0" w:after="0" w:afterLines="0" w:line="240" w:lineRule="auto"/>
              <w:ind w:right="0"/>
              <w:jc w:val="both"/>
              <w:textAlignment w:val="auto"/>
              <w:rPr>
                <w:rFonts w:hint="default" w:ascii="Times New Roman" w:hAnsi="Times New Roman" w:eastAsia="宋体" w:cs="Times New Roman"/>
                <w:b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color w:val="000000" w:themeColor="text1"/>
                <w:sz w:val="21"/>
                <w:szCs w:val="21"/>
                <w:lang w:val="en-US" w:eastAsia="zh-CN"/>
                <w14:textFill>
                  <w14:solidFill>
                    <w14:schemeClr w14:val="tx1"/>
                  </w14:solidFill>
                </w14:textFill>
              </w:rPr>
              <w:t>锅炉烟气经</w:t>
            </w:r>
            <w:r>
              <w:rPr>
                <w:rFonts w:hint="default" w:ascii="Times New Roman" w:hAnsi="Times New Roman" w:eastAsia="宋体" w:cs="Times New Roman"/>
                <w:b w:val="0"/>
                <w:bCs w:val="0"/>
                <w:color w:val="000000" w:themeColor="text1"/>
                <w:kern w:val="0"/>
                <w:sz w:val="21"/>
                <w:szCs w:val="21"/>
                <w:lang w:val="en-US" w:eastAsia="zh-CN"/>
                <w14:textFill>
                  <w14:solidFill>
                    <w14:schemeClr w14:val="tx1"/>
                  </w14:solidFill>
                </w14:textFill>
              </w:rPr>
              <w:t>冷却塔冷却后</w:t>
            </w:r>
            <w:r>
              <w:rPr>
                <w:rFonts w:hint="eastAsia" w:ascii="Times New Roman" w:hAnsi="Times New Roman" w:eastAsia="宋体" w:cs="Times New Roman"/>
                <w:b w:val="0"/>
                <w:bCs w:val="0"/>
                <w:color w:val="000000" w:themeColor="text1"/>
                <w:kern w:val="0"/>
                <w:sz w:val="21"/>
                <w:szCs w:val="21"/>
                <w:lang w:val="en-US" w:eastAsia="zh-CN"/>
                <w14:textFill>
                  <w14:solidFill>
                    <w14:schemeClr w14:val="tx1"/>
                  </w14:solidFill>
                </w14:textFill>
              </w:rPr>
              <w:t>再</w:t>
            </w:r>
            <w:r>
              <w:rPr>
                <w:rFonts w:hint="default" w:ascii="Times New Roman" w:hAnsi="Times New Roman" w:eastAsia="宋体" w:cs="Times New Roman"/>
                <w:b w:val="0"/>
                <w:bCs w:val="0"/>
                <w:color w:val="000000" w:themeColor="text1"/>
                <w:kern w:val="0"/>
                <w:sz w:val="21"/>
                <w:szCs w:val="21"/>
                <w:lang w:val="en-US" w:eastAsia="zh-CN"/>
                <w14:textFill>
                  <w14:solidFill>
                    <w14:schemeClr w14:val="tx1"/>
                  </w14:solidFill>
                </w14:textFill>
              </w:rPr>
              <w:t>经一套布袋除尘</w:t>
            </w:r>
            <w:r>
              <w:rPr>
                <w:rFonts w:hint="eastAsia" w:ascii="Times New Roman" w:hAnsi="Times New Roman" w:eastAsia="宋体" w:cs="Times New Roman"/>
                <w:b w:val="0"/>
                <w:bCs w:val="0"/>
                <w:color w:val="000000" w:themeColor="text1"/>
                <w:kern w:val="0"/>
                <w:sz w:val="21"/>
                <w:szCs w:val="21"/>
                <w:lang w:val="en-US" w:eastAsia="zh-CN"/>
                <w14:textFill>
                  <w14:solidFill>
                    <w14:schemeClr w14:val="tx1"/>
                  </w14:solidFill>
                </w14:textFill>
              </w:rPr>
              <w:t>器处理达标后通过35m高排气筒DA001排放</w:t>
            </w:r>
          </w:p>
        </w:tc>
        <w:tc>
          <w:tcPr>
            <w:tcW w:w="1842" w:type="dxa"/>
            <w:vAlign w:val="center"/>
          </w:tcPr>
          <w:p w14:paraId="455BDF01">
            <w:pPr>
              <w:pStyle w:val="35"/>
              <w:keepNext w:val="0"/>
              <w:keepLines w:val="0"/>
              <w:pageBreakBefore w:val="0"/>
              <w:kinsoku/>
              <w:wordWrap/>
              <w:overflowPunct/>
              <w:topLinePunct w:val="0"/>
              <w:bidi w:val="0"/>
              <w:adjustRightInd w:val="0"/>
              <w:spacing w:before="0" w:after="0"/>
              <w:ind w:right="0"/>
              <w:jc w:val="both"/>
              <w:textAlignment w:val="auto"/>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《锅炉大气污染物排放标准》（GB13271-2014）表2中</w:t>
            </w: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燃气</w:t>
            </w: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锅炉排放限值</w:t>
            </w:r>
          </w:p>
        </w:tc>
      </w:tr>
      <w:tr w14:paraId="5B51F6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091" w:type="dxa"/>
            <w:vMerge w:val="continue"/>
            <w:vAlign w:val="center"/>
          </w:tcPr>
          <w:p w14:paraId="39D3FAB1">
            <w:pPr>
              <w:pStyle w:val="23"/>
              <w:spacing w:before="0" w:beforeAutospacing="0" w:after="0" w:afterAutospacing="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1452" w:type="dxa"/>
            <w:vMerge w:val="continue"/>
            <w:vAlign w:val="center"/>
          </w:tcPr>
          <w:p w14:paraId="65F5DF10">
            <w:pPr>
              <w:pStyle w:val="9"/>
              <w:spacing w:line="240" w:lineRule="auto"/>
              <w:ind w:left="0" w:firstLine="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1180" w:type="dxa"/>
            <w:vAlign w:val="center"/>
          </w:tcPr>
          <w:p w14:paraId="697B85E6">
            <w:pPr>
              <w:pStyle w:val="42"/>
              <w:keepNext w:val="0"/>
              <w:keepLines w:val="0"/>
              <w:pageBreakBefore w:val="0"/>
              <w:widowControl/>
              <w:kinsoku/>
              <w:wordWrap/>
              <w:overflowPunct/>
              <w:topLinePunct w:val="0"/>
              <w:autoSpaceDE/>
              <w:autoSpaceDN/>
              <w:bidi w:val="0"/>
              <w:adjustRightInd w:val="0"/>
              <w:snapToGrid w:val="0"/>
              <w:spacing w:before="0" w:beforeLines="0" w:beforeAutospacing="0" w:after="0" w:afterLines="0" w:line="240" w:lineRule="auto"/>
              <w:ind w:right="0"/>
              <w:textAlignment w:val="auto"/>
              <w:rPr>
                <w:rFonts w:hint="default" w:ascii="Times New Roman" w:hAnsi="Times New Roman" w:eastAsia="宋体" w:cs="Times New Roman"/>
                <w:b w:val="0"/>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color w:val="000000" w:themeColor="text1"/>
                <w:sz w:val="21"/>
                <w:szCs w:val="21"/>
                <w:vertAlign w:val="baseline"/>
                <w:lang w:val="en-US" w:eastAsia="zh-CN"/>
                <w14:textFill>
                  <w14:solidFill>
                    <w14:schemeClr w14:val="tx1"/>
                  </w14:solidFill>
                </w14:textFill>
              </w:rPr>
              <w:t>工艺粉尘</w:t>
            </w:r>
          </w:p>
        </w:tc>
        <w:tc>
          <w:tcPr>
            <w:tcW w:w="1398" w:type="dxa"/>
            <w:vAlign w:val="center"/>
          </w:tcPr>
          <w:p w14:paraId="508FE561">
            <w:pPr>
              <w:pStyle w:val="42"/>
              <w:keepNext w:val="0"/>
              <w:keepLines w:val="0"/>
              <w:pageBreakBefore w:val="0"/>
              <w:widowControl/>
              <w:kinsoku/>
              <w:wordWrap/>
              <w:overflowPunct/>
              <w:topLinePunct w:val="0"/>
              <w:autoSpaceDE/>
              <w:autoSpaceDN/>
              <w:bidi w:val="0"/>
              <w:adjustRightInd w:val="0"/>
              <w:snapToGrid w:val="0"/>
              <w:spacing w:before="0" w:beforeLines="0" w:beforeAutospacing="0" w:after="0" w:afterLines="0" w:line="240" w:lineRule="auto"/>
              <w:ind w:right="0"/>
              <w:textAlignment w:val="auto"/>
              <w:rPr>
                <w:rFonts w:hint="default" w:ascii="Times New Roman" w:hAnsi="Times New Roman" w:eastAsia="宋体" w:cs="Times New Roman"/>
                <w:b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color w:val="000000" w:themeColor="text1"/>
                <w:sz w:val="21"/>
                <w:szCs w:val="21"/>
                <w:lang w:val="en-US" w:eastAsia="zh-CN"/>
                <w14:textFill>
                  <w14:solidFill>
                    <w14:schemeClr w14:val="tx1"/>
                  </w14:solidFill>
                </w14:textFill>
              </w:rPr>
              <w:t>粉尘</w:t>
            </w:r>
          </w:p>
        </w:tc>
        <w:tc>
          <w:tcPr>
            <w:tcW w:w="2098" w:type="dxa"/>
            <w:vAlign w:val="center"/>
          </w:tcPr>
          <w:p w14:paraId="67394FB1">
            <w:pPr>
              <w:pStyle w:val="42"/>
              <w:keepNext w:val="0"/>
              <w:keepLines w:val="0"/>
              <w:pageBreakBefore w:val="0"/>
              <w:kinsoku/>
              <w:wordWrap/>
              <w:overflowPunct/>
              <w:topLinePunct w:val="0"/>
              <w:bidi w:val="0"/>
              <w:adjustRightInd w:val="0"/>
              <w:spacing w:before="0" w:beforeLines="0" w:beforeAutospacing="0" w:after="0" w:afterLines="0" w:line="240" w:lineRule="auto"/>
              <w:ind w:right="0"/>
              <w:jc w:val="both"/>
              <w:textAlignment w:val="auto"/>
              <w:rPr>
                <w:rFonts w:hint="default" w:ascii="Times New Roman" w:hAnsi="Times New Roman" w:eastAsia="宋体" w:cs="Times New Roman"/>
                <w:b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color w:val="000000" w:themeColor="text1"/>
                <w:sz w:val="21"/>
                <w:szCs w:val="21"/>
                <w:lang w:val="en-US" w:eastAsia="zh-CN"/>
                <w14:textFill>
                  <w14:solidFill>
                    <w14:schemeClr w14:val="tx1"/>
                  </w14:solidFill>
                </w14:textFill>
              </w:rPr>
              <w:t>收集后经布袋除尘设施处理达标后通过15m高排气筒排放</w:t>
            </w:r>
          </w:p>
        </w:tc>
        <w:tc>
          <w:tcPr>
            <w:tcW w:w="1842" w:type="dxa"/>
            <w:vAlign w:val="center"/>
          </w:tcPr>
          <w:p w14:paraId="00F7A599">
            <w:pPr>
              <w:pStyle w:val="35"/>
              <w:keepNext w:val="0"/>
              <w:keepLines w:val="0"/>
              <w:pageBreakBefore w:val="0"/>
              <w:kinsoku/>
              <w:wordWrap/>
              <w:overflowPunct/>
              <w:topLinePunct w:val="0"/>
              <w:bidi w:val="0"/>
              <w:adjustRightInd w:val="0"/>
              <w:spacing w:before="0" w:after="0"/>
              <w:ind w:right="0"/>
              <w:jc w:val="both"/>
              <w:textAlignment w:val="auto"/>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《大气污染物综合排放标准》(GB16297-1996)中二级排放标准</w:t>
            </w:r>
          </w:p>
        </w:tc>
      </w:tr>
      <w:tr w14:paraId="2A924A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091" w:type="dxa"/>
            <w:vMerge w:val="continue"/>
            <w:vAlign w:val="center"/>
          </w:tcPr>
          <w:p w14:paraId="227703DB">
            <w:pPr>
              <w:pStyle w:val="23"/>
              <w:spacing w:before="0" w:beforeAutospacing="0" w:after="0" w:afterAutospacing="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1452" w:type="dxa"/>
            <w:vMerge w:val="continue"/>
            <w:vAlign w:val="center"/>
          </w:tcPr>
          <w:p w14:paraId="7E911F11">
            <w:pPr>
              <w:pStyle w:val="9"/>
              <w:spacing w:line="240" w:lineRule="auto"/>
              <w:ind w:left="0" w:firstLine="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1180" w:type="dxa"/>
            <w:vAlign w:val="center"/>
          </w:tcPr>
          <w:p w14:paraId="63999816">
            <w:pPr>
              <w:pStyle w:val="42"/>
              <w:keepNext w:val="0"/>
              <w:keepLines w:val="0"/>
              <w:pageBreakBefore w:val="0"/>
              <w:widowControl/>
              <w:kinsoku/>
              <w:wordWrap/>
              <w:overflowPunct/>
              <w:topLinePunct w:val="0"/>
              <w:autoSpaceDE/>
              <w:autoSpaceDN/>
              <w:bidi w:val="0"/>
              <w:adjustRightInd w:val="0"/>
              <w:snapToGrid w:val="0"/>
              <w:spacing w:before="0" w:beforeLines="0" w:beforeAutospacing="0" w:after="0" w:afterLines="0" w:line="240" w:lineRule="auto"/>
              <w:ind w:right="0"/>
              <w:textAlignment w:val="auto"/>
              <w:rPr>
                <w:rFonts w:hint="default" w:ascii="Times New Roman" w:hAnsi="Times New Roman" w:eastAsia="宋体" w:cs="Times New Roman"/>
                <w:b w:val="0"/>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color w:val="000000" w:themeColor="text1"/>
                <w:sz w:val="21"/>
                <w:szCs w:val="21"/>
                <w:vertAlign w:val="baseline"/>
                <w:lang w:val="en-US" w:eastAsia="zh-CN"/>
                <w14:textFill>
                  <w14:solidFill>
                    <w14:schemeClr w14:val="tx1"/>
                  </w14:solidFill>
                </w14:textFill>
              </w:rPr>
              <w:t>食堂油烟</w:t>
            </w:r>
          </w:p>
        </w:tc>
        <w:tc>
          <w:tcPr>
            <w:tcW w:w="1398" w:type="dxa"/>
            <w:vAlign w:val="center"/>
          </w:tcPr>
          <w:p w14:paraId="132B11F1">
            <w:pPr>
              <w:pStyle w:val="42"/>
              <w:keepNext w:val="0"/>
              <w:keepLines w:val="0"/>
              <w:pageBreakBefore w:val="0"/>
              <w:widowControl/>
              <w:kinsoku/>
              <w:wordWrap/>
              <w:overflowPunct/>
              <w:topLinePunct w:val="0"/>
              <w:autoSpaceDE/>
              <w:autoSpaceDN/>
              <w:bidi w:val="0"/>
              <w:adjustRightInd w:val="0"/>
              <w:snapToGrid w:val="0"/>
              <w:spacing w:before="0" w:beforeLines="0" w:beforeAutospacing="0" w:after="0" w:afterLines="0" w:line="240" w:lineRule="auto"/>
              <w:ind w:right="0"/>
              <w:textAlignment w:val="auto"/>
              <w:rPr>
                <w:rFonts w:hint="default" w:ascii="Times New Roman" w:hAnsi="Times New Roman" w:eastAsia="宋体" w:cs="Times New Roman"/>
                <w:b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color w:val="000000" w:themeColor="text1"/>
                <w:sz w:val="21"/>
                <w:szCs w:val="21"/>
                <w:lang w:val="en-US" w:eastAsia="zh-CN"/>
                <w14:textFill>
                  <w14:solidFill>
                    <w14:schemeClr w14:val="tx1"/>
                  </w14:solidFill>
                </w14:textFill>
              </w:rPr>
              <w:t>油烟</w:t>
            </w:r>
          </w:p>
        </w:tc>
        <w:tc>
          <w:tcPr>
            <w:tcW w:w="2098" w:type="dxa"/>
            <w:vAlign w:val="center"/>
          </w:tcPr>
          <w:p w14:paraId="549C35FD">
            <w:pPr>
              <w:pStyle w:val="42"/>
              <w:keepNext w:val="0"/>
              <w:keepLines w:val="0"/>
              <w:pageBreakBefore w:val="0"/>
              <w:kinsoku/>
              <w:wordWrap/>
              <w:overflowPunct/>
              <w:topLinePunct w:val="0"/>
              <w:bidi w:val="0"/>
              <w:adjustRightInd w:val="0"/>
              <w:spacing w:before="0" w:beforeLines="0" w:beforeAutospacing="0" w:after="0" w:afterLines="0" w:line="240" w:lineRule="auto"/>
              <w:ind w:right="0"/>
              <w:jc w:val="both"/>
              <w:textAlignment w:val="auto"/>
              <w:rPr>
                <w:rFonts w:hint="default" w:ascii="Times New Roman" w:hAnsi="Times New Roman" w:eastAsia="宋体" w:cs="Times New Roman"/>
                <w:b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color w:val="000000" w:themeColor="text1"/>
                <w:sz w:val="21"/>
                <w:szCs w:val="21"/>
                <w:lang w:val="en-US" w:eastAsia="zh-CN"/>
                <w14:textFill>
                  <w14:solidFill>
                    <w14:schemeClr w14:val="tx1"/>
                  </w14:solidFill>
                </w14:textFill>
              </w:rPr>
              <w:t>经一套油烟净化器处理后高空外排</w:t>
            </w:r>
          </w:p>
        </w:tc>
        <w:tc>
          <w:tcPr>
            <w:tcW w:w="1842" w:type="dxa"/>
            <w:vAlign w:val="center"/>
          </w:tcPr>
          <w:p w14:paraId="6586060B">
            <w:pPr>
              <w:pStyle w:val="35"/>
              <w:keepNext w:val="0"/>
              <w:keepLines w:val="0"/>
              <w:pageBreakBefore w:val="0"/>
              <w:kinsoku/>
              <w:wordWrap/>
              <w:overflowPunct/>
              <w:topLinePunct w:val="0"/>
              <w:bidi w:val="0"/>
              <w:adjustRightInd w:val="0"/>
              <w:spacing w:before="0" w:after="0"/>
              <w:ind w:right="0"/>
              <w:jc w:val="both"/>
              <w:textAlignment w:val="auto"/>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《饮食业油烟排放标准》(GB18483-2001)</w:t>
            </w:r>
            <w:r>
              <w:rPr>
                <w:rFonts w:hint="eastAsia" w:ascii="Times New Roman" w:hAnsi="Times New Roman" w:cs="Times New Roman"/>
                <w:b w:val="0"/>
                <w:bCs/>
                <w:color w:val="000000" w:themeColor="text1"/>
                <w:sz w:val="21"/>
                <w:szCs w:val="21"/>
                <w:lang w:val="en-US" w:eastAsia="zh-CN"/>
                <w14:textFill>
                  <w14:solidFill>
                    <w14:schemeClr w14:val="tx1"/>
                  </w14:solidFill>
                </w14:textFill>
              </w:rPr>
              <w:t>中相关要求</w:t>
            </w:r>
          </w:p>
        </w:tc>
      </w:tr>
      <w:tr w14:paraId="44F7E8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7" w:hRule="atLeast"/>
          <w:jc w:val="center"/>
        </w:trPr>
        <w:tc>
          <w:tcPr>
            <w:tcW w:w="1091" w:type="dxa"/>
            <w:vMerge w:val="restart"/>
            <w:vAlign w:val="center"/>
          </w:tcPr>
          <w:p w14:paraId="1C1B434A">
            <w:pPr>
              <w:pStyle w:val="23"/>
              <w:spacing w:before="0" w:beforeAutospacing="0" w:after="0" w:afterAutospacing="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地表水环境</w:t>
            </w:r>
          </w:p>
        </w:tc>
        <w:tc>
          <w:tcPr>
            <w:tcW w:w="1452" w:type="dxa"/>
            <w:vMerge w:val="restart"/>
            <w:vAlign w:val="center"/>
          </w:tcPr>
          <w:p w14:paraId="4DA17157">
            <w:pPr>
              <w:adjustRightInd w:val="0"/>
              <w:snapToGrid w:val="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废水</w:t>
            </w:r>
          </w:p>
        </w:tc>
        <w:tc>
          <w:tcPr>
            <w:tcW w:w="1180" w:type="dxa"/>
            <w:vAlign w:val="center"/>
          </w:tcPr>
          <w:p w14:paraId="54F43E21">
            <w:pPr>
              <w:adjustRightInd w:val="0"/>
              <w:snapToGrid w:val="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生活污水</w:t>
            </w:r>
          </w:p>
        </w:tc>
        <w:tc>
          <w:tcPr>
            <w:tcW w:w="1398" w:type="dxa"/>
            <w:shd w:val="clear" w:color="auto" w:fill="auto"/>
            <w:vAlign w:val="center"/>
          </w:tcPr>
          <w:p w14:paraId="3F14291F">
            <w:pPr>
              <w:adjustRightInd w:val="0"/>
              <w:snapToGrid w:val="0"/>
              <w:jc w:val="center"/>
              <w:rPr>
                <w:rFonts w:hint="default" w:ascii="Times New Roman" w:hAnsi="Times New Roman" w:eastAsia="宋体" w:cs="Times New Roman"/>
                <w:color w:val="000000" w:themeColor="text1"/>
                <w:szCs w:val="21"/>
                <w14:textFill>
                  <w14:solidFill>
                    <w14:schemeClr w14:val="tx1"/>
                  </w14:solidFill>
                </w14:textFill>
              </w:rPr>
            </w:pPr>
            <w:r>
              <w:rPr>
                <w:color w:val="000000" w:themeColor="text1"/>
                <w:sz w:val="21"/>
                <w:szCs w:val="21"/>
                <w14:textFill>
                  <w14:solidFill>
                    <w14:schemeClr w14:val="tx1"/>
                  </w14:solidFill>
                </w14:textFill>
              </w:rPr>
              <w:t>pH、COD</w:t>
            </w:r>
            <w:r>
              <w:rPr>
                <w:color w:val="000000" w:themeColor="text1"/>
                <w:sz w:val="21"/>
                <w:szCs w:val="21"/>
                <w:vertAlign w:val="subscript"/>
                <w14:textFill>
                  <w14:solidFill>
                    <w14:schemeClr w14:val="tx1"/>
                  </w14:solidFill>
                </w14:textFill>
              </w:rPr>
              <w:t>Cr</w:t>
            </w:r>
            <w:r>
              <w:rPr>
                <w:color w:val="000000" w:themeColor="text1"/>
                <w:sz w:val="21"/>
                <w:szCs w:val="21"/>
                <w14:textFill>
                  <w14:solidFill>
                    <w14:schemeClr w14:val="tx1"/>
                  </w14:solidFill>
                </w14:textFill>
              </w:rPr>
              <w:t>、BOD</w:t>
            </w:r>
            <w:r>
              <w:rPr>
                <w:color w:val="000000" w:themeColor="text1"/>
                <w:sz w:val="21"/>
                <w:szCs w:val="21"/>
                <w:vertAlign w:val="subscript"/>
                <w14:textFill>
                  <w14:solidFill>
                    <w14:schemeClr w14:val="tx1"/>
                  </w14:solidFill>
                </w14:textFill>
              </w:rPr>
              <w:t>5</w:t>
            </w:r>
            <w:r>
              <w:rPr>
                <w:color w:val="000000" w:themeColor="text1"/>
                <w:sz w:val="21"/>
                <w:szCs w:val="21"/>
                <w14:textFill>
                  <w14:solidFill>
                    <w14:schemeClr w14:val="tx1"/>
                  </w14:solidFill>
                </w14:textFill>
              </w:rPr>
              <w:t>、SS、NH</w:t>
            </w:r>
            <w:r>
              <w:rPr>
                <w:color w:val="000000" w:themeColor="text1"/>
                <w:sz w:val="21"/>
                <w:szCs w:val="21"/>
                <w:vertAlign w:val="subscript"/>
                <w14:textFill>
                  <w14:solidFill>
                    <w14:schemeClr w14:val="tx1"/>
                  </w14:solidFill>
                </w14:textFill>
              </w:rPr>
              <w:t>3</w:t>
            </w:r>
            <w:r>
              <w:rPr>
                <w:color w:val="000000" w:themeColor="text1"/>
                <w:sz w:val="21"/>
                <w:szCs w:val="21"/>
                <w14:textFill>
                  <w14:solidFill>
                    <w14:schemeClr w14:val="tx1"/>
                  </w14:solidFill>
                </w14:textFill>
              </w:rPr>
              <w:t>-N</w:t>
            </w:r>
            <w:r>
              <w:rPr>
                <w:rFonts w:hint="eastAsia"/>
                <w:color w:val="000000" w:themeColor="text1"/>
                <w:sz w:val="21"/>
                <w:szCs w:val="21"/>
                <w:lang w:eastAsia="zh-CN"/>
                <w14:textFill>
                  <w14:solidFill>
                    <w14:schemeClr w14:val="tx1"/>
                  </w14:solidFill>
                </w14:textFill>
              </w:rPr>
              <w:t>、</w:t>
            </w:r>
            <w:r>
              <w:rPr>
                <w:rFonts w:hint="eastAsia"/>
                <w:color w:val="000000" w:themeColor="text1"/>
                <w:sz w:val="21"/>
                <w:szCs w:val="21"/>
                <w:lang w:val="en-US" w:eastAsia="zh-CN"/>
                <w14:textFill>
                  <w14:solidFill>
                    <w14:schemeClr w14:val="tx1"/>
                  </w14:solidFill>
                </w14:textFill>
              </w:rPr>
              <w:t>TP、动植物油</w:t>
            </w:r>
          </w:p>
        </w:tc>
        <w:tc>
          <w:tcPr>
            <w:tcW w:w="2098" w:type="dxa"/>
            <w:vAlign w:val="center"/>
          </w:tcPr>
          <w:p w14:paraId="160A612D">
            <w:pPr>
              <w:adjustRightInd w:val="0"/>
              <w:snapToGrid w:val="0"/>
              <w:jc w:val="both"/>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经隔油池+化粪池预处理后再经一体化设施（膜生物法）处理达标后排入肖江</w:t>
            </w:r>
          </w:p>
        </w:tc>
        <w:tc>
          <w:tcPr>
            <w:tcW w:w="1842" w:type="dxa"/>
            <w:vAlign w:val="center"/>
          </w:tcPr>
          <w:p w14:paraId="0C7487A5">
            <w:pPr>
              <w:pStyle w:val="7"/>
              <w:spacing w:line="240" w:lineRule="auto"/>
              <w:ind w:firstLine="0" w:firstLineChars="0"/>
              <w:jc w:val="both"/>
              <w:rPr>
                <w:rFonts w:hint="eastAsia"/>
                <w:color w:val="000000" w:themeColor="text1"/>
                <w:sz w:val="21"/>
                <w:szCs w:val="21"/>
                <w:lang w:bidi="ar"/>
                <w14:textFill>
                  <w14:solidFill>
                    <w14:schemeClr w14:val="tx1"/>
                  </w14:solidFill>
                </w14:textFill>
              </w:rPr>
            </w:pPr>
            <w:r>
              <w:rPr>
                <w:rFonts w:hint="eastAsia"/>
                <w:color w:val="000000" w:themeColor="text1"/>
                <w:sz w:val="21"/>
                <w:szCs w:val="21"/>
                <w:lang w:bidi="ar"/>
                <w14:textFill>
                  <w14:solidFill>
                    <w14:schemeClr w14:val="tx1"/>
                  </w14:solidFill>
                </w14:textFill>
              </w:rPr>
              <w:t>《污水综合排放标准》(GB 8978-1996)表4中一级标准</w:t>
            </w:r>
          </w:p>
        </w:tc>
      </w:tr>
      <w:tr w14:paraId="3D8DB5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091" w:type="dxa"/>
            <w:vMerge w:val="continue"/>
            <w:vAlign w:val="center"/>
          </w:tcPr>
          <w:p w14:paraId="33669AC7">
            <w:pPr>
              <w:pStyle w:val="23"/>
              <w:spacing w:before="0" w:beforeAutospacing="0" w:after="0" w:afterAutospacing="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1452" w:type="dxa"/>
            <w:vMerge w:val="continue"/>
            <w:vAlign w:val="center"/>
          </w:tcPr>
          <w:p w14:paraId="295F31A3">
            <w:pPr>
              <w:adjustRightInd w:val="0"/>
              <w:snapToGrid w:val="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p>
        </w:tc>
        <w:tc>
          <w:tcPr>
            <w:tcW w:w="1180" w:type="dxa"/>
            <w:vAlign w:val="center"/>
          </w:tcPr>
          <w:p w14:paraId="0A8E70EB">
            <w:pPr>
              <w:adjustRightInd w:val="0"/>
              <w:snapToGrid w:val="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olor w:val="FF0000"/>
                <w:sz w:val="21"/>
                <w:szCs w:val="21"/>
                <w:lang w:val="en-US" w:eastAsia="zh-CN"/>
              </w:rPr>
              <w:t>树脂再生</w:t>
            </w:r>
            <w:r>
              <w:rPr>
                <w:rFonts w:hint="eastAsia"/>
                <w:color w:val="000000" w:themeColor="text1"/>
                <w:sz w:val="21"/>
                <w:szCs w:val="21"/>
                <w:lang w:val="en-US" w:eastAsia="zh-CN"/>
                <w14:textFill>
                  <w14:solidFill>
                    <w14:schemeClr w14:val="tx1"/>
                  </w14:solidFill>
                </w14:textFill>
              </w:rPr>
              <w:t>废水</w:t>
            </w:r>
          </w:p>
        </w:tc>
        <w:tc>
          <w:tcPr>
            <w:tcW w:w="1398" w:type="dxa"/>
            <w:shd w:val="clear" w:color="auto" w:fill="auto"/>
            <w:vAlign w:val="center"/>
          </w:tcPr>
          <w:p w14:paraId="2FC83B3D">
            <w:pPr>
              <w:adjustRightInd w:val="0"/>
              <w:snapToGrid w:val="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COD</w:t>
            </w:r>
            <w:r>
              <w:rPr>
                <w:rFonts w:hint="default" w:ascii="Times New Roman" w:hAnsi="Times New Roman" w:eastAsia="宋体" w:cs="Times New Roman"/>
                <w:color w:val="000000" w:themeColor="text1"/>
                <w:szCs w:val="21"/>
                <w:vertAlign w:val="subscript"/>
                <w14:textFill>
                  <w14:solidFill>
                    <w14:schemeClr w14:val="tx1"/>
                  </w14:solidFill>
                </w14:textFill>
              </w:rPr>
              <w:t>Cr</w:t>
            </w:r>
            <w:r>
              <w:rPr>
                <w:rFonts w:hint="default" w:ascii="Times New Roman" w:hAnsi="Times New Roman" w:eastAsia="宋体" w:cs="Times New Roman"/>
                <w:color w:val="000000" w:themeColor="text1"/>
                <w:szCs w:val="21"/>
                <w14:textFill>
                  <w14:solidFill>
                    <w14:schemeClr w14:val="tx1"/>
                  </w14:solidFill>
                </w14:textFill>
              </w:rPr>
              <w:t>、SS</w:t>
            </w:r>
            <w:r>
              <w:rPr>
                <w:rFonts w:hint="eastAsia" w:cs="Times New Roman"/>
                <w:color w:val="000000" w:themeColor="text1"/>
                <w:szCs w:val="21"/>
                <w:lang w:eastAsia="zh-CN"/>
                <w14:textFill>
                  <w14:solidFill>
                    <w14:schemeClr w14:val="tx1"/>
                  </w14:solidFill>
                </w14:textFill>
              </w:rPr>
              <w:t>、</w:t>
            </w:r>
            <w:r>
              <w:rPr>
                <w:rFonts w:hint="eastAsia" w:cs="Times New Roman"/>
                <w:color w:val="000000" w:themeColor="text1"/>
                <w:szCs w:val="21"/>
                <w:lang w:val="en-US" w:eastAsia="zh-CN"/>
                <w14:textFill>
                  <w14:solidFill>
                    <w14:schemeClr w14:val="tx1"/>
                  </w14:solidFill>
                </w14:textFill>
              </w:rPr>
              <w:t>氯化物、硫酸盐</w:t>
            </w:r>
          </w:p>
        </w:tc>
        <w:tc>
          <w:tcPr>
            <w:tcW w:w="2098" w:type="dxa"/>
            <w:vAlign w:val="center"/>
          </w:tcPr>
          <w:p w14:paraId="55975012">
            <w:pPr>
              <w:adjustRightInd w:val="0"/>
              <w:snapToGrid w:val="0"/>
              <w:jc w:val="both"/>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 w:val="21"/>
                <w:szCs w:val="21"/>
                <w:vertAlign w:val="baseline"/>
                <w:lang w:val="en-US" w:eastAsia="zh-CN" w:bidi="ar"/>
                <w14:textFill>
                  <w14:solidFill>
                    <w14:schemeClr w14:val="tx1"/>
                  </w14:solidFill>
                </w14:textFill>
              </w:rPr>
              <w:t>经中和沉淀池</w:t>
            </w:r>
            <w:r>
              <w:rPr>
                <w:rFonts w:hint="eastAsia" w:cs="Times New Roman"/>
                <w:color w:val="FF0000"/>
                <w:sz w:val="21"/>
                <w:szCs w:val="21"/>
                <w:vertAlign w:val="baseline"/>
                <w:lang w:val="en-US" w:eastAsia="zh-CN" w:bidi="ar"/>
              </w:rPr>
              <w:t>（调节+沉淀）</w:t>
            </w:r>
            <w:r>
              <w:rPr>
                <w:rFonts w:hint="eastAsia" w:cs="Times New Roman"/>
                <w:color w:val="000000" w:themeColor="text1"/>
                <w:sz w:val="21"/>
                <w:szCs w:val="21"/>
                <w:vertAlign w:val="baseline"/>
                <w:lang w:val="en-US" w:eastAsia="zh-CN" w:bidi="ar"/>
                <w14:textFill>
                  <w14:solidFill>
                    <w14:schemeClr w14:val="tx1"/>
                  </w14:solidFill>
                </w14:textFill>
              </w:rPr>
              <w:t>处理后回用于厂区绿化、洒水冷却灰渣等</w:t>
            </w:r>
          </w:p>
        </w:tc>
        <w:tc>
          <w:tcPr>
            <w:tcW w:w="1842" w:type="dxa"/>
            <w:vAlign w:val="center"/>
          </w:tcPr>
          <w:p w14:paraId="1743B0A0">
            <w:pPr>
              <w:pStyle w:val="7"/>
              <w:spacing w:line="240" w:lineRule="auto"/>
              <w:ind w:firstLine="0" w:firstLineChars="0"/>
              <w:jc w:val="both"/>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olor w:val="000000" w:themeColor="text1"/>
                <w:sz w:val="21"/>
                <w:szCs w:val="21"/>
                <w:lang w:bidi="ar"/>
                <w14:textFill>
                  <w14:solidFill>
                    <w14:schemeClr w14:val="tx1"/>
                  </w14:solidFill>
                </w14:textFill>
              </w:rPr>
              <w:t>《城市污水再生利用-工业用水水质标准》</w:t>
            </w:r>
            <w:r>
              <w:rPr>
                <w:rFonts w:hint="eastAsia"/>
                <w:color w:val="000000" w:themeColor="text1"/>
                <w:sz w:val="21"/>
                <w:szCs w:val="21"/>
                <w:lang w:eastAsia="zh-CN" w:bidi="ar"/>
                <w14:textFill>
                  <w14:solidFill>
                    <w14:schemeClr w14:val="tx1"/>
                  </w14:solidFill>
                </w14:textFill>
              </w:rPr>
              <w:t>（</w:t>
            </w:r>
            <w:r>
              <w:rPr>
                <w:rFonts w:hint="eastAsia"/>
                <w:color w:val="000000" w:themeColor="text1"/>
                <w:sz w:val="21"/>
                <w:szCs w:val="21"/>
                <w:lang w:bidi="ar"/>
                <w14:textFill>
                  <w14:solidFill>
                    <w14:schemeClr w14:val="tx1"/>
                  </w14:solidFill>
                </w14:textFill>
              </w:rPr>
              <w:t>GB/T19923-2024</w:t>
            </w:r>
            <w:r>
              <w:rPr>
                <w:rFonts w:hint="eastAsia"/>
                <w:color w:val="000000" w:themeColor="text1"/>
                <w:sz w:val="21"/>
                <w:szCs w:val="21"/>
                <w:lang w:eastAsia="zh-CN" w:bidi="ar"/>
                <w14:textFill>
                  <w14:solidFill>
                    <w14:schemeClr w14:val="tx1"/>
                  </w14:solidFill>
                </w14:textFill>
              </w:rPr>
              <w:t>）</w:t>
            </w:r>
            <w:r>
              <w:rPr>
                <w:rFonts w:hint="eastAsia"/>
                <w:color w:val="000000" w:themeColor="text1"/>
                <w:sz w:val="21"/>
                <w:szCs w:val="21"/>
                <w:lang w:bidi="ar"/>
                <w14:textFill>
                  <w14:solidFill>
                    <w14:schemeClr w14:val="tx1"/>
                  </w14:solidFill>
                </w14:textFill>
              </w:rPr>
              <w:t>表1中相关限值后</w:t>
            </w:r>
          </w:p>
        </w:tc>
      </w:tr>
      <w:tr w14:paraId="6AFFF0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1091" w:type="dxa"/>
            <w:vAlign w:val="center"/>
          </w:tcPr>
          <w:p w14:paraId="6BC0187C">
            <w:pPr>
              <w:pStyle w:val="23"/>
              <w:spacing w:before="0" w:beforeAutospacing="0" w:after="0" w:afterAutospacing="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声环境</w:t>
            </w:r>
          </w:p>
        </w:tc>
        <w:tc>
          <w:tcPr>
            <w:tcW w:w="1452" w:type="dxa"/>
            <w:vAlign w:val="center"/>
          </w:tcPr>
          <w:p w14:paraId="28219EF9">
            <w:pPr>
              <w:pStyle w:val="7"/>
              <w:spacing w:line="240" w:lineRule="auto"/>
              <w:ind w:firstLine="0" w:firstLine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生产噪声</w:t>
            </w:r>
          </w:p>
        </w:tc>
        <w:tc>
          <w:tcPr>
            <w:tcW w:w="2578" w:type="dxa"/>
            <w:gridSpan w:val="2"/>
            <w:vAlign w:val="center"/>
          </w:tcPr>
          <w:p w14:paraId="3D68E165">
            <w:pPr>
              <w:pStyle w:val="7"/>
              <w:spacing w:line="240" w:lineRule="auto"/>
              <w:ind w:firstLine="0" w:firstLine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噪声</w:t>
            </w:r>
          </w:p>
        </w:tc>
        <w:tc>
          <w:tcPr>
            <w:tcW w:w="2098" w:type="dxa"/>
            <w:vAlign w:val="center"/>
          </w:tcPr>
          <w:p w14:paraId="49CFE439">
            <w:pPr>
              <w:pStyle w:val="7"/>
              <w:spacing w:line="240" w:lineRule="auto"/>
              <w:ind w:firstLine="0" w:firstLineChars="0"/>
              <w:jc w:val="both"/>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减振、隔声、距离衰减</w:t>
            </w:r>
          </w:p>
        </w:tc>
        <w:tc>
          <w:tcPr>
            <w:tcW w:w="1842" w:type="dxa"/>
            <w:vAlign w:val="center"/>
          </w:tcPr>
          <w:p w14:paraId="1FDEE691">
            <w:pPr>
              <w:pStyle w:val="7"/>
              <w:spacing w:line="240" w:lineRule="auto"/>
              <w:ind w:firstLine="0" w:firstLineChars="0"/>
              <w:jc w:val="both"/>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《工业企业厂界环境噪声排放标准》（GB12348-2008）</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类标准</w:t>
            </w:r>
          </w:p>
        </w:tc>
      </w:tr>
      <w:tr w14:paraId="7A0D37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1091" w:type="dxa"/>
            <w:vAlign w:val="center"/>
          </w:tcPr>
          <w:p w14:paraId="0AF275AA">
            <w:pPr>
              <w:pStyle w:val="23"/>
              <w:spacing w:before="0" w:beforeAutospacing="0" w:after="0" w:afterAutospacing="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电磁辐射</w:t>
            </w:r>
          </w:p>
        </w:tc>
        <w:tc>
          <w:tcPr>
            <w:tcW w:w="7970" w:type="dxa"/>
            <w:gridSpan w:val="5"/>
            <w:vAlign w:val="center"/>
          </w:tcPr>
          <w:p w14:paraId="29E81D2D">
            <w:pPr>
              <w:pStyle w:val="42"/>
              <w:spacing w:before="0" w:beforeLines="0" w:beforeAutospacing="0" w:afterLines="0" w:line="240" w:lineRule="auto"/>
              <w:rPr>
                <w:rFonts w:hint="default" w:ascii="Times New Roman" w:hAnsi="Times New Roman" w:eastAsia="宋体" w:cs="Times New Roman"/>
                <w:b w:val="0"/>
                <w:color w:val="000000" w:themeColor="text1"/>
                <w:sz w:val="21"/>
                <w:szCs w:val="21"/>
                <w14:textFill>
                  <w14:solidFill>
                    <w14:schemeClr w14:val="tx1"/>
                  </w14:solidFill>
                </w14:textFill>
              </w:rPr>
            </w:pPr>
            <w:r>
              <w:rPr>
                <w:rFonts w:hint="default" w:ascii="Times New Roman" w:hAnsi="Times New Roman" w:eastAsia="宋体" w:cs="Times New Roman"/>
                <w:b w:val="0"/>
                <w:color w:val="000000" w:themeColor="text1"/>
                <w:sz w:val="21"/>
                <w:szCs w:val="21"/>
                <w14:textFill>
                  <w14:solidFill>
                    <w14:schemeClr w14:val="tx1"/>
                  </w14:solidFill>
                </w14:textFill>
              </w:rPr>
              <w:t>/</w:t>
            </w:r>
          </w:p>
        </w:tc>
      </w:tr>
      <w:tr w14:paraId="50F81F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1091" w:type="dxa"/>
            <w:vMerge w:val="restart"/>
            <w:vAlign w:val="center"/>
          </w:tcPr>
          <w:p w14:paraId="6F3D1D6D">
            <w:pPr>
              <w:pStyle w:val="23"/>
              <w:spacing w:before="0" w:beforeAutospacing="0" w:after="0" w:afterAutospacing="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固体废物</w:t>
            </w:r>
          </w:p>
        </w:tc>
        <w:tc>
          <w:tcPr>
            <w:tcW w:w="1452" w:type="dxa"/>
            <w:vMerge w:val="restart"/>
            <w:vAlign w:val="center"/>
          </w:tcPr>
          <w:p w14:paraId="554DA3D0">
            <w:pPr>
              <w:pStyle w:val="7"/>
              <w:spacing w:line="240" w:lineRule="auto"/>
              <w:ind w:firstLine="0" w:firstLine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一般</w:t>
            </w:r>
            <w:r>
              <w:rPr>
                <w:rFonts w:hint="eastAsia" w:cs="Times New Roman"/>
                <w:b w:val="0"/>
                <w:bCs w:val="0"/>
                <w:color w:val="FF0000"/>
                <w:kern w:val="0"/>
                <w:sz w:val="21"/>
                <w:szCs w:val="21"/>
                <w:lang w:val="en-US" w:eastAsia="zh-CN"/>
              </w:rPr>
              <w:t>工业</w:t>
            </w:r>
            <w:r>
              <w:rPr>
                <w:rFonts w:hint="default" w:ascii="Times New Roman" w:hAnsi="Times New Roman" w:eastAsia="宋体" w:cs="Times New Roman"/>
                <w:color w:val="000000" w:themeColor="text1"/>
                <w:sz w:val="21"/>
                <w:szCs w:val="21"/>
                <w14:textFill>
                  <w14:solidFill>
                    <w14:schemeClr w14:val="tx1"/>
                  </w14:solidFill>
                </w14:textFill>
              </w:rPr>
              <w:t>固体废物</w:t>
            </w:r>
          </w:p>
        </w:tc>
        <w:tc>
          <w:tcPr>
            <w:tcW w:w="2578" w:type="dxa"/>
            <w:gridSpan w:val="2"/>
            <w:vAlign w:val="center"/>
          </w:tcPr>
          <w:p w14:paraId="5BF3D313">
            <w:pPr>
              <w:adjustRightInd w:val="0"/>
              <w:snapToGrid w:val="0"/>
              <w:jc w:val="center"/>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Cs w:val="21"/>
                <w:lang w:val="en-US" w:eastAsia="zh-CN"/>
                <w14:textFill>
                  <w14:solidFill>
                    <w14:schemeClr w14:val="tx1"/>
                  </w14:solidFill>
                </w14:textFill>
              </w:rPr>
              <w:t>除尘灰</w:t>
            </w:r>
          </w:p>
        </w:tc>
        <w:tc>
          <w:tcPr>
            <w:tcW w:w="2098" w:type="dxa"/>
            <w:vMerge w:val="restart"/>
            <w:vAlign w:val="center"/>
          </w:tcPr>
          <w:p w14:paraId="7D234A04">
            <w:pPr>
              <w:pStyle w:val="42"/>
              <w:tabs>
                <w:tab w:val="right" w:pos="0"/>
              </w:tabs>
              <w:adjustRightInd/>
              <w:spacing w:before="0" w:beforeLines="0" w:beforeAutospacing="0" w:afterLines="0" w:line="240" w:lineRule="auto"/>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一间面积为</w:t>
            </w:r>
            <w: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t>120</w:t>
            </w:r>
            <w:r>
              <w:rPr>
                <w:rFonts w:hint="default" w:ascii="Times New Roman" w:hAnsi="Times New Roman" w:eastAsia="宋体" w:cs="Times New Roman"/>
                <w:b w:val="0"/>
                <w:bCs/>
                <w:color w:val="000000" w:themeColor="text1"/>
                <w:sz w:val="21"/>
                <w:szCs w:val="21"/>
                <w14:textFill>
                  <w14:solidFill>
                    <w14:schemeClr w14:val="tx1"/>
                  </w14:solidFill>
                </w14:textFill>
              </w:rPr>
              <w:t>m</w:t>
            </w:r>
            <w:r>
              <w:rPr>
                <w:rFonts w:hint="default" w:ascii="Times New Roman" w:hAnsi="Times New Roman" w:eastAsia="宋体" w:cs="Times New Roman"/>
                <w:b w:val="0"/>
                <w:bCs/>
                <w:color w:val="000000" w:themeColor="text1"/>
                <w:sz w:val="21"/>
                <w:szCs w:val="21"/>
                <w:vertAlign w:val="superscript"/>
                <w14:textFill>
                  <w14:solidFill>
                    <w14:schemeClr w14:val="tx1"/>
                  </w14:solidFill>
                </w14:textFill>
              </w:rPr>
              <w:t>2</w:t>
            </w:r>
            <w:r>
              <w:rPr>
                <w:rFonts w:hint="default" w:ascii="Times New Roman" w:hAnsi="Times New Roman" w:eastAsia="宋体" w:cs="Times New Roman"/>
                <w:b w:val="0"/>
                <w:bCs/>
                <w:color w:val="000000" w:themeColor="text1"/>
                <w:sz w:val="21"/>
                <w:szCs w:val="21"/>
                <w:vertAlign w:val="baseline"/>
                <w:lang w:eastAsia="zh-CN"/>
                <w14:textFill>
                  <w14:solidFill>
                    <w14:schemeClr w14:val="tx1"/>
                  </w14:solidFill>
                </w14:textFill>
              </w:rPr>
              <w:t>、</w:t>
            </w:r>
            <w: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容积为180m</w:t>
            </w:r>
            <w:r>
              <w:rPr>
                <w:rFonts w:hint="default" w:ascii="Times New Roman" w:hAnsi="Times New Roman" w:eastAsia="宋体" w:cs="Times New Roman"/>
                <w:b w:val="0"/>
                <w:bCs/>
                <w:color w:val="000000" w:themeColor="text1"/>
                <w:sz w:val="21"/>
                <w:szCs w:val="21"/>
                <w:vertAlign w:val="superscript"/>
                <w:lang w:val="en-US" w:eastAsia="zh-CN"/>
                <w14:textFill>
                  <w14:solidFill>
                    <w14:schemeClr w14:val="tx1"/>
                  </w14:solidFill>
                </w14:textFill>
              </w:rPr>
              <w:t>3</w:t>
            </w:r>
            <w: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的一般固体暂存间</w:t>
            </w:r>
          </w:p>
        </w:tc>
        <w:tc>
          <w:tcPr>
            <w:tcW w:w="1842" w:type="dxa"/>
            <w:vMerge w:val="restart"/>
            <w:vAlign w:val="center"/>
          </w:tcPr>
          <w:p w14:paraId="49484DA4">
            <w:pPr>
              <w:pStyle w:val="7"/>
              <w:spacing w:line="240" w:lineRule="auto"/>
              <w:ind w:firstLine="0" w:firstLineChars="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防渗漏、防雨淋、防扬尘</w:t>
            </w:r>
          </w:p>
        </w:tc>
      </w:tr>
      <w:tr w14:paraId="6CA4A7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091" w:type="dxa"/>
            <w:vMerge w:val="continue"/>
            <w:vAlign w:val="center"/>
          </w:tcPr>
          <w:p w14:paraId="57388297">
            <w:pPr>
              <w:pStyle w:val="23"/>
              <w:spacing w:before="0" w:beforeAutospacing="0" w:after="0" w:afterAutospacing="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1452" w:type="dxa"/>
            <w:vMerge w:val="continue"/>
            <w:vAlign w:val="center"/>
          </w:tcPr>
          <w:p w14:paraId="08134C32">
            <w:pPr>
              <w:pStyle w:val="7"/>
              <w:spacing w:line="240" w:lineRule="auto"/>
              <w:ind w:firstLine="0" w:firstLineChars="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578" w:type="dxa"/>
            <w:gridSpan w:val="2"/>
            <w:vAlign w:val="center"/>
          </w:tcPr>
          <w:p w14:paraId="2D69513B">
            <w:pPr>
              <w:adjustRightInd w:val="0"/>
              <w:snapToGrid w:val="0"/>
              <w:jc w:val="center"/>
              <w:rPr>
                <w:rFonts w:hint="default" w:ascii="Times New Roman" w:hAnsi="Times New Roman" w:eastAsia="宋体" w:cs="Times New Roman"/>
                <w:b w:val="0"/>
                <w:bCs/>
                <w:color w:val="000000" w:themeColor="text1"/>
                <w:sz w:val="21"/>
                <w:szCs w:val="21"/>
                <w14:textFill>
                  <w14:solidFill>
                    <w14:schemeClr w14:val="tx1"/>
                  </w14:solidFill>
                </w14:textFill>
              </w:rPr>
            </w:pPr>
            <w:r>
              <w:rPr>
                <w:rFonts w:hint="default" w:ascii="Times New Roman" w:hAnsi="Times New Roman" w:eastAsia="宋体" w:cs="Times New Roman"/>
                <w:b w:val="0"/>
                <w:bCs/>
                <w:color w:val="000000" w:themeColor="text1"/>
                <w:szCs w:val="21"/>
                <w:lang w:val="en-US" w:eastAsia="zh-CN"/>
                <w14:textFill>
                  <w14:solidFill>
                    <w14:schemeClr w14:val="tx1"/>
                  </w14:solidFill>
                </w14:textFill>
              </w:rPr>
              <w:t>废布袋</w:t>
            </w:r>
          </w:p>
        </w:tc>
        <w:tc>
          <w:tcPr>
            <w:tcW w:w="2098" w:type="dxa"/>
            <w:vMerge w:val="continue"/>
            <w:vAlign w:val="center"/>
          </w:tcPr>
          <w:p w14:paraId="1B56091A">
            <w:pPr>
              <w:pStyle w:val="42"/>
              <w:tabs>
                <w:tab w:val="right" w:pos="0"/>
              </w:tabs>
              <w:adjustRightInd/>
              <w:spacing w:before="0" w:beforeLines="0" w:beforeAutospacing="0" w:afterLines="0" w:line="240" w:lineRule="auto"/>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p>
        </w:tc>
        <w:tc>
          <w:tcPr>
            <w:tcW w:w="1842" w:type="dxa"/>
            <w:vMerge w:val="continue"/>
            <w:vAlign w:val="center"/>
          </w:tcPr>
          <w:p w14:paraId="0E91F5C5">
            <w:pPr>
              <w:widowControl/>
              <w:jc w:val="center"/>
              <w:rPr>
                <w:rFonts w:hint="default" w:ascii="Times New Roman" w:hAnsi="Times New Roman" w:eastAsia="宋体" w:cs="Times New Roman"/>
                <w:color w:val="000000" w:themeColor="text1"/>
                <w:szCs w:val="21"/>
                <w14:textFill>
                  <w14:solidFill>
                    <w14:schemeClr w14:val="tx1"/>
                  </w14:solidFill>
                </w14:textFill>
              </w:rPr>
            </w:pPr>
          </w:p>
        </w:tc>
      </w:tr>
      <w:tr w14:paraId="12A856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091" w:type="dxa"/>
            <w:vMerge w:val="continue"/>
            <w:vAlign w:val="center"/>
          </w:tcPr>
          <w:p w14:paraId="5F0FB7FB">
            <w:pPr>
              <w:pStyle w:val="23"/>
              <w:spacing w:before="0" w:beforeAutospacing="0" w:after="0" w:afterAutospacing="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1452" w:type="dxa"/>
            <w:vMerge w:val="continue"/>
            <w:vAlign w:val="center"/>
          </w:tcPr>
          <w:p w14:paraId="1BA82FB4">
            <w:pPr>
              <w:pStyle w:val="7"/>
              <w:spacing w:line="240" w:lineRule="auto"/>
              <w:ind w:firstLine="0" w:firstLineChars="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578" w:type="dxa"/>
            <w:gridSpan w:val="2"/>
            <w:vAlign w:val="center"/>
          </w:tcPr>
          <w:p w14:paraId="5BD88271">
            <w:pPr>
              <w:widowControl/>
              <w:jc w:val="center"/>
              <w:textAlignment w:val="center"/>
              <w:rPr>
                <w:rFonts w:hint="default" w:ascii="Times New Roman" w:hAnsi="Times New Roman" w:eastAsia="宋体" w:cs="Times New Roman"/>
                <w:b w:val="0"/>
                <w:bCs/>
                <w:color w:val="000000" w:themeColor="text1"/>
                <w:szCs w:val="21"/>
                <w:lang w:val="en-US" w:eastAsia="zh-CN"/>
                <w14:textFill>
                  <w14:solidFill>
                    <w14:schemeClr w14:val="tx1"/>
                  </w14:solidFill>
                </w14:textFill>
              </w:rPr>
            </w:pPr>
            <w:r>
              <w:rPr>
                <w:rFonts w:hint="eastAsia"/>
                <w:color w:val="000000" w:themeColor="text1"/>
                <w:kern w:val="0"/>
                <w:sz w:val="21"/>
                <w:szCs w:val="21"/>
                <w:lang w:val="en-US" w:eastAsia="zh-CN" w:bidi="ar"/>
                <w14:textFill>
                  <w14:solidFill>
                    <w14:schemeClr w14:val="tx1"/>
                  </w14:solidFill>
                </w14:textFill>
              </w:rPr>
              <w:t>锅炉灰渣</w:t>
            </w:r>
          </w:p>
        </w:tc>
        <w:tc>
          <w:tcPr>
            <w:tcW w:w="2098" w:type="dxa"/>
            <w:vMerge w:val="continue"/>
            <w:vAlign w:val="center"/>
          </w:tcPr>
          <w:p w14:paraId="4E536049">
            <w:pPr>
              <w:pStyle w:val="42"/>
              <w:tabs>
                <w:tab w:val="right" w:pos="0"/>
              </w:tabs>
              <w:adjustRightInd/>
              <w:spacing w:before="0" w:beforeLines="0" w:beforeAutospacing="0" w:afterLines="0" w:line="240" w:lineRule="auto"/>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p>
        </w:tc>
        <w:tc>
          <w:tcPr>
            <w:tcW w:w="1842" w:type="dxa"/>
            <w:vMerge w:val="continue"/>
            <w:vAlign w:val="center"/>
          </w:tcPr>
          <w:p w14:paraId="51AD8EE0">
            <w:pPr>
              <w:widowControl/>
              <w:jc w:val="center"/>
              <w:rPr>
                <w:rFonts w:hint="default" w:ascii="Times New Roman" w:hAnsi="Times New Roman" w:eastAsia="宋体" w:cs="Times New Roman"/>
                <w:color w:val="000000" w:themeColor="text1"/>
                <w:szCs w:val="21"/>
                <w14:textFill>
                  <w14:solidFill>
                    <w14:schemeClr w14:val="tx1"/>
                  </w14:solidFill>
                </w14:textFill>
              </w:rPr>
            </w:pPr>
          </w:p>
        </w:tc>
      </w:tr>
      <w:tr w14:paraId="2F1B6D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091" w:type="dxa"/>
            <w:vMerge w:val="continue"/>
            <w:vAlign w:val="center"/>
          </w:tcPr>
          <w:p w14:paraId="52BAB005">
            <w:pPr>
              <w:pStyle w:val="23"/>
              <w:spacing w:before="0" w:beforeAutospacing="0" w:after="0" w:afterAutospacing="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1452" w:type="dxa"/>
            <w:vMerge w:val="continue"/>
            <w:vAlign w:val="center"/>
          </w:tcPr>
          <w:p w14:paraId="5B2A5680">
            <w:pPr>
              <w:pStyle w:val="7"/>
              <w:spacing w:line="240" w:lineRule="auto"/>
              <w:ind w:firstLine="0" w:firstLineChars="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578" w:type="dxa"/>
            <w:gridSpan w:val="2"/>
            <w:vAlign w:val="center"/>
          </w:tcPr>
          <w:p w14:paraId="24A77E32">
            <w:pPr>
              <w:widowControl/>
              <w:jc w:val="center"/>
              <w:textAlignment w:val="center"/>
              <w:rPr>
                <w:rFonts w:hint="default" w:ascii="Times New Roman" w:hAnsi="Times New Roman" w:eastAsia="宋体" w:cs="Times New Roman"/>
                <w:b w:val="0"/>
                <w:bCs/>
                <w:color w:val="000000" w:themeColor="text1"/>
                <w:szCs w:val="21"/>
                <w:lang w:val="en-US" w:eastAsia="zh-CN"/>
                <w14:textFill>
                  <w14:solidFill>
                    <w14:schemeClr w14:val="tx1"/>
                  </w14:solidFill>
                </w14:textFill>
              </w:rPr>
            </w:pPr>
            <w:r>
              <w:rPr>
                <w:rFonts w:hint="eastAsia"/>
                <w:color w:val="000000" w:themeColor="text1"/>
                <w:kern w:val="0"/>
                <w:sz w:val="21"/>
                <w:szCs w:val="21"/>
                <w:lang w:val="en-US" w:eastAsia="zh-CN" w:bidi="ar"/>
                <w14:textFill>
                  <w14:solidFill>
                    <w14:schemeClr w14:val="tx1"/>
                  </w14:solidFill>
                </w14:textFill>
              </w:rPr>
              <w:t>废包装袋</w:t>
            </w:r>
          </w:p>
        </w:tc>
        <w:tc>
          <w:tcPr>
            <w:tcW w:w="2098" w:type="dxa"/>
            <w:vMerge w:val="continue"/>
            <w:vAlign w:val="center"/>
          </w:tcPr>
          <w:p w14:paraId="6758CD23">
            <w:pPr>
              <w:pStyle w:val="42"/>
              <w:tabs>
                <w:tab w:val="right" w:pos="0"/>
              </w:tabs>
              <w:adjustRightInd/>
              <w:spacing w:before="0" w:beforeLines="0" w:beforeAutospacing="0" w:afterLines="0" w:line="240" w:lineRule="auto"/>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p>
        </w:tc>
        <w:tc>
          <w:tcPr>
            <w:tcW w:w="1842" w:type="dxa"/>
            <w:vMerge w:val="continue"/>
            <w:vAlign w:val="center"/>
          </w:tcPr>
          <w:p w14:paraId="48B80C78">
            <w:pPr>
              <w:widowControl/>
              <w:jc w:val="center"/>
              <w:rPr>
                <w:rFonts w:hint="default" w:ascii="Times New Roman" w:hAnsi="Times New Roman" w:eastAsia="宋体" w:cs="Times New Roman"/>
                <w:color w:val="000000" w:themeColor="text1"/>
                <w:szCs w:val="21"/>
                <w14:textFill>
                  <w14:solidFill>
                    <w14:schemeClr w14:val="tx1"/>
                  </w14:solidFill>
                </w14:textFill>
              </w:rPr>
            </w:pPr>
          </w:p>
        </w:tc>
      </w:tr>
      <w:tr w14:paraId="7685D9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091" w:type="dxa"/>
            <w:vMerge w:val="continue"/>
            <w:vAlign w:val="center"/>
          </w:tcPr>
          <w:p w14:paraId="78AF5FBF">
            <w:pPr>
              <w:pStyle w:val="23"/>
              <w:spacing w:before="0" w:beforeAutospacing="0" w:after="0" w:afterAutospacing="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1452" w:type="dxa"/>
            <w:vMerge w:val="continue"/>
            <w:vAlign w:val="center"/>
          </w:tcPr>
          <w:p w14:paraId="41FF6884">
            <w:pPr>
              <w:pStyle w:val="7"/>
              <w:spacing w:line="240" w:lineRule="auto"/>
              <w:ind w:firstLine="0" w:firstLineChars="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578" w:type="dxa"/>
            <w:gridSpan w:val="2"/>
            <w:vAlign w:val="center"/>
          </w:tcPr>
          <w:p w14:paraId="3ECE5095">
            <w:pPr>
              <w:widowControl/>
              <w:jc w:val="center"/>
              <w:textAlignment w:val="center"/>
              <w:rPr>
                <w:rFonts w:hint="default" w:ascii="Times New Roman" w:hAnsi="Times New Roman" w:eastAsia="宋体" w:cs="Times New Roman"/>
                <w:b w:val="0"/>
                <w:bCs/>
                <w:color w:val="000000" w:themeColor="text1"/>
                <w:szCs w:val="21"/>
                <w:lang w:val="en-US" w:eastAsia="zh-CN"/>
                <w14:textFill>
                  <w14:solidFill>
                    <w14:schemeClr w14:val="tx1"/>
                  </w14:solidFill>
                </w14:textFill>
              </w:rPr>
            </w:pPr>
            <w:r>
              <w:rPr>
                <w:rFonts w:hint="eastAsia"/>
                <w:color w:val="000000" w:themeColor="text1"/>
                <w:kern w:val="0"/>
                <w:sz w:val="21"/>
                <w:szCs w:val="21"/>
                <w:lang w:val="en-US" w:eastAsia="zh-CN" w:bidi="ar"/>
                <w14:textFill>
                  <w14:solidFill>
                    <w14:schemeClr w14:val="tx1"/>
                  </w14:solidFill>
                </w14:textFill>
              </w:rPr>
              <w:t>杂质</w:t>
            </w:r>
          </w:p>
        </w:tc>
        <w:tc>
          <w:tcPr>
            <w:tcW w:w="2098" w:type="dxa"/>
            <w:vMerge w:val="continue"/>
            <w:vAlign w:val="center"/>
          </w:tcPr>
          <w:p w14:paraId="6172F857">
            <w:pPr>
              <w:pStyle w:val="42"/>
              <w:tabs>
                <w:tab w:val="right" w:pos="0"/>
              </w:tabs>
              <w:adjustRightInd/>
              <w:spacing w:before="0" w:beforeLines="0" w:beforeAutospacing="0" w:afterLines="0" w:line="240" w:lineRule="auto"/>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p>
        </w:tc>
        <w:tc>
          <w:tcPr>
            <w:tcW w:w="1842" w:type="dxa"/>
            <w:vMerge w:val="continue"/>
            <w:vAlign w:val="center"/>
          </w:tcPr>
          <w:p w14:paraId="6A494F34">
            <w:pPr>
              <w:widowControl/>
              <w:jc w:val="center"/>
              <w:rPr>
                <w:rFonts w:hint="default" w:ascii="Times New Roman" w:hAnsi="Times New Roman" w:eastAsia="宋体" w:cs="Times New Roman"/>
                <w:color w:val="000000" w:themeColor="text1"/>
                <w:szCs w:val="21"/>
                <w14:textFill>
                  <w14:solidFill>
                    <w14:schemeClr w14:val="tx1"/>
                  </w14:solidFill>
                </w14:textFill>
              </w:rPr>
            </w:pPr>
          </w:p>
        </w:tc>
      </w:tr>
      <w:tr w14:paraId="79F692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091" w:type="dxa"/>
            <w:vMerge w:val="continue"/>
            <w:vAlign w:val="center"/>
          </w:tcPr>
          <w:p w14:paraId="55458CA2">
            <w:pPr>
              <w:pStyle w:val="23"/>
              <w:spacing w:before="0" w:beforeAutospacing="0" w:after="0" w:afterAutospacing="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1452" w:type="dxa"/>
            <w:vMerge w:val="continue"/>
            <w:vAlign w:val="center"/>
          </w:tcPr>
          <w:p w14:paraId="7269B1C5">
            <w:pPr>
              <w:pStyle w:val="7"/>
              <w:spacing w:line="240" w:lineRule="auto"/>
              <w:ind w:firstLine="0" w:firstLineChars="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578" w:type="dxa"/>
            <w:gridSpan w:val="2"/>
            <w:vAlign w:val="center"/>
          </w:tcPr>
          <w:p w14:paraId="36BC566C">
            <w:pPr>
              <w:widowControl/>
              <w:jc w:val="center"/>
              <w:textAlignment w:val="center"/>
              <w:rPr>
                <w:rFonts w:hint="default"/>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val="en-US" w:eastAsia="zh-CN" w:bidi="ar"/>
                <w14:textFill>
                  <w14:solidFill>
                    <w14:schemeClr w14:val="tx1"/>
                  </w14:solidFill>
                </w14:textFill>
              </w:rPr>
              <w:t>废离子交换树脂</w:t>
            </w:r>
          </w:p>
        </w:tc>
        <w:tc>
          <w:tcPr>
            <w:tcW w:w="2098" w:type="dxa"/>
            <w:vMerge w:val="continue"/>
            <w:vAlign w:val="center"/>
          </w:tcPr>
          <w:p w14:paraId="21F452B0">
            <w:pPr>
              <w:pStyle w:val="42"/>
              <w:tabs>
                <w:tab w:val="right" w:pos="0"/>
              </w:tabs>
              <w:adjustRightInd/>
              <w:spacing w:before="0" w:beforeLines="0" w:beforeAutospacing="0" w:afterLines="0" w:line="240" w:lineRule="auto"/>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p>
        </w:tc>
        <w:tc>
          <w:tcPr>
            <w:tcW w:w="1842" w:type="dxa"/>
            <w:vMerge w:val="continue"/>
            <w:vAlign w:val="center"/>
          </w:tcPr>
          <w:p w14:paraId="20A95D42">
            <w:pPr>
              <w:widowControl/>
              <w:jc w:val="center"/>
              <w:rPr>
                <w:rFonts w:hint="default" w:ascii="Times New Roman" w:hAnsi="Times New Roman" w:eastAsia="宋体" w:cs="Times New Roman"/>
                <w:color w:val="000000" w:themeColor="text1"/>
                <w:szCs w:val="21"/>
                <w14:textFill>
                  <w14:solidFill>
                    <w14:schemeClr w14:val="tx1"/>
                  </w14:solidFill>
                </w14:textFill>
              </w:rPr>
            </w:pPr>
          </w:p>
        </w:tc>
      </w:tr>
      <w:tr w14:paraId="3187F6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091" w:type="dxa"/>
            <w:vMerge w:val="continue"/>
            <w:vAlign w:val="center"/>
          </w:tcPr>
          <w:p w14:paraId="0CCEA4A0">
            <w:pPr>
              <w:pStyle w:val="23"/>
              <w:spacing w:before="0" w:beforeAutospacing="0" w:after="0" w:afterAutospacing="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1452" w:type="dxa"/>
            <w:vMerge w:val="continue"/>
            <w:vAlign w:val="center"/>
          </w:tcPr>
          <w:p w14:paraId="6DC4029C">
            <w:pPr>
              <w:pStyle w:val="7"/>
              <w:spacing w:line="240" w:lineRule="auto"/>
              <w:ind w:firstLine="0" w:firstLineChars="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578" w:type="dxa"/>
            <w:gridSpan w:val="2"/>
            <w:vAlign w:val="center"/>
          </w:tcPr>
          <w:p w14:paraId="352B0EB1">
            <w:pPr>
              <w:widowControl/>
              <w:jc w:val="center"/>
              <w:textAlignment w:val="center"/>
              <w:rPr>
                <w:rFonts w:hint="default"/>
                <w:color w:val="FF0000"/>
                <w:kern w:val="0"/>
                <w:sz w:val="21"/>
                <w:szCs w:val="21"/>
                <w:lang w:val="en-US" w:eastAsia="zh-CN" w:bidi="ar"/>
              </w:rPr>
            </w:pPr>
            <w:r>
              <w:rPr>
                <w:rFonts w:hint="eastAsia"/>
                <w:color w:val="FF0000"/>
                <w:kern w:val="0"/>
                <w:sz w:val="21"/>
                <w:szCs w:val="21"/>
                <w:lang w:val="en-US" w:eastAsia="zh-CN" w:bidi="ar"/>
              </w:rPr>
              <w:t>污水处理污泥</w:t>
            </w:r>
          </w:p>
        </w:tc>
        <w:tc>
          <w:tcPr>
            <w:tcW w:w="2098" w:type="dxa"/>
            <w:vMerge w:val="continue"/>
            <w:vAlign w:val="center"/>
          </w:tcPr>
          <w:p w14:paraId="22966BD4">
            <w:pPr>
              <w:pStyle w:val="42"/>
              <w:tabs>
                <w:tab w:val="right" w:pos="0"/>
              </w:tabs>
              <w:adjustRightInd/>
              <w:spacing w:before="0" w:beforeLines="0" w:beforeAutospacing="0" w:afterLines="0" w:line="240" w:lineRule="auto"/>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p>
        </w:tc>
        <w:tc>
          <w:tcPr>
            <w:tcW w:w="1842" w:type="dxa"/>
            <w:vMerge w:val="continue"/>
            <w:vAlign w:val="center"/>
          </w:tcPr>
          <w:p w14:paraId="5230C90F">
            <w:pPr>
              <w:widowControl/>
              <w:jc w:val="center"/>
              <w:rPr>
                <w:rFonts w:hint="default" w:ascii="Times New Roman" w:hAnsi="Times New Roman" w:eastAsia="宋体" w:cs="Times New Roman"/>
                <w:color w:val="000000" w:themeColor="text1"/>
                <w:szCs w:val="21"/>
                <w14:textFill>
                  <w14:solidFill>
                    <w14:schemeClr w14:val="tx1"/>
                  </w14:solidFill>
                </w14:textFill>
              </w:rPr>
            </w:pPr>
          </w:p>
        </w:tc>
      </w:tr>
      <w:tr w14:paraId="582A4F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1091" w:type="dxa"/>
            <w:vAlign w:val="center"/>
          </w:tcPr>
          <w:p w14:paraId="4CF14C36">
            <w:pPr>
              <w:pStyle w:val="23"/>
              <w:spacing w:before="0" w:beforeAutospacing="0" w:after="0" w:afterAutospacing="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土壤及地下水污染防治措施</w:t>
            </w:r>
          </w:p>
        </w:tc>
        <w:tc>
          <w:tcPr>
            <w:tcW w:w="7970" w:type="dxa"/>
            <w:gridSpan w:val="5"/>
            <w:vAlign w:val="center"/>
          </w:tcPr>
          <w:p w14:paraId="5293B816">
            <w:pPr>
              <w:pStyle w:val="9"/>
              <w:spacing w:line="240" w:lineRule="auto"/>
              <w:ind w:left="0" w:firstLine="0"/>
              <w:jc w:val="both"/>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项目一般固废</w:t>
            </w:r>
            <w:r>
              <w:rPr>
                <w:rFonts w:hint="eastAsia" w:cs="Times New Roman"/>
                <w:color w:val="000000" w:themeColor="text1"/>
                <w:sz w:val="21"/>
                <w:szCs w:val="21"/>
                <w:lang w:val="en-US" w:eastAsia="zh-CN"/>
                <w14:textFill>
                  <w14:solidFill>
                    <w14:schemeClr w14:val="tx1"/>
                  </w14:solidFill>
                </w14:textFill>
              </w:rPr>
              <w:t>于</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一般固体暂存间</w:t>
            </w:r>
            <w:r>
              <w:rPr>
                <w:rFonts w:hint="eastAsia" w:cs="Times New Roman"/>
                <w:color w:val="000000" w:themeColor="text1"/>
                <w:sz w:val="21"/>
                <w:szCs w:val="21"/>
                <w:lang w:val="en-US" w:eastAsia="zh-CN"/>
                <w14:textFill>
                  <w14:solidFill>
                    <w14:schemeClr w14:val="tx1"/>
                  </w14:solidFill>
                </w14:textFill>
              </w:rPr>
              <w:t>内</w:t>
            </w:r>
            <w:r>
              <w:rPr>
                <w:rFonts w:hint="default" w:ascii="Times New Roman" w:hAnsi="Times New Roman" w:eastAsia="宋体" w:cs="Times New Roman"/>
                <w:color w:val="000000" w:themeColor="text1"/>
                <w:sz w:val="21"/>
                <w:szCs w:val="21"/>
                <w14:textFill>
                  <w14:solidFill>
                    <w14:schemeClr w14:val="tx1"/>
                  </w14:solidFill>
                </w14:textFill>
              </w:rPr>
              <w:t>分类存放</w:t>
            </w:r>
            <w:r>
              <w:rPr>
                <w:rFonts w:hint="eastAsia" w:ascii="Times New Roman" w:hAnsi="Times New Roman" w:eastAsia="宋体" w:cs="Times New Roman"/>
                <w:color w:val="000000" w:themeColor="text1"/>
                <w:sz w:val="21"/>
                <w:szCs w:val="21"/>
                <w:lang w:eastAsia="zh-CN"/>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并根据</w:t>
            </w:r>
            <w:r>
              <w:rPr>
                <w:rFonts w:hint="default" w:ascii="Times New Roman" w:hAnsi="Times New Roman" w:eastAsia="宋体" w:cs="Times New Roman"/>
                <w:color w:val="000000" w:themeColor="text1"/>
                <w:sz w:val="21"/>
                <w:szCs w:val="21"/>
                <w14:textFill>
                  <w14:solidFill>
                    <w14:schemeClr w14:val="tx1"/>
                  </w14:solidFill>
                </w14:textFill>
              </w:rPr>
              <w:t>项目风险分析</w:t>
            </w:r>
            <w:r>
              <w:rPr>
                <w:rFonts w:hint="eastAsia" w:ascii="Times New Roman" w:hAnsi="Times New Roman" w:eastAsia="宋体" w:cs="Times New Roman"/>
                <w:color w:val="000000" w:themeColor="text1"/>
                <w:sz w:val="21"/>
                <w:szCs w:val="21"/>
                <w:lang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针对不同的</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生产</w:t>
            </w:r>
            <w:r>
              <w:rPr>
                <w:rFonts w:hint="default" w:ascii="Times New Roman" w:hAnsi="Times New Roman" w:eastAsia="宋体" w:cs="Times New Roman"/>
                <w:color w:val="000000" w:themeColor="text1"/>
                <w:sz w:val="21"/>
                <w:szCs w:val="21"/>
                <w14:textFill>
                  <w14:solidFill>
                    <w14:schemeClr w14:val="tx1"/>
                  </w14:solidFill>
                </w14:textFill>
              </w:rPr>
              <w:t>区域</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做</w:t>
            </w:r>
            <w:r>
              <w:rPr>
                <w:rFonts w:hint="default" w:ascii="Times New Roman" w:hAnsi="Times New Roman" w:eastAsia="宋体" w:cs="Times New Roman"/>
                <w:color w:val="000000" w:themeColor="text1"/>
                <w:sz w:val="21"/>
                <w:szCs w:val="21"/>
                <w14:textFill>
                  <w14:solidFill>
                    <w14:schemeClr w14:val="tx1"/>
                  </w14:solidFill>
                </w14:textFill>
              </w:rPr>
              <w:t>出相应的防渗措施。</w:t>
            </w:r>
          </w:p>
        </w:tc>
      </w:tr>
      <w:tr w14:paraId="10E287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91" w:type="dxa"/>
            <w:vAlign w:val="center"/>
          </w:tcPr>
          <w:p w14:paraId="070BE271">
            <w:pPr>
              <w:pStyle w:val="23"/>
              <w:spacing w:before="0" w:beforeAutospacing="0" w:after="0" w:afterAutospacing="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生态保护措施</w:t>
            </w:r>
          </w:p>
        </w:tc>
        <w:tc>
          <w:tcPr>
            <w:tcW w:w="7970" w:type="dxa"/>
            <w:gridSpan w:val="5"/>
            <w:vAlign w:val="center"/>
          </w:tcPr>
          <w:p w14:paraId="3ABC92FF">
            <w:pPr>
              <w:pStyle w:val="9"/>
              <w:spacing w:line="240" w:lineRule="auto"/>
              <w:ind w:left="0" w:firstLine="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r>
      <w:tr w14:paraId="0FB8D6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11" w:hRule="atLeast"/>
          <w:jc w:val="center"/>
        </w:trPr>
        <w:tc>
          <w:tcPr>
            <w:tcW w:w="1091" w:type="dxa"/>
            <w:vAlign w:val="center"/>
          </w:tcPr>
          <w:p w14:paraId="55BE8B65">
            <w:pPr>
              <w:pStyle w:val="23"/>
              <w:spacing w:before="0" w:beforeAutospacing="0" w:after="0" w:afterAutospacing="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环境风险</w:t>
            </w:r>
          </w:p>
          <w:p w14:paraId="4B0647C3">
            <w:pPr>
              <w:pStyle w:val="23"/>
              <w:spacing w:before="0" w:beforeAutospacing="0" w:after="0" w:afterAutospacing="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防范措施</w:t>
            </w:r>
          </w:p>
        </w:tc>
        <w:tc>
          <w:tcPr>
            <w:tcW w:w="7970" w:type="dxa"/>
            <w:gridSpan w:val="5"/>
            <w:vAlign w:val="center"/>
          </w:tcPr>
          <w:p w14:paraId="5F83B66B">
            <w:pPr>
              <w:keepNext w:val="0"/>
              <w:keepLines w:val="0"/>
              <w:suppressLineNumbers w:val="0"/>
              <w:adjustRightInd w:val="0"/>
              <w:snapToGrid w:val="0"/>
              <w:spacing w:before="0" w:beforeAutospacing="0" w:after="0" w:afterAutospacing="0"/>
              <w:ind w:left="0" w:right="0"/>
              <w:jc w:val="both"/>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①加强废气处理设施及设备的定期检修和维护工作，发现事故隐患，及时解决。减少废气事故排放</w:t>
            </w:r>
            <w:r>
              <w:rPr>
                <w:rFonts w:hint="eastAsia" w:ascii="Times New Roman" w:hAnsi="Times New Roman" w:eastAsia="宋体" w:cs="Times New Roman"/>
                <w:color w:val="000000" w:themeColor="text1"/>
                <w:sz w:val="21"/>
                <w:szCs w:val="21"/>
                <w:lang w:eastAsia="zh-CN"/>
                <w14:textFill>
                  <w14:solidFill>
                    <w14:schemeClr w14:val="tx1"/>
                  </w14:solidFill>
                </w14:textFill>
              </w:rPr>
              <w:t>。</w:t>
            </w:r>
          </w:p>
          <w:p w14:paraId="7D1BD470">
            <w:pPr>
              <w:keepNext w:val="0"/>
              <w:keepLines w:val="0"/>
              <w:suppressLineNumbers w:val="0"/>
              <w:adjustRightInd w:val="0"/>
              <w:snapToGrid w:val="0"/>
              <w:spacing w:before="0" w:beforeAutospacing="0" w:after="0" w:afterAutospacing="0"/>
              <w:ind w:left="0" w:right="0"/>
              <w:jc w:val="both"/>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②</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发生废水泄漏事故，停止前端废水输送，利用应急沙等对泄漏废水进行吸附，同时通知设计施工单位对破损位置进行维修。</w:t>
            </w:r>
          </w:p>
          <w:p w14:paraId="05692D4D">
            <w:pPr>
              <w:pStyle w:val="9"/>
              <w:spacing w:line="240" w:lineRule="auto"/>
              <w:ind w:left="0" w:firstLine="0"/>
              <w:jc w:val="both"/>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③发现火情时，应争分夺秒，利用着火点附近的灭火器材、黄沙等应急物资，奋力将小火控制、扑灭。</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制定设备检修制度，每半个月对生产、环保设备进行定期检修，及时发现问题，防患于未然。同时，企业应对所有员工进行经常性的安全培训，以提高员工的安全经营的基础知识和安全意识。</w:t>
            </w:r>
          </w:p>
        </w:tc>
      </w:tr>
      <w:tr w14:paraId="7DC032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07" w:hRule="atLeast"/>
          <w:jc w:val="center"/>
        </w:trPr>
        <w:tc>
          <w:tcPr>
            <w:tcW w:w="1091" w:type="dxa"/>
            <w:vAlign w:val="center"/>
          </w:tcPr>
          <w:p w14:paraId="35BD8433">
            <w:pPr>
              <w:pStyle w:val="23"/>
              <w:spacing w:before="0" w:beforeAutospacing="0" w:after="0" w:afterAutospacing="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其他环境</w:t>
            </w:r>
          </w:p>
          <w:p w14:paraId="6E87B9BE">
            <w:pPr>
              <w:pStyle w:val="23"/>
              <w:spacing w:before="0" w:beforeAutospacing="0" w:after="0" w:afterAutospacing="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管理要求</w:t>
            </w:r>
          </w:p>
        </w:tc>
        <w:tc>
          <w:tcPr>
            <w:tcW w:w="7970" w:type="dxa"/>
            <w:gridSpan w:val="5"/>
            <w:vAlign w:val="center"/>
          </w:tcPr>
          <w:p w14:paraId="0C1C2B4C">
            <w:pPr>
              <w:pStyle w:val="9"/>
              <w:keepNext w:val="0"/>
              <w:keepLines w:val="0"/>
              <w:pageBreakBefore w:val="0"/>
              <w:widowControl w:val="0"/>
              <w:numPr>
                <w:ilvl w:val="0"/>
                <w:numId w:val="10"/>
              </w:numPr>
              <w:kinsoku/>
              <w:wordWrap/>
              <w:overflowPunct/>
              <w:topLinePunct w:val="0"/>
              <w:autoSpaceDE w:val="0"/>
              <w:autoSpaceDN w:val="0"/>
              <w:bidi w:val="0"/>
              <w:adjustRightInd w:val="0"/>
              <w:snapToGrid/>
              <w:spacing w:line="240" w:lineRule="auto"/>
              <w:ind w:left="0" w:leftChars="0" w:firstLine="0"/>
              <w:jc w:val="both"/>
              <w:textAlignment w:val="baseline"/>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加强环保设施的维护和管理，保证设备正常运行，落实环保资金，以实施治污措施，实现污染物达标排放。</w:t>
            </w:r>
          </w:p>
          <w:p w14:paraId="18819601">
            <w:pPr>
              <w:pStyle w:val="9"/>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leftChars="0"/>
              <w:jc w:val="both"/>
              <w:textAlignment w:val="baseline"/>
              <w:rPr>
                <w:rFonts w:hint="default" w:ascii="Times New Roman" w:hAnsi="Times New Roman" w:eastAsia="宋体" w:cs="Times New Roman"/>
                <w:color w:val="000000" w:themeColor="text1"/>
                <w:sz w:val="21"/>
                <w:szCs w:val="21"/>
                <w14:textFill>
                  <w14:solidFill>
                    <w14:schemeClr w14:val="tx1"/>
                  </w14:solidFill>
                </w14:textFill>
              </w:rPr>
            </w:pPr>
            <w:r>
              <w:rPr>
                <w:rFonts w:hint="eastAsia" w:cs="Times New Roman"/>
                <w:color w:val="FF0000"/>
                <w:sz w:val="21"/>
                <w:szCs w:val="21"/>
                <w:lang w:val="en-US" w:eastAsia="zh-CN"/>
              </w:rPr>
              <w:t>2、项目在实施后需及时变更排污许可登记回执，取得排污许可登记回执后，需按照管理类型执行相应要求，对于排污许可登记回执中明确的排污口位置、数量、污染物种类、污染物排放浓度、污染物排放量，实施生产后实际情况应符合登记内容，并对排放的锅炉烟气以及机械噪声按照要求进行例行监测。</w:t>
            </w:r>
          </w:p>
        </w:tc>
      </w:tr>
    </w:tbl>
    <w:p w14:paraId="48DE4969">
      <w:pPr>
        <w:pStyle w:val="7"/>
        <w:ind w:left="0" w:leftChars="0" w:firstLine="0" w:firstLineChars="0"/>
        <w:rPr>
          <w:b/>
          <w:bCs/>
        </w:rPr>
        <w:sectPr>
          <w:pgSz w:w="11907" w:h="16840"/>
          <w:pgMar w:top="1701" w:right="1531" w:bottom="2127"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6FE89537">
      <w:pPr>
        <w:pStyle w:val="23"/>
        <w:spacing w:before="0" w:beforeAutospacing="0" w:after="0" w:afterAutospacing="0"/>
        <w:jc w:val="center"/>
        <w:outlineLvl w:val="0"/>
        <w:rPr>
          <w:rFonts w:ascii="Times New Roman" w:hAnsi="Times New Roman"/>
          <w:snapToGrid w:val="0"/>
          <w:sz w:val="30"/>
          <w:szCs w:val="30"/>
        </w:rPr>
      </w:pPr>
      <w:r>
        <w:rPr>
          <w:rFonts w:hint="eastAsia" w:ascii="Times New Roman" w:hAnsi="Times New Roman"/>
          <w:snapToGrid w:val="0"/>
          <w:sz w:val="30"/>
          <w:szCs w:val="30"/>
        </w:rPr>
        <w:t>六、结论</w:t>
      </w:r>
    </w:p>
    <w:tbl>
      <w:tblPr>
        <w:tblStyle w:val="2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7FB3BD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tcPr>
          <w:p w14:paraId="58F3231A">
            <w:pPr>
              <w:adjustRightInd w:val="0"/>
              <w:snapToGrid w:val="0"/>
              <w:spacing w:line="288" w:lineRule="auto"/>
              <w:ind w:firstLine="480" w:firstLineChars="200"/>
              <w:jc w:val="left"/>
              <w:rPr>
                <w:sz w:val="24"/>
              </w:rPr>
            </w:pPr>
            <w:r>
              <w:rPr>
                <w:rFonts w:hint="default" w:ascii="Times New Roman" w:hAnsi="Times New Roman" w:eastAsia="宋体" w:cs="Times New Roman"/>
                <w:color w:val="auto"/>
                <w:sz w:val="24"/>
                <w:szCs w:val="24"/>
                <w:highlight w:val="none"/>
                <w:lang w:eastAsia="zh-CN" w:bidi="ar"/>
              </w:rPr>
              <w:t>江西高安大北农饲料有限公司</w:t>
            </w:r>
            <w:r>
              <w:rPr>
                <w:sz w:val="24"/>
              </w:rPr>
              <w:t>投资</w:t>
            </w:r>
            <w:r>
              <w:rPr>
                <w:rFonts w:hint="eastAsia"/>
                <w:sz w:val="24"/>
                <w:lang w:val="en-US" w:eastAsia="zh-CN"/>
              </w:rPr>
              <w:t>11</w:t>
            </w:r>
            <w:r>
              <w:rPr>
                <w:rFonts w:hint="default" w:ascii="Times New Roman" w:hAnsi="Times New Roman" w:eastAsia="宋体" w:cs="Times New Roman"/>
                <w:sz w:val="24"/>
                <w:szCs w:val="24"/>
                <w:lang w:bidi="ar"/>
              </w:rPr>
              <w:t>0</w:t>
            </w:r>
            <w:r>
              <w:rPr>
                <w:sz w:val="24"/>
              </w:rPr>
              <w:t>万元建设</w:t>
            </w:r>
            <w:r>
              <w:rPr>
                <w:rFonts w:hint="default" w:ascii="Times New Roman" w:hAnsi="Times New Roman" w:eastAsia="宋体" w:cs="Times New Roman"/>
                <w:color w:val="auto"/>
                <w:sz w:val="24"/>
                <w:szCs w:val="24"/>
                <w:highlight w:val="none"/>
                <w:lang w:eastAsia="zh-CN" w:bidi="ar"/>
              </w:rPr>
              <w:t>江西高安大北农饲料有限公司新增锅炉项目</w:t>
            </w:r>
            <w:r>
              <w:rPr>
                <w:rFonts w:hint="eastAsia"/>
                <w:sz w:val="24"/>
              </w:rPr>
              <w:t>。</w:t>
            </w:r>
          </w:p>
          <w:p w14:paraId="434DB2B9">
            <w:pPr>
              <w:autoSpaceDE w:val="0"/>
              <w:autoSpaceDN w:val="0"/>
              <w:spacing w:line="360" w:lineRule="auto"/>
              <w:ind w:firstLine="480" w:firstLineChars="200"/>
              <w:rPr>
                <w:sz w:val="24"/>
              </w:rPr>
            </w:pPr>
            <w:r>
              <w:rPr>
                <w:sz w:val="24"/>
              </w:rPr>
              <w:t>项目位于</w:t>
            </w:r>
            <w:r>
              <w:rPr>
                <w:rFonts w:hint="default" w:ascii="Times New Roman" w:hAnsi="Times New Roman" w:eastAsia="宋体" w:cs="Times New Roman"/>
                <w:color w:val="auto"/>
                <w:kern w:val="24"/>
                <w:sz w:val="24"/>
                <w:szCs w:val="24"/>
                <w:lang w:bidi="ar"/>
              </w:rPr>
              <w:t>江西省宜春市高安市八景镇江西高安大北农饲料有限公司</w:t>
            </w:r>
            <w:r>
              <w:rPr>
                <w:rFonts w:hint="eastAsia" w:cs="Times New Roman"/>
                <w:color w:val="auto"/>
                <w:kern w:val="24"/>
                <w:sz w:val="24"/>
                <w:szCs w:val="24"/>
                <w:lang w:val="en-US" w:eastAsia="zh-CN" w:bidi="ar"/>
              </w:rPr>
              <w:t>内</w:t>
            </w:r>
            <w:r>
              <w:rPr>
                <w:kern w:val="21"/>
                <w:sz w:val="24"/>
                <w:lang w:val="zh-CN"/>
              </w:rPr>
              <w:t>，</w:t>
            </w:r>
            <w:r>
              <w:rPr>
                <w:rFonts w:hint="eastAsia"/>
                <w:kern w:val="21"/>
                <w:sz w:val="24"/>
                <w:lang w:val="en-US" w:eastAsia="zh-CN"/>
              </w:rPr>
              <w:t>依托现有项目一间</w:t>
            </w:r>
            <w:r>
              <w:rPr>
                <w:rFonts w:hint="eastAsia"/>
                <w:kern w:val="21"/>
                <w:sz w:val="24"/>
                <w:vertAlign w:val="baseline"/>
                <w:lang w:val="en-US" w:eastAsia="zh-CN"/>
              </w:rPr>
              <w:t>锅炉房进行</w:t>
            </w:r>
            <w:r>
              <w:rPr>
                <w:rFonts w:hint="eastAsia"/>
                <w:color w:val="FF0000"/>
                <w:kern w:val="21"/>
                <w:sz w:val="24"/>
                <w:vertAlign w:val="baseline"/>
                <w:lang w:val="en-US" w:eastAsia="zh-CN"/>
              </w:rPr>
              <w:t>技改</w:t>
            </w:r>
            <w:r>
              <w:rPr>
                <w:sz w:val="24"/>
                <w:szCs w:val="24"/>
              </w:rPr>
              <w:t>，</w:t>
            </w:r>
            <w:r>
              <w:rPr>
                <w:sz w:val="24"/>
              </w:rPr>
              <w:t>规划</w:t>
            </w:r>
            <w:r>
              <w:rPr>
                <w:rFonts w:hint="eastAsia" w:cs="Times New Roman"/>
                <w:color w:val="auto"/>
                <w:sz w:val="24"/>
                <w:szCs w:val="24"/>
                <w:lang w:val="en-US" w:eastAsia="zh-CN" w:bidi="ar"/>
              </w:rPr>
              <w:t>新增一台</w:t>
            </w:r>
            <w:r>
              <w:rPr>
                <w:rFonts w:hint="eastAsia" w:ascii="Times New Roman" w:hAnsi="Times New Roman" w:eastAsia="宋体" w:cs="Times New Roman"/>
                <w:color w:val="auto"/>
                <w:sz w:val="24"/>
                <w:szCs w:val="24"/>
                <w:lang w:val="en-US" w:eastAsia="zh-CN"/>
              </w:rPr>
              <w:t>6t/h生物质锅炉</w:t>
            </w:r>
            <w:r>
              <w:rPr>
                <w:rFonts w:hint="eastAsia" w:cs="Times New Roman"/>
                <w:color w:val="auto"/>
                <w:sz w:val="24"/>
                <w:szCs w:val="24"/>
                <w:lang w:val="en-US" w:eastAsia="zh-CN"/>
              </w:rPr>
              <w:t>为现有项目供热，并配套相应烟气处理设施，将</w:t>
            </w:r>
            <w:r>
              <w:rPr>
                <w:rFonts w:hint="eastAsia" w:cs="Times New Roman"/>
                <w:color w:val="auto"/>
                <w:sz w:val="24"/>
                <w:szCs w:val="24"/>
                <w:lang w:val="en-US" w:eastAsia="zh-CN" w:bidi="ar"/>
              </w:rPr>
              <w:t>原有的一台</w:t>
            </w:r>
            <w:r>
              <w:rPr>
                <w:rFonts w:hint="eastAsia" w:ascii="Times New Roman" w:hAnsi="Times New Roman" w:eastAsia="宋体" w:cs="Times New Roman"/>
                <w:color w:val="auto"/>
                <w:sz w:val="24"/>
                <w:szCs w:val="24"/>
                <w:lang w:val="en-US" w:eastAsia="zh-CN"/>
              </w:rPr>
              <w:t>6t/h生物质锅炉</w:t>
            </w:r>
            <w:r>
              <w:rPr>
                <w:rFonts w:hint="eastAsia" w:cs="Times New Roman"/>
                <w:color w:val="auto"/>
                <w:sz w:val="24"/>
                <w:szCs w:val="24"/>
                <w:lang w:val="en-US" w:eastAsia="zh-CN"/>
              </w:rPr>
              <w:t>作为备用锅炉使用</w:t>
            </w:r>
            <w:r>
              <w:rPr>
                <w:rFonts w:hint="eastAsia" w:cs="Times New Roman"/>
                <w:color w:val="auto"/>
                <w:sz w:val="24"/>
                <w:szCs w:val="24"/>
                <w:lang w:val="en-US" w:eastAsia="zh-CN" w:bidi="ar"/>
              </w:rPr>
              <w:t>。</w:t>
            </w:r>
          </w:p>
          <w:p w14:paraId="67C3C8A4">
            <w:pPr>
              <w:spacing w:line="360" w:lineRule="auto"/>
              <w:ind w:firstLine="480" w:firstLineChars="200"/>
              <w:rPr>
                <w:rFonts w:hint="default" w:ascii="Times New Roman" w:hAnsi="Times New Roman" w:eastAsia="宋体" w:cs="Times New Roman"/>
                <w:color w:val="auto"/>
                <w:sz w:val="24"/>
                <w:szCs w:val="24"/>
                <w:lang w:eastAsia="zh-CN"/>
              </w:rPr>
            </w:pPr>
            <w:r>
              <w:rPr>
                <w:rFonts w:hint="eastAsia" w:cs="Times New Roman"/>
                <w:color w:val="auto"/>
                <w:sz w:val="24"/>
                <w:szCs w:val="24"/>
                <w:lang w:val="en-US" w:eastAsia="zh-CN"/>
              </w:rPr>
              <w:t>本次技改项目劳动人员由现有项目进行配给，不新增劳动人员，工作制为二班制，每班15小时，年工作310天。</w:t>
            </w:r>
          </w:p>
          <w:p w14:paraId="18D6B3C1">
            <w:pPr>
              <w:adjustRightInd w:val="0"/>
              <w:snapToGrid w:val="0"/>
              <w:spacing w:line="360" w:lineRule="auto"/>
              <w:ind w:firstLine="480" w:firstLineChars="200"/>
              <w:rPr>
                <w:bCs/>
                <w:color w:val="auto"/>
                <w:sz w:val="24"/>
              </w:rPr>
            </w:pPr>
            <w:r>
              <w:rPr>
                <w:bCs/>
                <w:color w:val="auto"/>
                <w:sz w:val="24"/>
              </w:rPr>
              <w:t>综上所述：本项目符合我国现行的产业政策，项目</w:t>
            </w:r>
            <w:r>
              <w:rPr>
                <w:rFonts w:hint="eastAsia"/>
                <w:bCs/>
                <w:color w:val="auto"/>
                <w:sz w:val="24"/>
                <w:lang w:val="en-US" w:eastAsia="zh-CN"/>
              </w:rPr>
              <w:t>产业政策符合</w:t>
            </w:r>
            <w:r>
              <w:rPr>
                <w:color w:val="auto"/>
                <w:kern w:val="0"/>
                <w:sz w:val="24"/>
                <w:lang w:bidi="ar"/>
              </w:rPr>
              <w:t>地方产业政策</w:t>
            </w:r>
            <w:r>
              <w:rPr>
                <w:rFonts w:hint="eastAsia"/>
                <w:color w:val="auto"/>
                <w:kern w:val="0"/>
                <w:sz w:val="24"/>
                <w:lang w:eastAsia="zh-CN" w:bidi="ar"/>
              </w:rPr>
              <w:t>，</w:t>
            </w:r>
            <w:r>
              <w:rPr>
                <w:bCs/>
                <w:color w:val="auto"/>
                <w:sz w:val="24"/>
              </w:rPr>
              <w:t>选址与周边环境相容，周围环境质量状况良好，选址</w:t>
            </w:r>
            <w:r>
              <w:rPr>
                <w:rFonts w:hint="eastAsia"/>
                <w:bCs/>
                <w:color w:val="FF0000"/>
                <w:sz w:val="24"/>
                <w:lang w:val="en-US" w:eastAsia="zh-CN"/>
              </w:rPr>
              <w:t>可行</w:t>
            </w:r>
            <w:r>
              <w:rPr>
                <w:bCs/>
                <w:color w:val="auto"/>
                <w:sz w:val="24"/>
              </w:rPr>
              <w:t xml:space="preserve">，只要落实本次环评提出的各项治理措施，严格执行“三同时”制度。在安全生产，确保污染物达标排放，加强环境管理，严禁事故性及非正常排放的前提下，从环保角度分析，本评价认为该项目是可行的。 </w:t>
            </w:r>
          </w:p>
          <w:p w14:paraId="1DDB0254">
            <w:pPr>
              <w:adjustRightInd w:val="0"/>
              <w:snapToGrid w:val="0"/>
              <w:spacing w:line="360" w:lineRule="auto"/>
              <w:ind w:firstLine="480" w:firstLineChars="200"/>
              <w:rPr>
                <w:color w:val="auto"/>
                <w:sz w:val="24"/>
              </w:rPr>
            </w:pPr>
            <w:r>
              <w:rPr>
                <w:rFonts w:hint="eastAsia"/>
                <w:color w:val="auto"/>
                <w:sz w:val="24"/>
              </w:rPr>
              <w:t>（</w:t>
            </w:r>
            <w:r>
              <w:rPr>
                <w:color w:val="auto"/>
                <w:sz w:val="24"/>
              </w:rPr>
              <w:t>注：上述评价结论是在建设单位确定建设内容和规模(包括生产工艺、设备、厂址以及排污情况)的基础上得出的，项目基础资料均由建设单位提供，并对其准确性负责。建设单位未来如需增加本报告表所涉及之外的污染源或对其功能进行调整，则应按要求向有关生态环境部门进行申报，并按污染控制目标采取相应的污染治理措施</w:t>
            </w:r>
            <w:r>
              <w:rPr>
                <w:rFonts w:hint="eastAsia"/>
                <w:color w:val="auto"/>
                <w:sz w:val="24"/>
              </w:rPr>
              <w:t>）</w:t>
            </w:r>
          </w:p>
          <w:p w14:paraId="139BA672">
            <w:pPr>
              <w:adjustRightInd w:val="0"/>
              <w:snapToGrid w:val="0"/>
              <w:spacing w:line="360" w:lineRule="auto"/>
              <w:ind w:firstLine="482" w:firstLineChars="200"/>
              <w:rPr>
                <w:b/>
                <w:sz w:val="24"/>
              </w:rPr>
            </w:pPr>
            <w:r>
              <w:rPr>
                <w:b/>
                <w:sz w:val="24"/>
              </w:rPr>
              <w:t>建议</w:t>
            </w:r>
          </w:p>
          <w:p w14:paraId="1FA58B33">
            <w:pPr>
              <w:adjustRightInd w:val="0"/>
              <w:snapToGrid w:val="0"/>
              <w:spacing w:line="360" w:lineRule="auto"/>
              <w:ind w:firstLine="480" w:firstLineChars="200"/>
              <w:rPr>
                <w:sz w:val="24"/>
              </w:rPr>
            </w:pPr>
            <w:r>
              <w:rPr>
                <w:sz w:val="24"/>
              </w:rPr>
              <w:t>（1）为了能使厂区内各项污染防治措施达到较好的实际使用效果，厂方应建立健全的环境保护制度，设立负责环保的科室，负责经常性的监督管理工作；加强对产噪设备的维修、保养及管理，确保工作设备的良性运转。</w:t>
            </w:r>
          </w:p>
          <w:p w14:paraId="5B5736EB">
            <w:pPr>
              <w:tabs>
                <w:tab w:val="center" w:pos="4513"/>
              </w:tabs>
              <w:adjustRightInd w:val="0"/>
              <w:snapToGrid w:val="0"/>
              <w:spacing w:line="360" w:lineRule="auto"/>
              <w:ind w:firstLine="480" w:firstLineChars="200"/>
              <w:rPr>
                <w:sz w:val="24"/>
              </w:rPr>
            </w:pPr>
            <w:r>
              <w:rPr>
                <w:sz w:val="24"/>
              </w:rPr>
              <w:t>（2）在企业的各项废气、污水处理设施完善后，企业应按照环保有关法律法规的规定严格执行，并设立专人进行环保治理设施的运行管理。</w:t>
            </w:r>
          </w:p>
          <w:p w14:paraId="5BA45582">
            <w:pPr>
              <w:adjustRightInd w:val="0"/>
              <w:snapToGrid w:val="0"/>
              <w:spacing w:line="360" w:lineRule="auto"/>
              <w:ind w:firstLine="480" w:firstLineChars="200"/>
              <w:rPr>
                <w:sz w:val="24"/>
              </w:rPr>
            </w:pPr>
            <w:r>
              <w:rPr>
                <w:sz w:val="24"/>
              </w:rPr>
              <w:t>（3）如产品方案、工艺、设备、原辅材料消耗等生产情况有大的变动，应</w:t>
            </w:r>
            <w:r>
              <w:rPr>
                <w:color w:val="FF0000"/>
                <w:sz w:val="24"/>
              </w:rPr>
              <w:t>及时</w:t>
            </w:r>
            <w:r>
              <w:rPr>
                <w:sz w:val="24"/>
              </w:rPr>
              <w:t>向有关部门申报。</w:t>
            </w:r>
          </w:p>
          <w:p w14:paraId="1AAE0AEA">
            <w:pPr>
              <w:autoSpaceDE w:val="0"/>
              <w:autoSpaceDN w:val="0"/>
              <w:ind w:firstLine="480"/>
            </w:pPr>
          </w:p>
        </w:tc>
      </w:tr>
    </w:tbl>
    <w:p w14:paraId="4BDD3051">
      <w:pPr>
        <w:rPr>
          <w:rFonts w:ascii="宋体"/>
        </w:rPr>
        <w:sectPr>
          <w:pgSz w:w="11906" w:h="16838"/>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773D37CB">
      <w:pPr>
        <w:widowControl/>
        <w:adjustRightInd w:val="0"/>
        <w:snapToGrid w:val="0"/>
        <w:spacing w:line="300" w:lineRule="auto"/>
        <w:jc w:val="left"/>
        <w:outlineLvl w:val="0"/>
        <w:rPr>
          <w:b/>
          <w:bCs/>
          <w:snapToGrid w:val="0"/>
          <w:kern w:val="0"/>
          <w:sz w:val="32"/>
          <w:szCs w:val="32"/>
        </w:rPr>
      </w:pPr>
      <w:r>
        <w:rPr>
          <w:b/>
          <w:bCs/>
          <w:snapToGrid w:val="0"/>
          <w:kern w:val="0"/>
          <w:sz w:val="32"/>
          <w:szCs w:val="32"/>
        </w:rPr>
        <w:t>附表</w:t>
      </w:r>
    </w:p>
    <w:p w14:paraId="44353479">
      <w:pPr>
        <w:widowControl/>
        <w:adjustRightInd w:val="0"/>
        <w:snapToGrid w:val="0"/>
        <w:spacing w:line="300" w:lineRule="auto"/>
        <w:ind w:firstLine="763"/>
        <w:jc w:val="right"/>
        <w:rPr>
          <w:b/>
          <w:bCs/>
          <w:snapToGrid w:val="0"/>
          <w:kern w:val="0"/>
          <w:szCs w:val="21"/>
        </w:rPr>
      </w:pPr>
      <w:r>
        <w:rPr>
          <w:b/>
          <w:bCs/>
          <w:snapToGrid w:val="0"/>
          <w:kern w:val="0"/>
          <w:sz w:val="38"/>
          <w:szCs w:val="38"/>
        </w:rPr>
        <w:t xml:space="preserve">建设项目污染物排放量汇总表                 </w:t>
      </w:r>
      <w:r>
        <w:rPr>
          <w:b/>
          <w:bCs/>
          <w:snapToGrid w:val="0"/>
          <w:kern w:val="0"/>
          <w:szCs w:val="21"/>
        </w:rPr>
        <w:t>单位：t/a</w:t>
      </w:r>
    </w:p>
    <w:tbl>
      <w:tblPr>
        <w:tblStyle w:val="27"/>
        <w:tblW w:w="1403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86"/>
        <w:gridCol w:w="1950"/>
        <w:gridCol w:w="1575"/>
        <w:gridCol w:w="1260"/>
        <w:gridCol w:w="1612"/>
        <w:gridCol w:w="1559"/>
        <w:gridCol w:w="1761"/>
        <w:gridCol w:w="1742"/>
        <w:gridCol w:w="1293"/>
      </w:tblGrid>
      <w:tr w14:paraId="2A93B3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86" w:type="dxa"/>
            <w:tcBorders>
              <w:tl2br w:val="single" w:color="auto" w:sz="4" w:space="0"/>
            </w:tcBorders>
            <w:tcMar>
              <w:left w:w="28" w:type="dxa"/>
              <w:right w:w="28" w:type="dxa"/>
            </w:tcMar>
            <w:vAlign w:val="center"/>
          </w:tcPr>
          <w:p w14:paraId="33145164">
            <w:pPr>
              <w:adjustRightInd w:val="0"/>
              <w:snapToGrid w:val="0"/>
              <w:jc w:val="center"/>
              <w:rPr>
                <w:b/>
                <w:bCs/>
                <w:snapToGrid w:val="0"/>
                <w:kern w:val="21"/>
                <w:szCs w:val="21"/>
              </w:rPr>
            </w:pPr>
            <w:r>
              <w:rPr>
                <w:b/>
                <w:bCs/>
                <w:snapToGrid w:val="0"/>
                <w:kern w:val="21"/>
                <w:szCs w:val="21"/>
              </w:rPr>
              <w:t>项目</w:t>
            </w:r>
          </w:p>
          <w:p w14:paraId="0E5BAB27">
            <w:pPr>
              <w:adjustRightInd w:val="0"/>
              <w:snapToGrid w:val="0"/>
              <w:jc w:val="center"/>
              <w:rPr>
                <w:b/>
                <w:bCs/>
                <w:snapToGrid w:val="0"/>
                <w:kern w:val="21"/>
                <w:szCs w:val="21"/>
              </w:rPr>
            </w:pPr>
            <w:r>
              <w:rPr>
                <w:b/>
                <w:bCs/>
                <w:snapToGrid w:val="0"/>
                <w:kern w:val="21"/>
                <w:szCs w:val="21"/>
              </w:rPr>
              <w:t>分类</w:t>
            </w:r>
          </w:p>
        </w:tc>
        <w:tc>
          <w:tcPr>
            <w:tcW w:w="1950" w:type="dxa"/>
            <w:tcMar>
              <w:left w:w="28" w:type="dxa"/>
              <w:right w:w="28" w:type="dxa"/>
            </w:tcMar>
            <w:vAlign w:val="center"/>
          </w:tcPr>
          <w:p w14:paraId="50D0863C">
            <w:pPr>
              <w:adjustRightInd w:val="0"/>
              <w:snapToGrid w:val="0"/>
              <w:jc w:val="center"/>
              <w:rPr>
                <w:b/>
                <w:bCs/>
                <w:snapToGrid w:val="0"/>
                <w:kern w:val="21"/>
                <w:szCs w:val="21"/>
              </w:rPr>
            </w:pPr>
            <w:r>
              <w:rPr>
                <w:b/>
                <w:bCs/>
                <w:snapToGrid w:val="0"/>
                <w:kern w:val="21"/>
                <w:szCs w:val="21"/>
              </w:rPr>
              <w:t>污染物名称</w:t>
            </w:r>
          </w:p>
        </w:tc>
        <w:tc>
          <w:tcPr>
            <w:tcW w:w="1575" w:type="dxa"/>
            <w:tcMar>
              <w:left w:w="28" w:type="dxa"/>
              <w:right w:w="28" w:type="dxa"/>
            </w:tcMar>
            <w:vAlign w:val="center"/>
          </w:tcPr>
          <w:p w14:paraId="6C707CF0">
            <w:pPr>
              <w:adjustRightInd w:val="0"/>
              <w:snapToGrid w:val="0"/>
              <w:jc w:val="center"/>
              <w:rPr>
                <w:b/>
                <w:bCs/>
                <w:snapToGrid w:val="0"/>
                <w:kern w:val="21"/>
                <w:szCs w:val="21"/>
              </w:rPr>
            </w:pPr>
            <w:r>
              <w:rPr>
                <w:b/>
                <w:bCs/>
                <w:snapToGrid w:val="0"/>
                <w:kern w:val="21"/>
                <w:szCs w:val="21"/>
              </w:rPr>
              <w:t>现有工程</w:t>
            </w:r>
          </w:p>
          <w:p w14:paraId="6733E593">
            <w:pPr>
              <w:adjustRightInd w:val="0"/>
              <w:snapToGrid w:val="0"/>
              <w:jc w:val="center"/>
              <w:rPr>
                <w:b/>
                <w:bCs/>
                <w:snapToGrid w:val="0"/>
                <w:kern w:val="21"/>
                <w:szCs w:val="21"/>
              </w:rPr>
            </w:pPr>
            <w:r>
              <w:rPr>
                <w:b/>
                <w:bCs/>
                <w:snapToGrid w:val="0"/>
                <w:kern w:val="21"/>
                <w:szCs w:val="21"/>
              </w:rPr>
              <w:t>排放量（固体废物产生量）</w:t>
            </w:r>
            <w:r>
              <w:rPr>
                <w:b/>
                <w:bCs/>
                <w:snapToGrid w:val="0"/>
                <w:kern w:val="21"/>
                <w:szCs w:val="21"/>
              </w:rPr>
              <w:fldChar w:fldCharType="begin"/>
            </w:r>
            <w:r>
              <w:rPr>
                <w:b/>
                <w:bCs/>
                <w:snapToGrid w:val="0"/>
                <w:kern w:val="21"/>
                <w:szCs w:val="21"/>
              </w:rPr>
              <w:instrText xml:space="preserve"> = 1 \* GB3 \* MERGEFORMAT </w:instrText>
            </w:r>
            <w:r>
              <w:rPr>
                <w:b/>
                <w:bCs/>
                <w:snapToGrid w:val="0"/>
                <w:kern w:val="21"/>
                <w:szCs w:val="21"/>
              </w:rPr>
              <w:fldChar w:fldCharType="separate"/>
            </w:r>
            <w:r>
              <w:rPr>
                <w:b/>
                <w:bCs/>
                <w:szCs w:val="21"/>
              </w:rPr>
              <w:t>①</w:t>
            </w:r>
            <w:r>
              <w:rPr>
                <w:b/>
                <w:bCs/>
                <w:snapToGrid w:val="0"/>
                <w:kern w:val="21"/>
                <w:szCs w:val="21"/>
              </w:rPr>
              <w:fldChar w:fldCharType="end"/>
            </w:r>
          </w:p>
        </w:tc>
        <w:tc>
          <w:tcPr>
            <w:tcW w:w="1260" w:type="dxa"/>
            <w:tcMar>
              <w:left w:w="28" w:type="dxa"/>
              <w:right w:w="28" w:type="dxa"/>
            </w:tcMar>
            <w:vAlign w:val="center"/>
          </w:tcPr>
          <w:p w14:paraId="19DBF5B7">
            <w:pPr>
              <w:adjustRightInd w:val="0"/>
              <w:snapToGrid w:val="0"/>
              <w:jc w:val="center"/>
              <w:rPr>
                <w:b/>
                <w:bCs/>
                <w:snapToGrid w:val="0"/>
                <w:kern w:val="21"/>
                <w:szCs w:val="21"/>
              </w:rPr>
            </w:pPr>
            <w:r>
              <w:rPr>
                <w:b/>
                <w:bCs/>
                <w:snapToGrid w:val="0"/>
                <w:kern w:val="21"/>
                <w:szCs w:val="21"/>
              </w:rPr>
              <w:t>现有工程</w:t>
            </w:r>
          </w:p>
          <w:p w14:paraId="1A73D8F5">
            <w:pPr>
              <w:adjustRightInd w:val="0"/>
              <w:snapToGrid w:val="0"/>
              <w:jc w:val="center"/>
              <w:rPr>
                <w:b/>
                <w:bCs/>
                <w:snapToGrid w:val="0"/>
                <w:kern w:val="21"/>
                <w:szCs w:val="21"/>
              </w:rPr>
            </w:pPr>
            <w:r>
              <w:rPr>
                <w:b/>
                <w:bCs/>
                <w:snapToGrid w:val="0"/>
                <w:kern w:val="21"/>
                <w:szCs w:val="21"/>
              </w:rPr>
              <w:t>许可排放量</w:t>
            </w:r>
          </w:p>
          <w:p w14:paraId="27F49CFE">
            <w:pPr>
              <w:adjustRightInd w:val="0"/>
              <w:snapToGrid w:val="0"/>
              <w:jc w:val="center"/>
              <w:rPr>
                <w:b/>
                <w:bCs/>
                <w:snapToGrid w:val="0"/>
                <w:kern w:val="21"/>
                <w:szCs w:val="21"/>
              </w:rPr>
            </w:pPr>
            <w:r>
              <w:rPr>
                <w:b/>
                <w:bCs/>
                <w:snapToGrid w:val="0"/>
                <w:kern w:val="21"/>
                <w:szCs w:val="21"/>
              </w:rPr>
              <w:fldChar w:fldCharType="begin"/>
            </w:r>
            <w:r>
              <w:rPr>
                <w:b/>
                <w:bCs/>
                <w:snapToGrid w:val="0"/>
                <w:kern w:val="21"/>
                <w:szCs w:val="21"/>
              </w:rPr>
              <w:instrText xml:space="preserve"> = 2 \* GB3 \* MERGEFORMAT </w:instrText>
            </w:r>
            <w:r>
              <w:rPr>
                <w:b/>
                <w:bCs/>
                <w:snapToGrid w:val="0"/>
                <w:kern w:val="21"/>
                <w:szCs w:val="21"/>
              </w:rPr>
              <w:fldChar w:fldCharType="separate"/>
            </w:r>
            <w:r>
              <w:rPr>
                <w:b/>
                <w:bCs/>
                <w:snapToGrid w:val="0"/>
                <w:kern w:val="21"/>
                <w:szCs w:val="21"/>
              </w:rPr>
              <w:t>②</w:t>
            </w:r>
            <w:r>
              <w:rPr>
                <w:b/>
                <w:bCs/>
                <w:snapToGrid w:val="0"/>
                <w:kern w:val="21"/>
                <w:szCs w:val="21"/>
              </w:rPr>
              <w:fldChar w:fldCharType="end"/>
            </w:r>
          </w:p>
        </w:tc>
        <w:tc>
          <w:tcPr>
            <w:tcW w:w="1612" w:type="dxa"/>
            <w:tcMar>
              <w:left w:w="28" w:type="dxa"/>
              <w:right w:w="28" w:type="dxa"/>
            </w:tcMar>
            <w:vAlign w:val="center"/>
          </w:tcPr>
          <w:p w14:paraId="32CEEFD8">
            <w:pPr>
              <w:adjustRightInd w:val="0"/>
              <w:snapToGrid w:val="0"/>
              <w:jc w:val="center"/>
              <w:rPr>
                <w:b/>
                <w:bCs/>
                <w:snapToGrid w:val="0"/>
                <w:kern w:val="21"/>
                <w:szCs w:val="21"/>
              </w:rPr>
            </w:pPr>
            <w:r>
              <w:rPr>
                <w:b/>
                <w:bCs/>
                <w:snapToGrid w:val="0"/>
                <w:kern w:val="21"/>
                <w:szCs w:val="21"/>
              </w:rPr>
              <w:t>在建工程</w:t>
            </w:r>
          </w:p>
          <w:p w14:paraId="466AD077">
            <w:pPr>
              <w:adjustRightInd w:val="0"/>
              <w:snapToGrid w:val="0"/>
              <w:jc w:val="center"/>
              <w:rPr>
                <w:b/>
                <w:bCs/>
                <w:snapToGrid w:val="0"/>
                <w:kern w:val="21"/>
                <w:szCs w:val="21"/>
              </w:rPr>
            </w:pPr>
            <w:r>
              <w:rPr>
                <w:b/>
                <w:bCs/>
                <w:snapToGrid w:val="0"/>
                <w:kern w:val="21"/>
                <w:szCs w:val="21"/>
              </w:rPr>
              <w:t>排放量（固体废物产生量）</w:t>
            </w:r>
            <w:r>
              <w:rPr>
                <w:b/>
                <w:bCs/>
                <w:snapToGrid w:val="0"/>
                <w:kern w:val="21"/>
                <w:szCs w:val="21"/>
              </w:rPr>
              <w:fldChar w:fldCharType="begin"/>
            </w:r>
            <w:r>
              <w:rPr>
                <w:b/>
                <w:bCs/>
                <w:snapToGrid w:val="0"/>
                <w:kern w:val="21"/>
                <w:szCs w:val="21"/>
              </w:rPr>
              <w:instrText xml:space="preserve"> = 3 \* GB3 \* MERGEFORMAT </w:instrText>
            </w:r>
            <w:r>
              <w:rPr>
                <w:b/>
                <w:bCs/>
                <w:snapToGrid w:val="0"/>
                <w:kern w:val="21"/>
                <w:szCs w:val="21"/>
              </w:rPr>
              <w:fldChar w:fldCharType="separate"/>
            </w:r>
            <w:r>
              <w:rPr>
                <w:b/>
                <w:bCs/>
                <w:szCs w:val="21"/>
              </w:rPr>
              <w:t>③</w:t>
            </w:r>
            <w:r>
              <w:rPr>
                <w:b/>
                <w:bCs/>
                <w:snapToGrid w:val="0"/>
                <w:kern w:val="21"/>
                <w:szCs w:val="21"/>
              </w:rPr>
              <w:fldChar w:fldCharType="end"/>
            </w:r>
          </w:p>
        </w:tc>
        <w:tc>
          <w:tcPr>
            <w:tcW w:w="1559" w:type="dxa"/>
            <w:tcMar>
              <w:left w:w="28" w:type="dxa"/>
              <w:right w:w="28" w:type="dxa"/>
            </w:tcMar>
            <w:vAlign w:val="center"/>
          </w:tcPr>
          <w:p w14:paraId="3644BAFB">
            <w:pPr>
              <w:adjustRightInd w:val="0"/>
              <w:snapToGrid w:val="0"/>
              <w:jc w:val="center"/>
              <w:rPr>
                <w:b/>
                <w:bCs/>
                <w:snapToGrid w:val="0"/>
                <w:kern w:val="21"/>
                <w:szCs w:val="21"/>
              </w:rPr>
            </w:pPr>
            <w:r>
              <w:rPr>
                <w:b/>
                <w:bCs/>
                <w:snapToGrid w:val="0"/>
                <w:kern w:val="21"/>
                <w:szCs w:val="21"/>
              </w:rPr>
              <w:t>本项目</w:t>
            </w:r>
          </w:p>
          <w:p w14:paraId="7BE5BA7A">
            <w:pPr>
              <w:adjustRightInd w:val="0"/>
              <w:snapToGrid w:val="0"/>
              <w:jc w:val="center"/>
              <w:rPr>
                <w:b/>
                <w:bCs/>
                <w:snapToGrid w:val="0"/>
                <w:kern w:val="21"/>
                <w:szCs w:val="21"/>
              </w:rPr>
            </w:pPr>
            <w:r>
              <w:rPr>
                <w:b/>
                <w:bCs/>
                <w:snapToGrid w:val="0"/>
                <w:kern w:val="21"/>
                <w:szCs w:val="21"/>
              </w:rPr>
              <w:t>排放量（固体废物产生量）</w:t>
            </w:r>
            <w:r>
              <w:rPr>
                <w:b/>
                <w:bCs/>
                <w:snapToGrid w:val="0"/>
                <w:kern w:val="21"/>
                <w:szCs w:val="21"/>
              </w:rPr>
              <w:fldChar w:fldCharType="begin"/>
            </w:r>
            <w:r>
              <w:rPr>
                <w:b/>
                <w:bCs/>
                <w:snapToGrid w:val="0"/>
                <w:kern w:val="21"/>
                <w:szCs w:val="21"/>
              </w:rPr>
              <w:instrText xml:space="preserve"> = 4 \* GB3 \* MERGEFORMAT </w:instrText>
            </w:r>
            <w:r>
              <w:rPr>
                <w:b/>
                <w:bCs/>
                <w:snapToGrid w:val="0"/>
                <w:kern w:val="21"/>
                <w:szCs w:val="21"/>
              </w:rPr>
              <w:fldChar w:fldCharType="separate"/>
            </w:r>
            <w:r>
              <w:rPr>
                <w:b/>
                <w:bCs/>
                <w:szCs w:val="21"/>
              </w:rPr>
              <w:t>④</w:t>
            </w:r>
            <w:r>
              <w:rPr>
                <w:b/>
                <w:bCs/>
                <w:snapToGrid w:val="0"/>
                <w:kern w:val="21"/>
                <w:szCs w:val="21"/>
              </w:rPr>
              <w:fldChar w:fldCharType="end"/>
            </w:r>
          </w:p>
        </w:tc>
        <w:tc>
          <w:tcPr>
            <w:tcW w:w="1761" w:type="dxa"/>
            <w:tcMar>
              <w:left w:w="28" w:type="dxa"/>
              <w:right w:w="28" w:type="dxa"/>
            </w:tcMar>
            <w:vAlign w:val="center"/>
          </w:tcPr>
          <w:p w14:paraId="2A612844">
            <w:pPr>
              <w:adjustRightInd w:val="0"/>
              <w:snapToGrid w:val="0"/>
              <w:jc w:val="center"/>
              <w:rPr>
                <w:b/>
                <w:bCs/>
                <w:snapToGrid w:val="0"/>
                <w:kern w:val="21"/>
                <w:szCs w:val="21"/>
              </w:rPr>
            </w:pPr>
            <w:r>
              <w:rPr>
                <w:b/>
                <w:bCs/>
                <w:snapToGrid w:val="0"/>
                <w:kern w:val="21"/>
                <w:szCs w:val="21"/>
              </w:rPr>
              <w:t>以新带老削减量</w:t>
            </w:r>
          </w:p>
          <w:p w14:paraId="0541FD8C">
            <w:pPr>
              <w:adjustRightInd w:val="0"/>
              <w:snapToGrid w:val="0"/>
              <w:jc w:val="center"/>
              <w:rPr>
                <w:b/>
                <w:bCs/>
                <w:snapToGrid w:val="0"/>
                <w:kern w:val="21"/>
                <w:szCs w:val="21"/>
              </w:rPr>
            </w:pPr>
            <w:r>
              <w:rPr>
                <w:b/>
                <w:bCs/>
                <w:snapToGrid w:val="0"/>
                <w:kern w:val="21"/>
                <w:szCs w:val="21"/>
              </w:rPr>
              <w:t>（新建项目不填）</w:t>
            </w:r>
            <w:r>
              <w:rPr>
                <w:b/>
                <w:bCs/>
                <w:snapToGrid w:val="0"/>
                <w:kern w:val="21"/>
                <w:szCs w:val="21"/>
              </w:rPr>
              <w:fldChar w:fldCharType="begin"/>
            </w:r>
            <w:r>
              <w:rPr>
                <w:b/>
                <w:bCs/>
                <w:snapToGrid w:val="0"/>
                <w:kern w:val="21"/>
                <w:szCs w:val="21"/>
              </w:rPr>
              <w:instrText xml:space="preserve"> = 5 \* GB3 \* MERGEFORMAT </w:instrText>
            </w:r>
            <w:r>
              <w:rPr>
                <w:b/>
                <w:bCs/>
                <w:snapToGrid w:val="0"/>
                <w:kern w:val="21"/>
                <w:szCs w:val="21"/>
              </w:rPr>
              <w:fldChar w:fldCharType="separate"/>
            </w:r>
            <w:r>
              <w:rPr>
                <w:b/>
                <w:bCs/>
                <w:szCs w:val="21"/>
              </w:rPr>
              <w:t>⑤</w:t>
            </w:r>
            <w:r>
              <w:rPr>
                <w:b/>
                <w:bCs/>
                <w:snapToGrid w:val="0"/>
                <w:kern w:val="21"/>
                <w:szCs w:val="21"/>
              </w:rPr>
              <w:fldChar w:fldCharType="end"/>
            </w:r>
          </w:p>
        </w:tc>
        <w:tc>
          <w:tcPr>
            <w:tcW w:w="1742" w:type="dxa"/>
            <w:tcMar>
              <w:left w:w="28" w:type="dxa"/>
              <w:right w:w="28" w:type="dxa"/>
            </w:tcMar>
            <w:vAlign w:val="center"/>
          </w:tcPr>
          <w:p w14:paraId="34320977">
            <w:pPr>
              <w:adjustRightInd w:val="0"/>
              <w:snapToGrid w:val="0"/>
              <w:jc w:val="center"/>
              <w:rPr>
                <w:b/>
                <w:bCs/>
                <w:snapToGrid w:val="0"/>
                <w:kern w:val="21"/>
                <w:szCs w:val="21"/>
              </w:rPr>
            </w:pPr>
            <w:r>
              <w:rPr>
                <w:b/>
                <w:bCs/>
                <w:snapToGrid w:val="0"/>
                <w:kern w:val="21"/>
                <w:szCs w:val="21"/>
              </w:rPr>
              <w:t>本项目建成后</w:t>
            </w:r>
          </w:p>
          <w:p w14:paraId="629403E4">
            <w:pPr>
              <w:adjustRightInd w:val="0"/>
              <w:snapToGrid w:val="0"/>
              <w:jc w:val="center"/>
              <w:rPr>
                <w:b/>
                <w:bCs/>
                <w:snapToGrid w:val="0"/>
                <w:kern w:val="21"/>
                <w:szCs w:val="21"/>
              </w:rPr>
            </w:pPr>
            <w:r>
              <w:rPr>
                <w:b/>
                <w:bCs/>
                <w:snapToGrid w:val="0"/>
                <w:kern w:val="21"/>
                <w:szCs w:val="21"/>
              </w:rPr>
              <w:t>全厂排放量（固体废物产生量）</w:t>
            </w:r>
            <w:r>
              <w:rPr>
                <w:b/>
                <w:bCs/>
                <w:snapToGrid w:val="0"/>
                <w:kern w:val="21"/>
                <w:szCs w:val="21"/>
              </w:rPr>
              <w:fldChar w:fldCharType="begin"/>
            </w:r>
            <w:r>
              <w:rPr>
                <w:b/>
                <w:bCs/>
                <w:snapToGrid w:val="0"/>
                <w:kern w:val="21"/>
                <w:szCs w:val="21"/>
              </w:rPr>
              <w:instrText xml:space="preserve"> = 6 \* GB3 \* MERGEFORMAT </w:instrText>
            </w:r>
            <w:r>
              <w:rPr>
                <w:b/>
                <w:bCs/>
                <w:snapToGrid w:val="0"/>
                <w:kern w:val="21"/>
                <w:szCs w:val="21"/>
              </w:rPr>
              <w:fldChar w:fldCharType="separate"/>
            </w:r>
            <w:r>
              <w:rPr>
                <w:b/>
                <w:bCs/>
                <w:szCs w:val="21"/>
              </w:rPr>
              <w:t>⑥</w:t>
            </w:r>
            <w:r>
              <w:rPr>
                <w:b/>
                <w:bCs/>
                <w:snapToGrid w:val="0"/>
                <w:kern w:val="21"/>
                <w:szCs w:val="21"/>
              </w:rPr>
              <w:fldChar w:fldCharType="end"/>
            </w:r>
          </w:p>
        </w:tc>
        <w:tc>
          <w:tcPr>
            <w:tcW w:w="1293" w:type="dxa"/>
            <w:tcMar>
              <w:left w:w="28" w:type="dxa"/>
              <w:right w:w="28" w:type="dxa"/>
            </w:tcMar>
            <w:vAlign w:val="center"/>
          </w:tcPr>
          <w:p w14:paraId="48824767">
            <w:pPr>
              <w:adjustRightInd w:val="0"/>
              <w:snapToGrid w:val="0"/>
              <w:jc w:val="center"/>
              <w:rPr>
                <w:b/>
                <w:bCs/>
                <w:snapToGrid w:val="0"/>
                <w:kern w:val="21"/>
                <w:szCs w:val="21"/>
              </w:rPr>
            </w:pPr>
            <w:r>
              <w:rPr>
                <w:b/>
                <w:bCs/>
                <w:snapToGrid w:val="0"/>
                <w:kern w:val="21"/>
                <w:szCs w:val="21"/>
              </w:rPr>
              <w:t>变化量</w:t>
            </w:r>
          </w:p>
          <w:p w14:paraId="40518188">
            <w:pPr>
              <w:adjustRightInd w:val="0"/>
              <w:snapToGrid w:val="0"/>
              <w:jc w:val="center"/>
              <w:rPr>
                <w:b/>
                <w:bCs/>
                <w:snapToGrid w:val="0"/>
                <w:kern w:val="21"/>
                <w:szCs w:val="21"/>
              </w:rPr>
            </w:pPr>
            <w:r>
              <w:rPr>
                <w:b/>
                <w:bCs/>
                <w:snapToGrid w:val="0"/>
                <w:kern w:val="21"/>
                <w:szCs w:val="21"/>
              </w:rPr>
              <w:fldChar w:fldCharType="begin"/>
            </w:r>
            <w:r>
              <w:rPr>
                <w:b/>
                <w:bCs/>
                <w:snapToGrid w:val="0"/>
                <w:kern w:val="21"/>
                <w:szCs w:val="21"/>
              </w:rPr>
              <w:instrText xml:space="preserve"> = 7 \* GB3 \* MERGEFORMAT </w:instrText>
            </w:r>
            <w:r>
              <w:rPr>
                <w:b/>
                <w:bCs/>
                <w:snapToGrid w:val="0"/>
                <w:kern w:val="21"/>
                <w:szCs w:val="21"/>
              </w:rPr>
              <w:fldChar w:fldCharType="separate"/>
            </w:r>
            <w:r>
              <w:rPr>
                <w:b/>
                <w:bCs/>
                <w:szCs w:val="21"/>
              </w:rPr>
              <w:t>⑦</w:t>
            </w:r>
            <w:r>
              <w:rPr>
                <w:b/>
                <w:bCs/>
                <w:snapToGrid w:val="0"/>
                <w:kern w:val="21"/>
                <w:szCs w:val="21"/>
              </w:rPr>
              <w:fldChar w:fldCharType="end"/>
            </w:r>
          </w:p>
        </w:tc>
      </w:tr>
      <w:tr w14:paraId="7F1473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86" w:type="dxa"/>
            <w:vMerge w:val="restart"/>
            <w:vAlign w:val="center"/>
          </w:tcPr>
          <w:p w14:paraId="5BD1EA0F">
            <w:pPr>
              <w:adjustRightInd w:val="0"/>
              <w:snapToGrid w:val="0"/>
              <w:jc w:val="center"/>
              <w:rPr>
                <w:b/>
                <w:bCs/>
                <w:snapToGrid w:val="0"/>
                <w:kern w:val="21"/>
                <w:szCs w:val="21"/>
              </w:rPr>
            </w:pPr>
            <w:r>
              <w:rPr>
                <w:b/>
                <w:bCs/>
                <w:snapToGrid w:val="0"/>
                <w:kern w:val="21"/>
                <w:szCs w:val="21"/>
              </w:rPr>
              <w:t>废气</w:t>
            </w:r>
          </w:p>
        </w:tc>
        <w:tc>
          <w:tcPr>
            <w:tcW w:w="1950" w:type="dxa"/>
            <w:vAlign w:val="center"/>
          </w:tcPr>
          <w:p w14:paraId="203482BB">
            <w:pPr>
              <w:pStyle w:val="9"/>
              <w:spacing w:line="240" w:lineRule="auto"/>
              <w:ind w:left="0" w:leftChars="0" w:firstLine="0" w:firstLineChars="0"/>
              <w:jc w:val="center"/>
              <w:rPr>
                <w:rFonts w:hint="eastAsia"/>
                <w:bCs/>
                <w:sz w:val="21"/>
                <w:szCs w:val="21"/>
                <w:lang w:val="en-US" w:eastAsia="zh-CN"/>
              </w:rPr>
            </w:pPr>
            <w:r>
              <w:rPr>
                <w:rFonts w:hint="eastAsia"/>
                <w:bCs/>
                <w:sz w:val="21"/>
                <w:szCs w:val="21"/>
                <w:lang w:val="en-US" w:eastAsia="zh-CN"/>
              </w:rPr>
              <w:t>颗粒物</w:t>
            </w:r>
          </w:p>
        </w:tc>
        <w:tc>
          <w:tcPr>
            <w:tcW w:w="1575" w:type="dxa"/>
            <w:vAlign w:val="center"/>
          </w:tcPr>
          <w:p w14:paraId="29C4EE63">
            <w:pPr>
              <w:jc w:val="center"/>
              <w:rPr>
                <w:rFonts w:hint="default" w:eastAsia="宋体"/>
                <w:bCs/>
                <w:snapToGrid w:val="0"/>
                <w:kern w:val="21"/>
                <w:szCs w:val="21"/>
                <w:lang w:val="en-US" w:eastAsia="zh-CN"/>
              </w:rPr>
            </w:pPr>
            <w:r>
              <w:rPr>
                <w:rFonts w:hint="eastAsia"/>
                <w:bCs/>
                <w:snapToGrid w:val="0"/>
                <w:kern w:val="21"/>
                <w:szCs w:val="21"/>
                <w:lang w:val="en-US" w:eastAsia="zh-CN"/>
              </w:rPr>
              <w:t>3.2</w:t>
            </w:r>
          </w:p>
        </w:tc>
        <w:tc>
          <w:tcPr>
            <w:tcW w:w="1260" w:type="dxa"/>
            <w:vAlign w:val="center"/>
          </w:tcPr>
          <w:p w14:paraId="29993AE1">
            <w:pPr>
              <w:jc w:val="center"/>
              <w:rPr>
                <w:snapToGrid w:val="0"/>
                <w:kern w:val="21"/>
                <w:szCs w:val="21"/>
              </w:rPr>
            </w:pPr>
            <w:r>
              <w:rPr>
                <w:bCs/>
                <w:snapToGrid w:val="0"/>
                <w:kern w:val="21"/>
                <w:szCs w:val="21"/>
              </w:rPr>
              <w:t>/</w:t>
            </w:r>
          </w:p>
        </w:tc>
        <w:tc>
          <w:tcPr>
            <w:tcW w:w="1612" w:type="dxa"/>
            <w:vAlign w:val="center"/>
          </w:tcPr>
          <w:p w14:paraId="5159F96D">
            <w:pPr>
              <w:jc w:val="center"/>
              <w:rPr>
                <w:snapToGrid w:val="0"/>
                <w:kern w:val="21"/>
                <w:szCs w:val="21"/>
              </w:rPr>
            </w:pPr>
            <w:r>
              <w:rPr>
                <w:bCs/>
                <w:snapToGrid w:val="0"/>
                <w:kern w:val="21"/>
                <w:szCs w:val="21"/>
              </w:rPr>
              <w:t>/</w:t>
            </w:r>
          </w:p>
        </w:tc>
        <w:tc>
          <w:tcPr>
            <w:tcW w:w="1559" w:type="dxa"/>
            <w:vAlign w:val="center"/>
          </w:tcPr>
          <w:p w14:paraId="1CDDDFC3">
            <w:pPr>
              <w:pStyle w:val="5"/>
              <w:spacing w:before="0" w:after="0" w:line="0" w:lineRule="atLeast"/>
              <w:jc w:val="center"/>
              <w:rPr>
                <w:rFonts w:hint="default" w:eastAsia="宋体"/>
                <w:b/>
                <w:color w:val="FF0000"/>
                <w:kern w:val="0"/>
                <w:szCs w:val="21"/>
                <w:lang w:val="en-US" w:eastAsia="zh-CN"/>
              </w:rPr>
            </w:pPr>
            <w:r>
              <w:rPr>
                <w:rFonts w:hint="eastAsia"/>
                <w:b w:val="0"/>
                <w:bCs w:val="0"/>
                <w:color w:val="FF0000"/>
                <w:sz w:val="21"/>
                <w:szCs w:val="21"/>
                <w:lang w:val="en-US" w:eastAsia="zh-CN"/>
              </w:rPr>
              <w:t>0.508</w:t>
            </w:r>
          </w:p>
        </w:tc>
        <w:tc>
          <w:tcPr>
            <w:tcW w:w="1761" w:type="dxa"/>
            <w:vAlign w:val="center"/>
          </w:tcPr>
          <w:p w14:paraId="581EA7BD">
            <w:pPr>
              <w:jc w:val="center"/>
              <w:rPr>
                <w:snapToGrid w:val="0"/>
                <w:color w:val="FF0000"/>
                <w:kern w:val="21"/>
                <w:szCs w:val="21"/>
              </w:rPr>
            </w:pPr>
            <w:r>
              <w:rPr>
                <w:bCs/>
                <w:snapToGrid w:val="0"/>
                <w:color w:val="FF0000"/>
                <w:kern w:val="21"/>
                <w:szCs w:val="21"/>
              </w:rPr>
              <w:t>/</w:t>
            </w:r>
          </w:p>
        </w:tc>
        <w:tc>
          <w:tcPr>
            <w:tcW w:w="1742" w:type="dxa"/>
            <w:vAlign w:val="center"/>
          </w:tcPr>
          <w:p w14:paraId="6AA4B0B0">
            <w:pPr>
              <w:pStyle w:val="5"/>
              <w:spacing w:before="0" w:after="0" w:line="0" w:lineRule="atLeast"/>
              <w:jc w:val="center"/>
              <w:rPr>
                <w:rFonts w:hint="default"/>
                <w:color w:val="FF0000"/>
                <w:szCs w:val="21"/>
                <w:lang w:val="en-US"/>
              </w:rPr>
            </w:pPr>
            <w:r>
              <w:rPr>
                <w:rFonts w:hint="eastAsia"/>
                <w:b w:val="0"/>
                <w:bCs w:val="0"/>
                <w:color w:val="FF0000"/>
                <w:sz w:val="21"/>
                <w:szCs w:val="21"/>
                <w:lang w:val="en-US" w:eastAsia="zh-CN"/>
              </w:rPr>
              <w:t>0.508</w:t>
            </w:r>
          </w:p>
        </w:tc>
        <w:tc>
          <w:tcPr>
            <w:tcW w:w="1293" w:type="dxa"/>
            <w:vAlign w:val="center"/>
          </w:tcPr>
          <w:p w14:paraId="6854C6BD">
            <w:pPr>
              <w:adjustRightInd w:val="0"/>
              <w:snapToGrid w:val="0"/>
              <w:jc w:val="center"/>
              <w:rPr>
                <w:rFonts w:hint="default"/>
                <w:b/>
                <w:bCs/>
                <w:snapToGrid w:val="0"/>
                <w:color w:val="FF0000"/>
                <w:kern w:val="21"/>
                <w:szCs w:val="21"/>
                <w:lang w:val="en-US"/>
              </w:rPr>
            </w:pPr>
            <w:r>
              <w:rPr>
                <w:rFonts w:hint="eastAsia"/>
                <w:b w:val="0"/>
                <w:bCs w:val="0"/>
                <w:color w:val="FF0000"/>
                <w:sz w:val="21"/>
                <w:szCs w:val="21"/>
                <w:lang w:val="en-US" w:eastAsia="zh-CN"/>
              </w:rPr>
              <w:t>-2.692</w:t>
            </w:r>
          </w:p>
        </w:tc>
      </w:tr>
      <w:tr w14:paraId="03CD9F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286" w:type="dxa"/>
            <w:vMerge w:val="continue"/>
            <w:vAlign w:val="center"/>
          </w:tcPr>
          <w:p w14:paraId="70C34189">
            <w:pPr>
              <w:adjustRightInd w:val="0"/>
              <w:snapToGrid w:val="0"/>
              <w:jc w:val="center"/>
              <w:rPr>
                <w:b/>
                <w:bCs/>
                <w:snapToGrid w:val="0"/>
                <w:kern w:val="21"/>
                <w:szCs w:val="21"/>
              </w:rPr>
            </w:pPr>
          </w:p>
        </w:tc>
        <w:tc>
          <w:tcPr>
            <w:tcW w:w="1950" w:type="dxa"/>
            <w:vAlign w:val="center"/>
          </w:tcPr>
          <w:p w14:paraId="409C0320">
            <w:pPr>
              <w:pStyle w:val="9"/>
              <w:spacing w:line="240" w:lineRule="auto"/>
              <w:ind w:left="0" w:leftChars="0" w:firstLine="0" w:firstLineChars="0"/>
              <w:jc w:val="center"/>
              <w:rPr>
                <w:rFonts w:hint="eastAsia"/>
                <w:sz w:val="21"/>
                <w:szCs w:val="21"/>
                <w:lang w:val="en-US" w:eastAsia="zh-CN"/>
              </w:rPr>
            </w:pPr>
            <w:r>
              <w:rPr>
                <w:rFonts w:hint="eastAsia"/>
                <w:sz w:val="21"/>
                <w:szCs w:val="21"/>
                <w:lang w:val="en-US" w:eastAsia="zh-CN"/>
              </w:rPr>
              <w:t>SO</w:t>
            </w:r>
            <w:r>
              <w:rPr>
                <w:rFonts w:hint="eastAsia"/>
                <w:sz w:val="21"/>
                <w:szCs w:val="21"/>
                <w:vertAlign w:val="subscript"/>
                <w:lang w:val="en-US" w:eastAsia="zh-CN"/>
              </w:rPr>
              <w:t>2</w:t>
            </w:r>
          </w:p>
        </w:tc>
        <w:tc>
          <w:tcPr>
            <w:tcW w:w="1575" w:type="dxa"/>
            <w:vAlign w:val="center"/>
          </w:tcPr>
          <w:p w14:paraId="1DDC3FA5">
            <w:pPr>
              <w:jc w:val="center"/>
              <w:rPr>
                <w:rFonts w:hint="default" w:eastAsia="宋体"/>
                <w:bCs/>
                <w:snapToGrid w:val="0"/>
                <w:kern w:val="21"/>
                <w:szCs w:val="21"/>
                <w:lang w:val="en-US" w:eastAsia="zh-CN"/>
              </w:rPr>
            </w:pPr>
            <w:r>
              <w:rPr>
                <w:rFonts w:hint="eastAsia" w:cs="Times New Roman"/>
                <w:b w:val="0"/>
                <w:bCs w:val="0"/>
                <w:color w:val="000000"/>
                <w:sz w:val="21"/>
                <w:szCs w:val="21"/>
                <w:vertAlign w:val="baseline"/>
                <w:lang w:val="en-US" w:eastAsia="zh-CN"/>
              </w:rPr>
              <w:t>0.765</w:t>
            </w:r>
          </w:p>
        </w:tc>
        <w:tc>
          <w:tcPr>
            <w:tcW w:w="1260" w:type="dxa"/>
            <w:vAlign w:val="center"/>
          </w:tcPr>
          <w:p w14:paraId="25B1B899">
            <w:pPr>
              <w:jc w:val="center"/>
              <w:rPr>
                <w:snapToGrid w:val="0"/>
                <w:kern w:val="21"/>
                <w:szCs w:val="21"/>
              </w:rPr>
            </w:pPr>
            <w:r>
              <w:rPr>
                <w:bCs/>
                <w:snapToGrid w:val="0"/>
                <w:kern w:val="21"/>
                <w:szCs w:val="21"/>
              </w:rPr>
              <w:t>/</w:t>
            </w:r>
          </w:p>
        </w:tc>
        <w:tc>
          <w:tcPr>
            <w:tcW w:w="1612" w:type="dxa"/>
            <w:vAlign w:val="center"/>
          </w:tcPr>
          <w:p w14:paraId="759DF1EB">
            <w:pPr>
              <w:jc w:val="center"/>
              <w:rPr>
                <w:snapToGrid w:val="0"/>
                <w:kern w:val="21"/>
                <w:szCs w:val="21"/>
              </w:rPr>
            </w:pPr>
            <w:r>
              <w:rPr>
                <w:bCs/>
                <w:snapToGrid w:val="0"/>
                <w:kern w:val="21"/>
                <w:szCs w:val="21"/>
              </w:rPr>
              <w:t>/</w:t>
            </w:r>
          </w:p>
        </w:tc>
        <w:tc>
          <w:tcPr>
            <w:tcW w:w="1559" w:type="dxa"/>
            <w:vAlign w:val="center"/>
          </w:tcPr>
          <w:p w14:paraId="3D5584E9">
            <w:pPr>
              <w:pStyle w:val="5"/>
              <w:spacing w:before="0" w:after="0" w:line="0" w:lineRule="atLeast"/>
              <w:jc w:val="center"/>
              <w:rPr>
                <w:rFonts w:hint="default"/>
                <w:bCs/>
                <w:snapToGrid w:val="0"/>
                <w:kern w:val="21"/>
                <w:szCs w:val="21"/>
                <w:lang w:val="en-US"/>
              </w:rPr>
            </w:pPr>
            <w:r>
              <w:rPr>
                <w:rFonts w:hint="eastAsia" w:cs="Times New Roman"/>
                <w:b w:val="0"/>
                <w:bCs w:val="0"/>
                <w:color w:val="000000"/>
                <w:sz w:val="21"/>
                <w:szCs w:val="21"/>
                <w:vertAlign w:val="baseline"/>
                <w:lang w:val="en-US" w:eastAsia="zh-CN"/>
              </w:rPr>
              <w:t>0.765</w:t>
            </w:r>
          </w:p>
        </w:tc>
        <w:tc>
          <w:tcPr>
            <w:tcW w:w="1761" w:type="dxa"/>
            <w:vAlign w:val="center"/>
          </w:tcPr>
          <w:p w14:paraId="6D293E69">
            <w:pPr>
              <w:jc w:val="center"/>
              <w:rPr>
                <w:snapToGrid w:val="0"/>
                <w:kern w:val="21"/>
                <w:szCs w:val="21"/>
              </w:rPr>
            </w:pPr>
            <w:r>
              <w:rPr>
                <w:bCs/>
                <w:snapToGrid w:val="0"/>
                <w:kern w:val="21"/>
                <w:szCs w:val="21"/>
              </w:rPr>
              <w:t>/</w:t>
            </w:r>
          </w:p>
        </w:tc>
        <w:tc>
          <w:tcPr>
            <w:tcW w:w="1742" w:type="dxa"/>
            <w:vAlign w:val="center"/>
          </w:tcPr>
          <w:p w14:paraId="72484EEB">
            <w:pPr>
              <w:pStyle w:val="5"/>
              <w:spacing w:before="0" w:after="0" w:line="0" w:lineRule="atLeast"/>
              <w:jc w:val="center"/>
              <w:rPr>
                <w:rFonts w:hint="default" w:eastAsia="宋体"/>
                <w:szCs w:val="21"/>
                <w:lang w:val="en-US" w:eastAsia="zh-CN"/>
              </w:rPr>
            </w:pPr>
            <w:r>
              <w:rPr>
                <w:rFonts w:hint="eastAsia" w:cs="Times New Roman"/>
                <w:b w:val="0"/>
                <w:bCs w:val="0"/>
                <w:color w:val="000000"/>
                <w:sz w:val="21"/>
                <w:szCs w:val="21"/>
                <w:vertAlign w:val="baseline"/>
                <w:lang w:val="en-US" w:eastAsia="zh-CN"/>
              </w:rPr>
              <w:t>0.765</w:t>
            </w:r>
          </w:p>
        </w:tc>
        <w:tc>
          <w:tcPr>
            <w:tcW w:w="1293" w:type="dxa"/>
            <w:vAlign w:val="center"/>
          </w:tcPr>
          <w:p w14:paraId="1468C63A">
            <w:pPr>
              <w:adjustRightInd w:val="0"/>
              <w:snapToGrid w:val="0"/>
              <w:jc w:val="center"/>
              <w:rPr>
                <w:bCs/>
                <w:snapToGrid w:val="0"/>
                <w:kern w:val="21"/>
                <w:szCs w:val="21"/>
              </w:rPr>
            </w:pPr>
            <w:r>
              <w:rPr>
                <w:rFonts w:hint="eastAsia"/>
                <w:b w:val="0"/>
                <w:bCs w:val="0"/>
                <w:sz w:val="21"/>
                <w:szCs w:val="21"/>
                <w:lang w:val="en-US" w:eastAsia="zh-CN"/>
              </w:rPr>
              <w:t>+0</w:t>
            </w:r>
          </w:p>
        </w:tc>
      </w:tr>
      <w:tr w14:paraId="49B478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4" w:hRule="atLeast"/>
          <w:jc w:val="center"/>
        </w:trPr>
        <w:tc>
          <w:tcPr>
            <w:tcW w:w="1286" w:type="dxa"/>
            <w:vMerge w:val="continue"/>
            <w:vAlign w:val="center"/>
          </w:tcPr>
          <w:p w14:paraId="14897325">
            <w:pPr>
              <w:adjustRightInd w:val="0"/>
              <w:snapToGrid w:val="0"/>
              <w:jc w:val="center"/>
              <w:rPr>
                <w:b/>
                <w:bCs/>
                <w:snapToGrid w:val="0"/>
                <w:kern w:val="21"/>
                <w:szCs w:val="21"/>
              </w:rPr>
            </w:pPr>
          </w:p>
        </w:tc>
        <w:tc>
          <w:tcPr>
            <w:tcW w:w="1950" w:type="dxa"/>
            <w:vAlign w:val="center"/>
          </w:tcPr>
          <w:p w14:paraId="19878C40">
            <w:pPr>
              <w:pStyle w:val="9"/>
              <w:spacing w:line="240" w:lineRule="auto"/>
              <w:ind w:left="0" w:leftChars="0" w:firstLine="0" w:firstLineChars="0"/>
              <w:jc w:val="center"/>
              <w:rPr>
                <w:rFonts w:hint="eastAsia"/>
                <w:sz w:val="21"/>
                <w:szCs w:val="21"/>
                <w:lang w:val="en-US" w:eastAsia="zh-CN"/>
              </w:rPr>
            </w:pPr>
            <w:r>
              <w:rPr>
                <w:rFonts w:hint="eastAsia"/>
                <w:sz w:val="21"/>
                <w:szCs w:val="21"/>
                <w:lang w:val="en-US" w:eastAsia="zh-CN"/>
              </w:rPr>
              <w:t>NO</w:t>
            </w:r>
            <w:r>
              <w:rPr>
                <w:rFonts w:hint="eastAsia"/>
                <w:sz w:val="21"/>
                <w:szCs w:val="21"/>
                <w:vertAlign w:val="subscript"/>
                <w:lang w:val="en-US" w:eastAsia="zh-CN"/>
              </w:rPr>
              <w:t>X</w:t>
            </w:r>
          </w:p>
        </w:tc>
        <w:tc>
          <w:tcPr>
            <w:tcW w:w="1575" w:type="dxa"/>
            <w:vAlign w:val="center"/>
          </w:tcPr>
          <w:p w14:paraId="7B596C14">
            <w:pPr>
              <w:pStyle w:val="5"/>
              <w:spacing w:before="0" w:after="0" w:line="0" w:lineRule="atLeast"/>
              <w:jc w:val="center"/>
              <w:rPr>
                <w:bCs/>
                <w:snapToGrid w:val="0"/>
                <w:kern w:val="21"/>
                <w:szCs w:val="21"/>
              </w:rPr>
            </w:pPr>
            <w:r>
              <w:rPr>
                <w:rFonts w:hint="eastAsia" w:cs="Times New Roman"/>
                <w:b w:val="0"/>
                <w:bCs w:val="0"/>
                <w:color w:val="000000" w:themeColor="text1"/>
                <w:sz w:val="21"/>
                <w:szCs w:val="21"/>
                <w:lang w:val="en-US" w:eastAsia="zh-CN"/>
                <w14:textFill>
                  <w14:solidFill>
                    <w14:schemeClr w14:val="tx1"/>
                  </w14:solidFill>
                </w14:textFill>
              </w:rPr>
              <w:t>4.59</w:t>
            </w:r>
          </w:p>
        </w:tc>
        <w:tc>
          <w:tcPr>
            <w:tcW w:w="1260" w:type="dxa"/>
            <w:vAlign w:val="center"/>
          </w:tcPr>
          <w:p w14:paraId="42EA7EA1">
            <w:pPr>
              <w:jc w:val="center"/>
              <w:rPr>
                <w:bCs/>
                <w:snapToGrid w:val="0"/>
                <w:kern w:val="21"/>
                <w:szCs w:val="21"/>
              </w:rPr>
            </w:pPr>
            <w:r>
              <w:rPr>
                <w:bCs/>
                <w:snapToGrid w:val="0"/>
                <w:kern w:val="21"/>
                <w:szCs w:val="21"/>
              </w:rPr>
              <w:t>/</w:t>
            </w:r>
          </w:p>
        </w:tc>
        <w:tc>
          <w:tcPr>
            <w:tcW w:w="1612" w:type="dxa"/>
            <w:vAlign w:val="center"/>
          </w:tcPr>
          <w:p w14:paraId="674A5ADF">
            <w:pPr>
              <w:jc w:val="center"/>
              <w:rPr>
                <w:bCs/>
                <w:snapToGrid w:val="0"/>
                <w:kern w:val="21"/>
                <w:szCs w:val="21"/>
              </w:rPr>
            </w:pPr>
            <w:r>
              <w:rPr>
                <w:bCs/>
                <w:snapToGrid w:val="0"/>
                <w:kern w:val="21"/>
                <w:szCs w:val="21"/>
              </w:rPr>
              <w:t>/</w:t>
            </w:r>
          </w:p>
        </w:tc>
        <w:tc>
          <w:tcPr>
            <w:tcW w:w="1559" w:type="dxa"/>
            <w:vAlign w:val="center"/>
          </w:tcPr>
          <w:p w14:paraId="42F7126C">
            <w:pPr>
              <w:pStyle w:val="5"/>
              <w:spacing w:before="0" w:after="0" w:line="0" w:lineRule="atLeast"/>
              <w:jc w:val="center"/>
              <w:rPr>
                <w:rFonts w:hint="default"/>
                <w:bCs/>
                <w:snapToGrid w:val="0"/>
                <w:kern w:val="21"/>
                <w:szCs w:val="21"/>
                <w:lang w:val="en-US"/>
              </w:rPr>
            </w:pPr>
            <w:r>
              <w:rPr>
                <w:rFonts w:hint="eastAsia" w:cs="Times New Roman"/>
                <w:b w:val="0"/>
                <w:bCs w:val="0"/>
                <w:color w:val="000000" w:themeColor="text1"/>
                <w:sz w:val="21"/>
                <w:szCs w:val="21"/>
                <w:lang w:val="en-US" w:eastAsia="zh-CN"/>
                <w14:textFill>
                  <w14:solidFill>
                    <w14:schemeClr w14:val="tx1"/>
                  </w14:solidFill>
                </w14:textFill>
              </w:rPr>
              <w:t>4.59</w:t>
            </w:r>
          </w:p>
        </w:tc>
        <w:tc>
          <w:tcPr>
            <w:tcW w:w="1761" w:type="dxa"/>
            <w:shd w:val="clear" w:color="auto" w:fill="auto"/>
            <w:vAlign w:val="center"/>
          </w:tcPr>
          <w:p w14:paraId="50F9830E">
            <w:pPr>
              <w:jc w:val="center"/>
              <w:rPr>
                <w:rFonts w:ascii="Times New Roman" w:hAnsi="Times New Roman" w:eastAsia="宋体" w:cs="Times New Roman"/>
                <w:bCs/>
                <w:snapToGrid w:val="0"/>
                <w:kern w:val="21"/>
                <w:sz w:val="21"/>
                <w:szCs w:val="21"/>
                <w:lang w:val="en-US" w:eastAsia="zh-CN" w:bidi="ar-SA"/>
              </w:rPr>
            </w:pPr>
            <w:r>
              <w:rPr>
                <w:bCs/>
                <w:snapToGrid w:val="0"/>
                <w:kern w:val="21"/>
                <w:szCs w:val="21"/>
              </w:rPr>
              <w:t>/</w:t>
            </w:r>
          </w:p>
        </w:tc>
        <w:tc>
          <w:tcPr>
            <w:tcW w:w="1742" w:type="dxa"/>
            <w:vAlign w:val="center"/>
          </w:tcPr>
          <w:p w14:paraId="079CF6CD">
            <w:pPr>
              <w:pStyle w:val="5"/>
              <w:spacing w:before="0" w:after="0" w:line="0" w:lineRule="atLeast"/>
              <w:jc w:val="center"/>
              <w:rPr>
                <w:rFonts w:hint="default"/>
                <w:bCs/>
                <w:snapToGrid w:val="0"/>
                <w:kern w:val="21"/>
                <w:szCs w:val="21"/>
                <w:lang w:val="en-US"/>
              </w:rPr>
            </w:pPr>
            <w:r>
              <w:rPr>
                <w:rFonts w:hint="eastAsia" w:cs="Times New Roman"/>
                <w:b w:val="0"/>
                <w:bCs w:val="0"/>
                <w:color w:val="000000" w:themeColor="text1"/>
                <w:sz w:val="21"/>
                <w:szCs w:val="21"/>
                <w:lang w:val="en-US" w:eastAsia="zh-CN"/>
                <w14:textFill>
                  <w14:solidFill>
                    <w14:schemeClr w14:val="tx1"/>
                  </w14:solidFill>
                </w14:textFill>
              </w:rPr>
              <w:t>4.59</w:t>
            </w:r>
          </w:p>
        </w:tc>
        <w:tc>
          <w:tcPr>
            <w:tcW w:w="1293" w:type="dxa"/>
            <w:vAlign w:val="center"/>
          </w:tcPr>
          <w:p w14:paraId="37CE3386">
            <w:pPr>
              <w:adjustRightInd w:val="0"/>
              <w:snapToGrid w:val="0"/>
              <w:jc w:val="center"/>
              <w:rPr>
                <w:rFonts w:hint="default"/>
                <w:bCs/>
                <w:snapToGrid w:val="0"/>
                <w:kern w:val="21"/>
                <w:szCs w:val="21"/>
                <w:lang w:val="en-US"/>
              </w:rPr>
            </w:pPr>
            <w:r>
              <w:rPr>
                <w:rFonts w:hint="eastAsia"/>
                <w:b w:val="0"/>
                <w:bCs w:val="0"/>
                <w:sz w:val="21"/>
                <w:szCs w:val="21"/>
                <w:lang w:val="en-US" w:eastAsia="zh-CN"/>
              </w:rPr>
              <w:t>+0</w:t>
            </w:r>
          </w:p>
        </w:tc>
      </w:tr>
      <w:tr w14:paraId="781CBF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4" w:hRule="atLeast"/>
          <w:jc w:val="center"/>
        </w:trPr>
        <w:tc>
          <w:tcPr>
            <w:tcW w:w="1286" w:type="dxa"/>
            <w:vMerge w:val="continue"/>
            <w:vAlign w:val="center"/>
          </w:tcPr>
          <w:p w14:paraId="0CFFF353">
            <w:pPr>
              <w:adjustRightInd w:val="0"/>
              <w:snapToGrid w:val="0"/>
              <w:jc w:val="center"/>
              <w:rPr>
                <w:b/>
                <w:bCs/>
                <w:snapToGrid w:val="0"/>
                <w:kern w:val="21"/>
                <w:szCs w:val="21"/>
              </w:rPr>
            </w:pPr>
          </w:p>
        </w:tc>
        <w:tc>
          <w:tcPr>
            <w:tcW w:w="1950" w:type="dxa"/>
            <w:vAlign w:val="center"/>
          </w:tcPr>
          <w:p w14:paraId="5706BBFA">
            <w:pPr>
              <w:pStyle w:val="9"/>
              <w:spacing w:line="240" w:lineRule="auto"/>
              <w:ind w:left="0" w:leftChars="0" w:firstLine="0" w:firstLineChars="0"/>
              <w:jc w:val="center"/>
              <w:rPr>
                <w:rFonts w:hint="default"/>
                <w:sz w:val="21"/>
                <w:szCs w:val="21"/>
                <w:lang w:val="en-US" w:eastAsia="zh-CN"/>
              </w:rPr>
            </w:pPr>
            <w:r>
              <w:rPr>
                <w:rFonts w:hint="eastAsia"/>
                <w:sz w:val="21"/>
                <w:szCs w:val="21"/>
                <w:lang w:val="en-US" w:eastAsia="zh-CN"/>
              </w:rPr>
              <w:t>粉尘</w:t>
            </w:r>
          </w:p>
        </w:tc>
        <w:tc>
          <w:tcPr>
            <w:tcW w:w="1575" w:type="dxa"/>
            <w:vAlign w:val="center"/>
          </w:tcPr>
          <w:p w14:paraId="380F97C5">
            <w:pPr>
              <w:jc w:val="center"/>
              <w:rPr>
                <w:bCs/>
                <w:snapToGrid w:val="0"/>
                <w:color w:val="auto"/>
                <w:kern w:val="21"/>
                <w:szCs w:val="21"/>
              </w:rPr>
            </w:pPr>
            <w:r>
              <w:rPr>
                <w:rFonts w:hint="eastAsia" w:cs="Times New Roman"/>
                <w:b w:val="0"/>
                <w:bCs w:val="0"/>
                <w:color w:val="auto"/>
                <w:sz w:val="21"/>
                <w:szCs w:val="21"/>
                <w:lang w:val="en-US" w:eastAsia="zh-CN"/>
              </w:rPr>
              <w:t>0.2</w:t>
            </w:r>
          </w:p>
        </w:tc>
        <w:tc>
          <w:tcPr>
            <w:tcW w:w="1260" w:type="dxa"/>
            <w:vAlign w:val="center"/>
          </w:tcPr>
          <w:p w14:paraId="464B7449">
            <w:pPr>
              <w:jc w:val="center"/>
              <w:rPr>
                <w:bCs/>
                <w:snapToGrid w:val="0"/>
                <w:color w:val="auto"/>
                <w:kern w:val="21"/>
                <w:szCs w:val="21"/>
              </w:rPr>
            </w:pPr>
            <w:r>
              <w:rPr>
                <w:bCs/>
                <w:snapToGrid w:val="0"/>
                <w:color w:val="auto"/>
                <w:kern w:val="21"/>
                <w:szCs w:val="21"/>
              </w:rPr>
              <w:t>/</w:t>
            </w:r>
          </w:p>
        </w:tc>
        <w:tc>
          <w:tcPr>
            <w:tcW w:w="1612" w:type="dxa"/>
            <w:shd w:val="clear" w:color="auto" w:fill="auto"/>
            <w:vAlign w:val="center"/>
          </w:tcPr>
          <w:p w14:paraId="113F5997">
            <w:pPr>
              <w:jc w:val="center"/>
              <w:rPr>
                <w:rFonts w:ascii="Times New Roman" w:hAnsi="Times New Roman" w:eastAsia="宋体" w:cs="Times New Roman"/>
                <w:bCs/>
                <w:snapToGrid w:val="0"/>
                <w:kern w:val="21"/>
                <w:sz w:val="21"/>
                <w:szCs w:val="21"/>
                <w:lang w:val="en-US" w:eastAsia="zh-CN" w:bidi="ar-SA"/>
              </w:rPr>
            </w:pPr>
            <w:r>
              <w:rPr>
                <w:bCs/>
                <w:snapToGrid w:val="0"/>
                <w:kern w:val="21"/>
                <w:szCs w:val="21"/>
              </w:rPr>
              <w:t>/</w:t>
            </w:r>
          </w:p>
        </w:tc>
        <w:tc>
          <w:tcPr>
            <w:tcW w:w="1559" w:type="dxa"/>
            <w:vAlign w:val="center"/>
          </w:tcPr>
          <w:p w14:paraId="225AA29B">
            <w:pPr>
              <w:adjustRightInd w:val="0"/>
              <w:snapToGrid w:val="0"/>
              <w:jc w:val="center"/>
              <w:rPr>
                <w:rFonts w:hint="default" w:cs="Times New Roman"/>
                <w:b w:val="0"/>
                <w:bCs w:val="0"/>
                <w:color w:val="auto"/>
                <w:sz w:val="21"/>
                <w:szCs w:val="21"/>
                <w:lang w:val="en-US" w:eastAsia="zh-CN"/>
              </w:rPr>
            </w:pPr>
            <w:r>
              <w:rPr>
                <w:rFonts w:hint="eastAsia" w:cs="Times New Roman"/>
                <w:b w:val="0"/>
                <w:bCs w:val="0"/>
                <w:color w:val="auto"/>
                <w:sz w:val="21"/>
                <w:szCs w:val="21"/>
                <w:lang w:val="en-US" w:eastAsia="zh-CN"/>
              </w:rPr>
              <w:t>0</w:t>
            </w:r>
          </w:p>
        </w:tc>
        <w:tc>
          <w:tcPr>
            <w:tcW w:w="1761" w:type="dxa"/>
            <w:shd w:val="clear" w:color="auto" w:fill="auto"/>
            <w:vAlign w:val="center"/>
          </w:tcPr>
          <w:p w14:paraId="1FE4E8A4">
            <w:pPr>
              <w:jc w:val="center"/>
              <w:rPr>
                <w:bCs/>
                <w:snapToGrid w:val="0"/>
                <w:color w:val="auto"/>
                <w:kern w:val="21"/>
                <w:szCs w:val="21"/>
              </w:rPr>
            </w:pPr>
            <w:r>
              <w:rPr>
                <w:bCs/>
                <w:snapToGrid w:val="0"/>
                <w:kern w:val="21"/>
                <w:szCs w:val="21"/>
              </w:rPr>
              <w:t>/</w:t>
            </w:r>
          </w:p>
        </w:tc>
        <w:tc>
          <w:tcPr>
            <w:tcW w:w="1742" w:type="dxa"/>
            <w:vAlign w:val="center"/>
          </w:tcPr>
          <w:p w14:paraId="2E7C56CB">
            <w:pPr>
              <w:adjustRightInd w:val="0"/>
              <w:snapToGrid w:val="0"/>
              <w:jc w:val="center"/>
              <w:rPr>
                <w:rFonts w:hint="eastAsia" w:cs="Times New Roman"/>
                <w:b w:val="0"/>
                <w:bCs w:val="0"/>
                <w:color w:val="auto"/>
                <w:sz w:val="21"/>
                <w:szCs w:val="21"/>
                <w:lang w:val="en-US" w:eastAsia="zh-CN"/>
              </w:rPr>
            </w:pPr>
            <w:r>
              <w:rPr>
                <w:rFonts w:hint="eastAsia" w:cs="Times New Roman"/>
                <w:b w:val="0"/>
                <w:bCs w:val="0"/>
                <w:color w:val="auto"/>
                <w:sz w:val="21"/>
                <w:szCs w:val="21"/>
                <w:lang w:val="en-US" w:eastAsia="zh-CN"/>
              </w:rPr>
              <w:t>0.2</w:t>
            </w:r>
          </w:p>
        </w:tc>
        <w:tc>
          <w:tcPr>
            <w:tcW w:w="1293" w:type="dxa"/>
            <w:vAlign w:val="center"/>
          </w:tcPr>
          <w:p w14:paraId="54D2646D">
            <w:pPr>
              <w:adjustRightInd w:val="0"/>
              <w:snapToGrid w:val="0"/>
              <w:jc w:val="center"/>
              <w:rPr>
                <w:rFonts w:hint="eastAsia" w:cs="Times New Roman"/>
                <w:b w:val="0"/>
                <w:bCs w:val="0"/>
                <w:color w:val="auto"/>
                <w:sz w:val="21"/>
                <w:szCs w:val="21"/>
                <w:vertAlign w:val="baseline"/>
                <w:lang w:val="en-US" w:eastAsia="zh-CN"/>
              </w:rPr>
            </w:pPr>
            <w:r>
              <w:rPr>
                <w:rFonts w:hint="eastAsia" w:cs="Times New Roman"/>
                <w:b w:val="0"/>
                <w:bCs w:val="0"/>
                <w:color w:val="auto"/>
                <w:sz w:val="21"/>
                <w:szCs w:val="21"/>
                <w:lang w:val="en-US" w:eastAsia="zh-CN"/>
              </w:rPr>
              <w:t>+0</w:t>
            </w:r>
          </w:p>
        </w:tc>
      </w:tr>
      <w:tr w14:paraId="442707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4" w:hRule="atLeast"/>
          <w:jc w:val="center"/>
        </w:trPr>
        <w:tc>
          <w:tcPr>
            <w:tcW w:w="1286" w:type="dxa"/>
            <w:vMerge w:val="continue"/>
            <w:vAlign w:val="center"/>
          </w:tcPr>
          <w:p w14:paraId="2EE21AF5">
            <w:pPr>
              <w:adjustRightInd w:val="0"/>
              <w:snapToGrid w:val="0"/>
              <w:jc w:val="center"/>
              <w:rPr>
                <w:b/>
                <w:bCs/>
                <w:snapToGrid w:val="0"/>
                <w:kern w:val="21"/>
                <w:szCs w:val="21"/>
              </w:rPr>
            </w:pPr>
          </w:p>
        </w:tc>
        <w:tc>
          <w:tcPr>
            <w:tcW w:w="1950" w:type="dxa"/>
            <w:vAlign w:val="center"/>
          </w:tcPr>
          <w:p w14:paraId="1D0BA0CE">
            <w:pPr>
              <w:pStyle w:val="9"/>
              <w:spacing w:line="240" w:lineRule="auto"/>
              <w:ind w:left="0" w:leftChars="0" w:firstLine="0" w:firstLineChars="0"/>
              <w:jc w:val="center"/>
              <w:rPr>
                <w:rFonts w:hint="default"/>
                <w:sz w:val="21"/>
                <w:szCs w:val="21"/>
                <w:lang w:val="en-US" w:eastAsia="zh-CN"/>
              </w:rPr>
            </w:pPr>
            <w:r>
              <w:rPr>
                <w:rFonts w:hint="eastAsia"/>
                <w:sz w:val="21"/>
                <w:szCs w:val="21"/>
                <w:lang w:val="en-US" w:eastAsia="zh-CN"/>
              </w:rPr>
              <w:t>油烟</w:t>
            </w:r>
          </w:p>
        </w:tc>
        <w:tc>
          <w:tcPr>
            <w:tcW w:w="1575" w:type="dxa"/>
            <w:vAlign w:val="center"/>
          </w:tcPr>
          <w:p w14:paraId="2E833A40">
            <w:pPr>
              <w:jc w:val="center"/>
              <w:rPr>
                <w:rFonts w:hint="default" w:cs="Times New Roman"/>
                <w:b w:val="0"/>
                <w:bCs w:val="0"/>
                <w:color w:val="auto"/>
                <w:sz w:val="21"/>
                <w:szCs w:val="21"/>
                <w:lang w:val="en-US" w:eastAsia="zh-CN"/>
              </w:rPr>
            </w:pPr>
            <w:r>
              <w:rPr>
                <w:rFonts w:hint="eastAsia" w:cs="Times New Roman"/>
                <w:b w:val="0"/>
                <w:bCs w:val="0"/>
                <w:color w:val="auto"/>
                <w:sz w:val="21"/>
                <w:szCs w:val="21"/>
                <w:lang w:val="en-US" w:eastAsia="zh-CN"/>
              </w:rPr>
              <w:t>0.038</w:t>
            </w:r>
          </w:p>
        </w:tc>
        <w:tc>
          <w:tcPr>
            <w:tcW w:w="1260" w:type="dxa"/>
            <w:vAlign w:val="center"/>
          </w:tcPr>
          <w:p w14:paraId="132EFF74">
            <w:pPr>
              <w:jc w:val="center"/>
              <w:rPr>
                <w:rFonts w:hint="eastAsia" w:cs="Times New Roman"/>
                <w:b w:val="0"/>
                <w:bCs w:val="0"/>
                <w:color w:val="auto"/>
                <w:sz w:val="21"/>
                <w:szCs w:val="21"/>
                <w:lang w:val="en-US" w:eastAsia="zh-CN"/>
              </w:rPr>
            </w:pPr>
            <w:r>
              <w:rPr>
                <w:bCs/>
                <w:snapToGrid w:val="0"/>
                <w:color w:val="auto"/>
                <w:kern w:val="21"/>
                <w:szCs w:val="21"/>
              </w:rPr>
              <w:t>/</w:t>
            </w:r>
          </w:p>
        </w:tc>
        <w:tc>
          <w:tcPr>
            <w:tcW w:w="1612" w:type="dxa"/>
            <w:shd w:val="clear" w:color="auto" w:fill="auto"/>
            <w:vAlign w:val="center"/>
          </w:tcPr>
          <w:p w14:paraId="75622744">
            <w:pPr>
              <w:jc w:val="center"/>
              <w:rPr>
                <w:rFonts w:ascii="Times New Roman" w:hAnsi="Times New Roman" w:eastAsia="宋体" w:cs="Times New Roman"/>
                <w:bCs/>
                <w:snapToGrid w:val="0"/>
                <w:kern w:val="21"/>
                <w:sz w:val="21"/>
                <w:szCs w:val="21"/>
                <w:lang w:val="en-US" w:eastAsia="zh-CN" w:bidi="ar-SA"/>
              </w:rPr>
            </w:pPr>
            <w:r>
              <w:rPr>
                <w:bCs/>
                <w:snapToGrid w:val="0"/>
                <w:kern w:val="21"/>
                <w:szCs w:val="21"/>
              </w:rPr>
              <w:t>/</w:t>
            </w:r>
          </w:p>
        </w:tc>
        <w:tc>
          <w:tcPr>
            <w:tcW w:w="1559" w:type="dxa"/>
            <w:vAlign w:val="center"/>
          </w:tcPr>
          <w:p w14:paraId="1C109745">
            <w:pPr>
              <w:adjustRightInd w:val="0"/>
              <w:snapToGrid w:val="0"/>
              <w:jc w:val="center"/>
              <w:rPr>
                <w:rFonts w:hint="default" w:cs="Times New Roman"/>
                <w:b w:val="0"/>
                <w:bCs w:val="0"/>
                <w:color w:val="auto"/>
                <w:sz w:val="21"/>
                <w:szCs w:val="21"/>
                <w:lang w:val="en-US" w:eastAsia="zh-CN"/>
              </w:rPr>
            </w:pPr>
            <w:r>
              <w:rPr>
                <w:rFonts w:hint="eastAsia" w:cs="Times New Roman"/>
                <w:b w:val="0"/>
                <w:bCs w:val="0"/>
                <w:color w:val="auto"/>
                <w:sz w:val="21"/>
                <w:szCs w:val="21"/>
                <w:lang w:val="en-US" w:eastAsia="zh-CN"/>
              </w:rPr>
              <w:t>0</w:t>
            </w:r>
          </w:p>
        </w:tc>
        <w:tc>
          <w:tcPr>
            <w:tcW w:w="1761" w:type="dxa"/>
            <w:shd w:val="clear" w:color="auto" w:fill="auto"/>
            <w:vAlign w:val="center"/>
          </w:tcPr>
          <w:p w14:paraId="10DF118A">
            <w:pPr>
              <w:jc w:val="center"/>
              <w:rPr>
                <w:bCs/>
                <w:snapToGrid w:val="0"/>
                <w:color w:val="auto"/>
                <w:kern w:val="21"/>
                <w:szCs w:val="21"/>
              </w:rPr>
            </w:pPr>
            <w:r>
              <w:rPr>
                <w:bCs/>
                <w:snapToGrid w:val="0"/>
                <w:kern w:val="21"/>
                <w:szCs w:val="21"/>
              </w:rPr>
              <w:t>/</w:t>
            </w:r>
          </w:p>
        </w:tc>
        <w:tc>
          <w:tcPr>
            <w:tcW w:w="1742" w:type="dxa"/>
            <w:vAlign w:val="center"/>
          </w:tcPr>
          <w:p w14:paraId="5526A4A4">
            <w:pPr>
              <w:adjustRightInd w:val="0"/>
              <w:snapToGrid w:val="0"/>
              <w:jc w:val="center"/>
              <w:rPr>
                <w:rFonts w:hint="eastAsia" w:cs="Times New Roman"/>
                <w:b w:val="0"/>
                <w:bCs w:val="0"/>
                <w:color w:val="auto"/>
                <w:sz w:val="21"/>
                <w:szCs w:val="21"/>
                <w:lang w:val="en-US" w:eastAsia="zh-CN"/>
              </w:rPr>
            </w:pPr>
            <w:r>
              <w:rPr>
                <w:rFonts w:hint="eastAsia" w:cs="Times New Roman"/>
                <w:b w:val="0"/>
                <w:bCs w:val="0"/>
                <w:color w:val="auto"/>
                <w:sz w:val="21"/>
                <w:szCs w:val="21"/>
                <w:lang w:val="en-US" w:eastAsia="zh-CN"/>
              </w:rPr>
              <w:t>0.038</w:t>
            </w:r>
          </w:p>
        </w:tc>
        <w:tc>
          <w:tcPr>
            <w:tcW w:w="1293" w:type="dxa"/>
            <w:vAlign w:val="center"/>
          </w:tcPr>
          <w:p w14:paraId="05C32883">
            <w:pPr>
              <w:adjustRightInd w:val="0"/>
              <w:snapToGrid w:val="0"/>
              <w:jc w:val="center"/>
              <w:rPr>
                <w:rFonts w:hint="eastAsia" w:cs="Times New Roman"/>
                <w:b w:val="0"/>
                <w:bCs w:val="0"/>
                <w:color w:val="auto"/>
                <w:sz w:val="21"/>
                <w:szCs w:val="21"/>
                <w:lang w:val="en-US" w:eastAsia="zh-CN"/>
              </w:rPr>
            </w:pPr>
            <w:r>
              <w:rPr>
                <w:rFonts w:hint="eastAsia" w:cs="Times New Roman"/>
                <w:b w:val="0"/>
                <w:bCs w:val="0"/>
                <w:color w:val="auto"/>
                <w:sz w:val="21"/>
                <w:szCs w:val="21"/>
                <w:lang w:val="en-US" w:eastAsia="zh-CN"/>
              </w:rPr>
              <w:t>+0</w:t>
            </w:r>
          </w:p>
        </w:tc>
      </w:tr>
      <w:tr w14:paraId="3B0CE9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86" w:type="dxa"/>
            <w:vMerge w:val="restart"/>
            <w:vAlign w:val="center"/>
          </w:tcPr>
          <w:p w14:paraId="48FCCCBC">
            <w:pPr>
              <w:adjustRightInd w:val="0"/>
              <w:snapToGrid w:val="0"/>
              <w:jc w:val="center"/>
              <w:rPr>
                <w:b/>
                <w:bCs/>
                <w:snapToGrid w:val="0"/>
                <w:kern w:val="21"/>
                <w:szCs w:val="21"/>
              </w:rPr>
            </w:pPr>
            <w:r>
              <w:rPr>
                <w:b/>
                <w:bCs/>
                <w:snapToGrid w:val="0"/>
                <w:kern w:val="21"/>
                <w:szCs w:val="21"/>
              </w:rPr>
              <w:t>废水</w:t>
            </w:r>
          </w:p>
        </w:tc>
        <w:tc>
          <w:tcPr>
            <w:tcW w:w="1950" w:type="dxa"/>
            <w:vAlign w:val="center"/>
          </w:tcPr>
          <w:p w14:paraId="274B805D">
            <w:pPr>
              <w:adjustRightInd w:val="0"/>
              <w:snapToGrid w:val="0"/>
              <w:jc w:val="center"/>
              <w:rPr>
                <w:rFonts w:hint="eastAsia" w:eastAsia="宋体"/>
                <w:bCs/>
                <w:snapToGrid w:val="0"/>
                <w:kern w:val="21"/>
                <w:szCs w:val="21"/>
                <w:lang w:val="en-US" w:eastAsia="zh-CN"/>
              </w:rPr>
            </w:pPr>
            <w:r>
              <w:rPr>
                <w:rFonts w:hint="eastAsia"/>
                <w:bCs/>
                <w:snapToGrid w:val="0"/>
                <w:kern w:val="21"/>
                <w:szCs w:val="21"/>
                <w:lang w:val="en-US" w:eastAsia="zh-CN"/>
              </w:rPr>
              <w:t>废水量</w:t>
            </w:r>
          </w:p>
        </w:tc>
        <w:tc>
          <w:tcPr>
            <w:tcW w:w="1575" w:type="dxa"/>
            <w:vAlign w:val="center"/>
          </w:tcPr>
          <w:p w14:paraId="5E79C34E">
            <w:pPr>
              <w:adjustRightInd w:val="0"/>
              <w:snapToGrid w:val="0"/>
              <w:jc w:val="center"/>
              <w:rPr>
                <w:rFonts w:hint="default" w:eastAsia="宋体"/>
                <w:bCs/>
                <w:snapToGrid w:val="0"/>
                <w:color w:val="auto"/>
                <w:kern w:val="21"/>
                <w:szCs w:val="21"/>
                <w:lang w:val="en-US" w:eastAsia="zh-CN"/>
              </w:rPr>
            </w:pPr>
            <w:r>
              <w:rPr>
                <w:rFonts w:hint="eastAsia"/>
                <w:bCs/>
                <w:snapToGrid w:val="0"/>
                <w:color w:val="auto"/>
                <w:kern w:val="21"/>
                <w:szCs w:val="21"/>
                <w:lang w:val="en-US" w:eastAsia="zh-CN"/>
              </w:rPr>
              <w:t>5400</w:t>
            </w:r>
          </w:p>
        </w:tc>
        <w:tc>
          <w:tcPr>
            <w:tcW w:w="1260" w:type="dxa"/>
            <w:vAlign w:val="center"/>
          </w:tcPr>
          <w:p w14:paraId="5E9D550F">
            <w:pPr>
              <w:jc w:val="center"/>
              <w:rPr>
                <w:rFonts w:hint="default" w:eastAsia="宋体"/>
                <w:bCs/>
                <w:snapToGrid w:val="0"/>
                <w:color w:val="auto"/>
                <w:kern w:val="21"/>
                <w:szCs w:val="21"/>
                <w:lang w:val="en-US" w:eastAsia="zh-CN"/>
              </w:rPr>
            </w:pPr>
            <w:r>
              <w:rPr>
                <w:bCs/>
                <w:snapToGrid w:val="0"/>
                <w:color w:val="auto"/>
                <w:kern w:val="21"/>
                <w:szCs w:val="21"/>
              </w:rPr>
              <w:t>/</w:t>
            </w:r>
          </w:p>
        </w:tc>
        <w:tc>
          <w:tcPr>
            <w:tcW w:w="1612" w:type="dxa"/>
            <w:vAlign w:val="center"/>
          </w:tcPr>
          <w:p w14:paraId="25E821E7">
            <w:pPr>
              <w:adjustRightInd w:val="0"/>
              <w:snapToGrid w:val="0"/>
              <w:jc w:val="center"/>
              <w:rPr>
                <w:bCs/>
                <w:snapToGrid w:val="0"/>
                <w:color w:val="auto"/>
                <w:kern w:val="21"/>
                <w:szCs w:val="21"/>
              </w:rPr>
            </w:pPr>
            <w:r>
              <w:rPr>
                <w:bCs/>
                <w:snapToGrid w:val="0"/>
                <w:color w:val="auto"/>
                <w:kern w:val="21"/>
                <w:szCs w:val="21"/>
              </w:rPr>
              <w:t>/</w:t>
            </w:r>
          </w:p>
        </w:tc>
        <w:tc>
          <w:tcPr>
            <w:tcW w:w="1559" w:type="dxa"/>
            <w:vAlign w:val="center"/>
          </w:tcPr>
          <w:p w14:paraId="05B3DE12">
            <w:pPr>
              <w:adjustRightInd w:val="0"/>
              <w:snapToGrid w:val="0"/>
              <w:jc w:val="center"/>
              <w:rPr>
                <w:rFonts w:hint="default" w:eastAsia="宋体"/>
                <w:bCs/>
                <w:snapToGrid w:val="0"/>
                <w:color w:val="auto"/>
                <w:kern w:val="21"/>
                <w:szCs w:val="21"/>
                <w:lang w:val="en-US" w:eastAsia="zh-CN"/>
              </w:rPr>
            </w:pPr>
            <w:r>
              <w:rPr>
                <w:rFonts w:hint="eastAsia" w:cs="Times New Roman"/>
                <w:b w:val="0"/>
                <w:bCs w:val="0"/>
                <w:color w:val="auto"/>
                <w:sz w:val="21"/>
                <w:szCs w:val="21"/>
                <w:lang w:val="en-US" w:eastAsia="zh-CN"/>
              </w:rPr>
              <w:t>0</w:t>
            </w:r>
          </w:p>
        </w:tc>
        <w:tc>
          <w:tcPr>
            <w:tcW w:w="1761" w:type="dxa"/>
            <w:vAlign w:val="center"/>
          </w:tcPr>
          <w:p w14:paraId="55739846">
            <w:pPr>
              <w:adjustRightInd w:val="0"/>
              <w:snapToGrid w:val="0"/>
              <w:jc w:val="center"/>
              <w:rPr>
                <w:bCs/>
                <w:snapToGrid w:val="0"/>
                <w:color w:val="auto"/>
                <w:kern w:val="21"/>
                <w:szCs w:val="21"/>
              </w:rPr>
            </w:pPr>
            <w:r>
              <w:rPr>
                <w:bCs/>
                <w:snapToGrid w:val="0"/>
                <w:color w:val="auto"/>
                <w:kern w:val="21"/>
                <w:szCs w:val="21"/>
              </w:rPr>
              <w:t>/</w:t>
            </w:r>
          </w:p>
        </w:tc>
        <w:tc>
          <w:tcPr>
            <w:tcW w:w="1742" w:type="dxa"/>
            <w:vAlign w:val="center"/>
          </w:tcPr>
          <w:p w14:paraId="7966AF07">
            <w:pPr>
              <w:adjustRightInd w:val="0"/>
              <w:snapToGrid w:val="0"/>
              <w:jc w:val="center"/>
              <w:rPr>
                <w:bCs/>
                <w:snapToGrid w:val="0"/>
                <w:color w:val="auto"/>
                <w:kern w:val="21"/>
                <w:szCs w:val="21"/>
              </w:rPr>
            </w:pPr>
            <w:r>
              <w:rPr>
                <w:rFonts w:hint="eastAsia"/>
                <w:bCs/>
                <w:snapToGrid w:val="0"/>
                <w:color w:val="auto"/>
                <w:kern w:val="21"/>
                <w:szCs w:val="21"/>
                <w:lang w:val="en-US" w:eastAsia="zh-CN"/>
              </w:rPr>
              <w:t>5400</w:t>
            </w:r>
          </w:p>
        </w:tc>
        <w:tc>
          <w:tcPr>
            <w:tcW w:w="1293" w:type="dxa"/>
            <w:vAlign w:val="center"/>
          </w:tcPr>
          <w:p w14:paraId="40D2A359">
            <w:pPr>
              <w:adjustRightInd w:val="0"/>
              <w:snapToGrid w:val="0"/>
              <w:jc w:val="center"/>
              <w:rPr>
                <w:bCs/>
                <w:snapToGrid w:val="0"/>
                <w:color w:val="auto"/>
                <w:kern w:val="21"/>
                <w:szCs w:val="21"/>
              </w:rPr>
            </w:pPr>
            <w:r>
              <w:rPr>
                <w:rFonts w:hint="eastAsia" w:cs="Times New Roman"/>
                <w:b w:val="0"/>
                <w:bCs w:val="0"/>
                <w:color w:val="auto"/>
                <w:sz w:val="21"/>
                <w:szCs w:val="21"/>
                <w:lang w:val="en-US" w:eastAsia="zh-CN"/>
              </w:rPr>
              <w:t>+0</w:t>
            </w:r>
          </w:p>
        </w:tc>
      </w:tr>
      <w:tr w14:paraId="467D63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86" w:type="dxa"/>
            <w:vMerge w:val="continue"/>
            <w:vAlign w:val="center"/>
          </w:tcPr>
          <w:p w14:paraId="23772542">
            <w:pPr>
              <w:adjustRightInd w:val="0"/>
              <w:snapToGrid w:val="0"/>
              <w:jc w:val="center"/>
              <w:rPr>
                <w:b/>
                <w:bCs/>
                <w:snapToGrid w:val="0"/>
                <w:kern w:val="21"/>
                <w:szCs w:val="21"/>
              </w:rPr>
            </w:pPr>
          </w:p>
        </w:tc>
        <w:tc>
          <w:tcPr>
            <w:tcW w:w="1950" w:type="dxa"/>
            <w:vAlign w:val="center"/>
          </w:tcPr>
          <w:p w14:paraId="6021517A">
            <w:pPr>
              <w:adjustRightInd w:val="0"/>
              <w:snapToGrid w:val="0"/>
              <w:jc w:val="center"/>
              <w:rPr>
                <w:bCs/>
                <w:snapToGrid w:val="0"/>
                <w:kern w:val="21"/>
                <w:szCs w:val="21"/>
              </w:rPr>
            </w:pPr>
            <w:r>
              <w:rPr>
                <w:bCs/>
                <w:snapToGrid w:val="0"/>
                <w:kern w:val="21"/>
                <w:szCs w:val="21"/>
              </w:rPr>
              <w:t>COD</w:t>
            </w:r>
            <w:r>
              <w:rPr>
                <w:bCs/>
                <w:snapToGrid w:val="0"/>
                <w:kern w:val="21"/>
                <w:szCs w:val="21"/>
                <w:vertAlign w:val="subscript"/>
              </w:rPr>
              <w:t>Cr</w:t>
            </w:r>
          </w:p>
        </w:tc>
        <w:tc>
          <w:tcPr>
            <w:tcW w:w="1575" w:type="dxa"/>
            <w:vAlign w:val="center"/>
          </w:tcPr>
          <w:p w14:paraId="611F33CF">
            <w:pPr>
              <w:adjustRightInd w:val="0"/>
              <w:snapToGrid w:val="0"/>
              <w:jc w:val="center"/>
              <w:rPr>
                <w:rFonts w:hint="default" w:eastAsia="宋体"/>
                <w:bCs/>
                <w:snapToGrid w:val="0"/>
                <w:kern w:val="21"/>
                <w:szCs w:val="21"/>
                <w:lang w:val="en-US" w:eastAsia="zh-CN"/>
              </w:rPr>
            </w:pPr>
            <w:r>
              <w:rPr>
                <w:rFonts w:hint="eastAsia"/>
                <w:bCs/>
                <w:snapToGrid w:val="0"/>
                <w:kern w:val="21"/>
                <w:szCs w:val="21"/>
                <w:lang w:val="en-US" w:eastAsia="zh-CN"/>
              </w:rPr>
              <w:t>0.53</w:t>
            </w:r>
          </w:p>
        </w:tc>
        <w:tc>
          <w:tcPr>
            <w:tcW w:w="1260" w:type="dxa"/>
            <w:vAlign w:val="center"/>
          </w:tcPr>
          <w:p w14:paraId="333AA37A">
            <w:pPr>
              <w:adjustRightInd w:val="0"/>
              <w:snapToGrid w:val="0"/>
              <w:jc w:val="center"/>
              <w:rPr>
                <w:bCs/>
                <w:snapToGrid w:val="0"/>
                <w:kern w:val="21"/>
                <w:szCs w:val="21"/>
              </w:rPr>
            </w:pPr>
            <w:r>
              <w:rPr>
                <w:bCs/>
                <w:snapToGrid w:val="0"/>
                <w:kern w:val="21"/>
                <w:szCs w:val="21"/>
              </w:rPr>
              <w:t>/</w:t>
            </w:r>
          </w:p>
        </w:tc>
        <w:tc>
          <w:tcPr>
            <w:tcW w:w="1612" w:type="dxa"/>
            <w:vAlign w:val="center"/>
          </w:tcPr>
          <w:p w14:paraId="46D10A29">
            <w:pPr>
              <w:adjustRightInd w:val="0"/>
              <w:snapToGrid w:val="0"/>
              <w:jc w:val="center"/>
              <w:rPr>
                <w:bCs/>
                <w:snapToGrid w:val="0"/>
                <w:kern w:val="21"/>
                <w:szCs w:val="21"/>
              </w:rPr>
            </w:pPr>
            <w:r>
              <w:rPr>
                <w:bCs/>
                <w:snapToGrid w:val="0"/>
                <w:kern w:val="21"/>
                <w:szCs w:val="21"/>
              </w:rPr>
              <w:t>/</w:t>
            </w:r>
          </w:p>
        </w:tc>
        <w:tc>
          <w:tcPr>
            <w:tcW w:w="1559" w:type="dxa"/>
            <w:vAlign w:val="center"/>
          </w:tcPr>
          <w:p w14:paraId="7A909242">
            <w:pPr>
              <w:adjustRightInd w:val="0"/>
              <w:snapToGrid w:val="0"/>
              <w:jc w:val="center"/>
              <w:rPr>
                <w:rFonts w:hint="default" w:eastAsia="宋体"/>
                <w:bCs/>
                <w:snapToGrid w:val="0"/>
                <w:kern w:val="21"/>
                <w:szCs w:val="21"/>
                <w:lang w:val="en-US" w:eastAsia="zh-CN"/>
              </w:rPr>
            </w:pPr>
            <w:r>
              <w:rPr>
                <w:rFonts w:hint="eastAsia" w:cs="Times New Roman"/>
                <w:b w:val="0"/>
                <w:bCs w:val="0"/>
                <w:color w:val="auto"/>
                <w:sz w:val="21"/>
                <w:szCs w:val="21"/>
                <w:lang w:val="en-US" w:eastAsia="zh-CN"/>
              </w:rPr>
              <w:t>0</w:t>
            </w:r>
          </w:p>
        </w:tc>
        <w:tc>
          <w:tcPr>
            <w:tcW w:w="1761" w:type="dxa"/>
            <w:vAlign w:val="center"/>
          </w:tcPr>
          <w:p w14:paraId="77F61906">
            <w:pPr>
              <w:adjustRightInd w:val="0"/>
              <w:snapToGrid w:val="0"/>
              <w:jc w:val="center"/>
              <w:rPr>
                <w:bCs/>
                <w:snapToGrid w:val="0"/>
                <w:kern w:val="21"/>
                <w:szCs w:val="21"/>
              </w:rPr>
            </w:pPr>
            <w:r>
              <w:rPr>
                <w:bCs/>
                <w:snapToGrid w:val="0"/>
                <w:kern w:val="21"/>
                <w:szCs w:val="21"/>
              </w:rPr>
              <w:t>/</w:t>
            </w:r>
          </w:p>
        </w:tc>
        <w:tc>
          <w:tcPr>
            <w:tcW w:w="1742" w:type="dxa"/>
            <w:vAlign w:val="center"/>
          </w:tcPr>
          <w:p w14:paraId="0559DEF6">
            <w:pPr>
              <w:adjustRightInd w:val="0"/>
              <w:snapToGrid w:val="0"/>
              <w:jc w:val="center"/>
              <w:rPr>
                <w:bCs/>
                <w:snapToGrid w:val="0"/>
                <w:kern w:val="21"/>
                <w:szCs w:val="21"/>
              </w:rPr>
            </w:pPr>
            <w:r>
              <w:rPr>
                <w:rFonts w:hint="eastAsia"/>
                <w:bCs/>
                <w:snapToGrid w:val="0"/>
                <w:kern w:val="21"/>
                <w:szCs w:val="21"/>
                <w:lang w:val="en-US" w:eastAsia="zh-CN"/>
              </w:rPr>
              <w:t>0.53</w:t>
            </w:r>
          </w:p>
        </w:tc>
        <w:tc>
          <w:tcPr>
            <w:tcW w:w="1293" w:type="dxa"/>
            <w:vAlign w:val="center"/>
          </w:tcPr>
          <w:p w14:paraId="1B3824DE">
            <w:pPr>
              <w:adjustRightInd w:val="0"/>
              <w:snapToGrid w:val="0"/>
              <w:jc w:val="center"/>
              <w:rPr>
                <w:bCs/>
                <w:snapToGrid w:val="0"/>
                <w:kern w:val="21"/>
                <w:szCs w:val="21"/>
              </w:rPr>
            </w:pPr>
            <w:r>
              <w:rPr>
                <w:rFonts w:hint="eastAsia" w:cs="Times New Roman"/>
                <w:b w:val="0"/>
                <w:bCs w:val="0"/>
                <w:color w:val="auto"/>
                <w:sz w:val="21"/>
                <w:szCs w:val="21"/>
                <w:lang w:val="en-US" w:eastAsia="zh-CN"/>
              </w:rPr>
              <w:t>+0</w:t>
            </w:r>
          </w:p>
        </w:tc>
      </w:tr>
      <w:tr w14:paraId="108FA5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86" w:type="dxa"/>
            <w:vMerge w:val="continue"/>
            <w:vAlign w:val="center"/>
          </w:tcPr>
          <w:p w14:paraId="7F6EC6F4">
            <w:pPr>
              <w:adjustRightInd w:val="0"/>
              <w:snapToGrid w:val="0"/>
              <w:jc w:val="center"/>
              <w:rPr>
                <w:b/>
                <w:bCs/>
                <w:snapToGrid w:val="0"/>
                <w:kern w:val="21"/>
                <w:szCs w:val="21"/>
              </w:rPr>
            </w:pPr>
          </w:p>
        </w:tc>
        <w:tc>
          <w:tcPr>
            <w:tcW w:w="1950" w:type="dxa"/>
            <w:vAlign w:val="center"/>
          </w:tcPr>
          <w:p w14:paraId="131F97BE">
            <w:pPr>
              <w:adjustRightInd w:val="0"/>
              <w:snapToGrid w:val="0"/>
              <w:jc w:val="center"/>
              <w:rPr>
                <w:bCs/>
                <w:snapToGrid w:val="0"/>
                <w:kern w:val="21"/>
                <w:szCs w:val="21"/>
              </w:rPr>
            </w:pPr>
            <w:r>
              <w:rPr>
                <w:bCs/>
                <w:snapToGrid w:val="0"/>
                <w:kern w:val="21"/>
                <w:szCs w:val="21"/>
              </w:rPr>
              <w:t>BOD</w:t>
            </w:r>
            <w:r>
              <w:rPr>
                <w:bCs/>
                <w:snapToGrid w:val="0"/>
                <w:kern w:val="21"/>
                <w:szCs w:val="21"/>
                <w:vertAlign w:val="subscript"/>
              </w:rPr>
              <w:t>5</w:t>
            </w:r>
          </w:p>
        </w:tc>
        <w:tc>
          <w:tcPr>
            <w:tcW w:w="1575" w:type="dxa"/>
            <w:vAlign w:val="center"/>
          </w:tcPr>
          <w:p w14:paraId="3AD97173">
            <w:pPr>
              <w:adjustRightInd w:val="0"/>
              <w:snapToGrid w:val="0"/>
              <w:jc w:val="center"/>
              <w:rPr>
                <w:rFonts w:hint="default" w:eastAsia="宋体"/>
                <w:bCs/>
                <w:snapToGrid w:val="0"/>
                <w:color w:val="auto"/>
                <w:kern w:val="21"/>
                <w:szCs w:val="21"/>
                <w:lang w:val="en-US" w:eastAsia="zh-CN"/>
              </w:rPr>
            </w:pPr>
            <w:r>
              <w:rPr>
                <w:rFonts w:hint="eastAsia"/>
                <w:bCs/>
                <w:snapToGrid w:val="0"/>
                <w:color w:val="auto"/>
                <w:kern w:val="21"/>
                <w:szCs w:val="21"/>
                <w:lang w:val="en-US" w:eastAsia="zh-CN"/>
              </w:rPr>
              <w:t>0.1</w:t>
            </w:r>
          </w:p>
        </w:tc>
        <w:tc>
          <w:tcPr>
            <w:tcW w:w="1260" w:type="dxa"/>
            <w:vAlign w:val="center"/>
          </w:tcPr>
          <w:p w14:paraId="068AEAD0">
            <w:pPr>
              <w:adjustRightInd w:val="0"/>
              <w:snapToGrid w:val="0"/>
              <w:jc w:val="center"/>
              <w:rPr>
                <w:bCs/>
                <w:snapToGrid w:val="0"/>
                <w:color w:val="auto"/>
                <w:kern w:val="21"/>
                <w:szCs w:val="21"/>
              </w:rPr>
            </w:pPr>
            <w:r>
              <w:rPr>
                <w:bCs/>
                <w:snapToGrid w:val="0"/>
                <w:color w:val="auto"/>
                <w:kern w:val="21"/>
                <w:szCs w:val="21"/>
              </w:rPr>
              <w:t>/</w:t>
            </w:r>
          </w:p>
        </w:tc>
        <w:tc>
          <w:tcPr>
            <w:tcW w:w="1612" w:type="dxa"/>
            <w:vAlign w:val="center"/>
          </w:tcPr>
          <w:p w14:paraId="34233C37">
            <w:pPr>
              <w:adjustRightInd w:val="0"/>
              <w:snapToGrid w:val="0"/>
              <w:jc w:val="center"/>
              <w:rPr>
                <w:bCs/>
                <w:snapToGrid w:val="0"/>
                <w:color w:val="auto"/>
                <w:kern w:val="21"/>
                <w:szCs w:val="21"/>
              </w:rPr>
            </w:pPr>
            <w:r>
              <w:rPr>
                <w:bCs/>
                <w:snapToGrid w:val="0"/>
                <w:color w:val="auto"/>
                <w:kern w:val="21"/>
                <w:szCs w:val="21"/>
              </w:rPr>
              <w:t>/</w:t>
            </w:r>
          </w:p>
        </w:tc>
        <w:tc>
          <w:tcPr>
            <w:tcW w:w="1559" w:type="dxa"/>
            <w:vAlign w:val="center"/>
          </w:tcPr>
          <w:p w14:paraId="75058449">
            <w:pPr>
              <w:adjustRightInd w:val="0"/>
              <w:snapToGrid w:val="0"/>
              <w:jc w:val="center"/>
              <w:rPr>
                <w:bCs/>
                <w:snapToGrid w:val="0"/>
                <w:color w:val="auto"/>
                <w:kern w:val="21"/>
                <w:szCs w:val="21"/>
              </w:rPr>
            </w:pPr>
            <w:r>
              <w:rPr>
                <w:rFonts w:hint="eastAsia" w:cs="Times New Roman"/>
                <w:b w:val="0"/>
                <w:bCs w:val="0"/>
                <w:color w:val="auto"/>
                <w:sz w:val="21"/>
                <w:szCs w:val="21"/>
                <w:lang w:val="en-US" w:eastAsia="zh-CN"/>
              </w:rPr>
              <w:t>0</w:t>
            </w:r>
          </w:p>
        </w:tc>
        <w:tc>
          <w:tcPr>
            <w:tcW w:w="1761" w:type="dxa"/>
            <w:vAlign w:val="center"/>
          </w:tcPr>
          <w:p w14:paraId="4D31EE5E">
            <w:pPr>
              <w:adjustRightInd w:val="0"/>
              <w:snapToGrid w:val="0"/>
              <w:jc w:val="center"/>
              <w:rPr>
                <w:bCs/>
                <w:snapToGrid w:val="0"/>
                <w:color w:val="auto"/>
                <w:kern w:val="21"/>
                <w:szCs w:val="21"/>
              </w:rPr>
            </w:pPr>
            <w:r>
              <w:rPr>
                <w:bCs/>
                <w:snapToGrid w:val="0"/>
                <w:color w:val="auto"/>
                <w:kern w:val="21"/>
                <w:szCs w:val="21"/>
              </w:rPr>
              <w:t>/</w:t>
            </w:r>
          </w:p>
        </w:tc>
        <w:tc>
          <w:tcPr>
            <w:tcW w:w="1742" w:type="dxa"/>
            <w:vAlign w:val="center"/>
          </w:tcPr>
          <w:p w14:paraId="7FE22D99">
            <w:pPr>
              <w:adjustRightInd w:val="0"/>
              <w:snapToGrid w:val="0"/>
              <w:jc w:val="center"/>
              <w:rPr>
                <w:bCs/>
                <w:snapToGrid w:val="0"/>
                <w:color w:val="auto"/>
                <w:kern w:val="21"/>
                <w:szCs w:val="21"/>
              </w:rPr>
            </w:pPr>
            <w:r>
              <w:rPr>
                <w:rFonts w:hint="eastAsia"/>
                <w:bCs/>
                <w:snapToGrid w:val="0"/>
                <w:color w:val="auto"/>
                <w:kern w:val="21"/>
                <w:szCs w:val="21"/>
                <w:lang w:val="en-US" w:eastAsia="zh-CN"/>
              </w:rPr>
              <w:t>0.1</w:t>
            </w:r>
          </w:p>
        </w:tc>
        <w:tc>
          <w:tcPr>
            <w:tcW w:w="1293" w:type="dxa"/>
            <w:vAlign w:val="center"/>
          </w:tcPr>
          <w:p w14:paraId="35A257E3">
            <w:pPr>
              <w:adjustRightInd w:val="0"/>
              <w:snapToGrid w:val="0"/>
              <w:jc w:val="center"/>
              <w:rPr>
                <w:bCs/>
                <w:snapToGrid w:val="0"/>
                <w:color w:val="auto"/>
                <w:kern w:val="21"/>
                <w:szCs w:val="21"/>
              </w:rPr>
            </w:pPr>
            <w:r>
              <w:rPr>
                <w:rFonts w:hint="eastAsia" w:cs="Times New Roman"/>
                <w:b w:val="0"/>
                <w:bCs w:val="0"/>
                <w:color w:val="auto"/>
                <w:sz w:val="21"/>
                <w:szCs w:val="21"/>
                <w:lang w:val="en-US" w:eastAsia="zh-CN"/>
              </w:rPr>
              <w:t>+0</w:t>
            </w:r>
          </w:p>
        </w:tc>
      </w:tr>
      <w:tr w14:paraId="3B9F35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86" w:type="dxa"/>
            <w:vMerge w:val="continue"/>
            <w:vAlign w:val="center"/>
          </w:tcPr>
          <w:p w14:paraId="38DDAD49">
            <w:pPr>
              <w:adjustRightInd w:val="0"/>
              <w:snapToGrid w:val="0"/>
              <w:jc w:val="center"/>
              <w:rPr>
                <w:b/>
                <w:bCs/>
                <w:snapToGrid w:val="0"/>
                <w:kern w:val="21"/>
                <w:szCs w:val="21"/>
              </w:rPr>
            </w:pPr>
          </w:p>
        </w:tc>
        <w:tc>
          <w:tcPr>
            <w:tcW w:w="1950" w:type="dxa"/>
            <w:vAlign w:val="center"/>
          </w:tcPr>
          <w:p w14:paraId="35BACF8D">
            <w:pPr>
              <w:adjustRightInd w:val="0"/>
              <w:snapToGrid w:val="0"/>
              <w:jc w:val="center"/>
              <w:rPr>
                <w:bCs/>
                <w:snapToGrid w:val="0"/>
                <w:kern w:val="21"/>
                <w:szCs w:val="21"/>
              </w:rPr>
            </w:pPr>
            <w:r>
              <w:rPr>
                <w:bCs/>
                <w:snapToGrid w:val="0"/>
                <w:kern w:val="21"/>
                <w:szCs w:val="21"/>
              </w:rPr>
              <w:t>SS</w:t>
            </w:r>
          </w:p>
        </w:tc>
        <w:tc>
          <w:tcPr>
            <w:tcW w:w="1575" w:type="dxa"/>
            <w:vAlign w:val="center"/>
          </w:tcPr>
          <w:p w14:paraId="6A1107E5">
            <w:pPr>
              <w:adjustRightInd w:val="0"/>
              <w:snapToGrid w:val="0"/>
              <w:jc w:val="center"/>
              <w:rPr>
                <w:rFonts w:hint="default" w:eastAsia="宋体"/>
                <w:bCs/>
                <w:snapToGrid w:val="0"/>
                <w:color w:val="auto"/>
                <w:kern w:val="21"/>
                <w:szCs w:val="21"/>
                <w:lang w:val="en-US" w:eastAsia="zh-CN"/>
              </w:rPr>
            </w:pPr>
            <w:r>
              <w:rPr>
                <w:rFonts w:hint="eastAsia"/>
                <w:bCs/>
                <w:snapToGrid w:val="0"/>
                <w:color w:val="auto"/>
                <w:kern w:val="21"/>
                <w:szCs w:val="21"/>
                <w:lang w:val="en-US" w:eastAsia="zh-CN"/>
              </w:rPr>
              <w:t>0.38</w:t>
            </w:r>
          </w:p>
        </w:tc>
        <w:tc>
          <w:tcPr>
            <w:tcW w:w="1260" w:type="dxa"/>
            <w:vAlign w:val="center"/>
          </w:tcPr>
          <w:p w14:paraId="28ADCA0D">
            <w:pPr>
              <w:adjustRightInd w:val="0"/>
              <w:snapToGrid w:val="0"/>
              <w:jc w:val="center"/>
              <w:rPr>
                <w:bCs/>
                <w:snapToGrid w:val="0"/>
                <w:color w:val="auto"/>
                <w:kern w:val="21"/>
                <w:szCs w:val="21"/>
              </w:rPr>
            </w:pPr>
            <w:r>
              <w:rPr>
                <w:bCs/>
                <w:snapToGrid w:val="0"/>
                <w:color w:val="auto"/>
                <w:kern w:val="21"/>
                <w:szCs w:val="21"/>
              </w:rPr>
              <w:t>/</w:t>
            </w:r>
          </w:p>
        </w:tc>
        <w:tc>
          <w:tcPr>
            <w:tcW w:w="1612" w:type="dxa"/>
            <w:vAlign w:val="center"/>
          </w:tcPr>
          <w:p w14:paraId="379C895A">
            <w:pPr>
              <w:adjustRightInd w:val="0"/>
              <w:snapToGrid w:val="0"/>
              <w:jc w:val="center"/>
              <w:rPr>
                <w:bCs/>
                <w:snapToGrid w:val="0"/>
                <w:color w:val="auto"/>
                <w:kern w:val="21"/>
                <w:szCs w:val="21"/>
              </w:rPr>
            </w:pPr>
            <w:r>
              <w:rPr>
                <w:bCs/>
                <w:snapToGrid w:val="0"/>
                <w:color w:val="auto"/>
                <w:kern w:val="21"/>
                <w:szCs w:val="21"/>
              </w:rPr>
              <w:t>/</w:t>
            </w:r>
          </w:p>
        </w:tc>
        <w:tc>
          <w:tcPr>
            <w:tcW w:w="1559" w:type="dxa"/>
            <w:vAlign w:val="center"/>
          </w:tcPr>
          <w:p w14:paraId="582E66A9">
            <w:pPr>
              <w:adjustRightInd w:val="0"/>
              <w:snapToGrid w:val="0"/>
              <w:jc w:val="center"/>
              <w:rPr>
                <w:rFonts w:hint="default" w:eastAsia="宋体"/>
                <w:bCs/>
                <w:snapToGrid w:val="0"/>
                <w:color w:val="auto"/>
                <w:kern w:val="21"/>
                <w:szCs w:val="21"/>
                <w:lang w:val="en-US" w:eastAsia="zh-CN"/>
              </w:rPr>
            </w:pPr>
            <w:r>
              <w:rPr>
                <w:rFonts w:hint="eastAsia" w:cs="Times New Roman"/>
                <w:b w:val="0"/>
                <w:bCs w:val="0"/>
                <w:color w:val="auto"/>
                <w:sz w:val="21"/>
                <w:szCs w:val="21"/>
                <w:lang w:val="en-US" w:eastAsia="zh-CN"/>
              </w:rPr>
              <w:t>0</w:t>
            </w:r>
          </w:p>
        </w:tc>
        <w:tc>
          <w:tcPr>
            <w:tcW w:w="1761" w:type="dxa"/>
            <w:vAlign w:val="center"/>
          </w:tcPr>
          <w:p w14:paraId="69332DA2">
            <w:pPr>
              <w:adjustRightInd w:val="0"/>
              <w:snapToGrid w:val="0"/>
              <w:jc w:val="center"/>
              <w:rPr>
                <w:bCs/>
                <w:snapToGrid w:val="0"/>
                <w:color w:val="auto"/>
                <w:kern w:val="21"/>
                <w:szCs w:val="21"/>
              </w:rPr>
            </w:pPr>
            <w:r>
              <w:rPr>
                <w:bCs/>
                <w:snapToGrid w:val="0"/>
                <w:color w:val="auto"/>
                <w:kern w:val="21"/>
                <w:szCs w:val="21"/>
              </w:rPr>
              <w:t>/</w:t>
            </w:r>
          </w:p>
        </w:tc>
        <w:tc>
          <w:tcPr>
            <w:tcW w:w="1742" w:type="dxa"/>
            <w:vAlign w:val="center"/>
          </w:tcPr>
          <w:p w14:paraId="659094B1">
            <w:pPr>
              <w:adjustRightInd w:val="0"/>
              <w:snapToGrid w:val="0"/>
              <w:jc w:val="center"/>
              <w:rPr>
                <w:bCs/>
                <w:snapToGrid w:val="0"/>
                <w:color w:val="auto"/>
                <w:kern w:val="21"/>
                <w:szCs w:val="21"/>
              </w:rPr>
            </w:pPr>
            <w:r>
              <w:rPr>
                <w:rFonts w:hint="eastAsia"/>
                <w:bCs/>
                <w:snapToGrid w:val="0"/>
                <w:color w:val="auto"/>
                <w:kern w:val="21"/>
                <w:szCs w:val="21"/>
                <w:lang w:val="en-US" w:eastAsia="zh-CN"/>
              </w:rPr>
              <w:t>0.38</w:t>
            </w:r>
          </w:p>
        </w:tc>
        <w:tc>
          <w:tcPr>
            <w:tcW w:w="1293" w:type="dxa"/>
            <w:vAlign w:val="center"/>
          </w:tcPr>
          <w:p w14:paraId="5ED8DF3C">
            <w:pPr>
              <w:adjustRightInd w:val="0"/>
              <w:snapToGrid w:val="0"/>
              <w:jc w:val="center"/>
              <w:rPr>
                <w:bCs/>
                <w:snapToGrid w:val="0"/>
                <w:color w:val="auto"/>
                <w:kern w:val="21"/>
                <w:szCs w:val="21"/>
              </w:rPr>
            </w:pPr>
            <w:r>
              <w:rPr>
                <w:rFonts w:hint="eastAsia" w:cs="Times New Roman"/>
                <w:b w:val="0"/>
                <w:bCs w:val="0"/>
                <w:color w:val="auto"/>
                <w:sz w:val="21"/>
                <w:szCs w:val="21"/>
                <w:lang w:val="en-US" w:eastAsia="zh-CN"/>
              </w:rPr>
              <w:t>+0</w:t>
            </w:r>
          </w:p>
        </w:tc>
      </w:tr>
      <w:tr w14:paraId="23EDEF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86" w:type="dxa"/>
            <w:vMerge w:val="continue"/>
            <w:vAlign w:val="center"/>
          </w:tcPr>
          <w:p w14:paraId="7A599EC7">
            <w:pPr>
              <w:adjustRightInd w:val="0"/>
              <w:snapToGrid w:val="0"/>
              <w:jc w:val="center"/>
              <w:rPr>
                <w:b/>
                <w:bCs/>
                <w:snapToGrid w:val="0"/>
                <w:kern w:val="21"/>
                <w:szCs w:val="21"/>
              </w:rPr>
            </w:pPr>
          </w:p>
        </w:tc>
        <w:tc>
          <w:tcPr>
            <w:tcW w:w="1950" w:type="dxa"/>
            <w:vAlign w:val="center"/>
          </w:tcPr>
          <w:p w14:paraId="7E037938">
            <w:pPr>
              <w:adjustRightInd w:val="0"/>
              <w:snapToGrid w:val="0"/>
              <w:jc w:val="center"/>
              <w:rPr>
                <w:bCs/>
                <w:snapToGrid w:val="0"/>
                <w:kern w:val="21"/>
                <w:szCs w:val="21"/>
              </w:rPr>
            </w:pPr>
            <w:r>
              <w:rPr>
                <w:bCs/>
                <w:snapToGrid w:val="0"/>
                <w:kern w:val="21"/>
                <w:szCs w:val="21"/>
              </w:rPr>
              <w:t>NH</w:t>
            </w:r>
            <w:r>
              <w:rPr>
                <w:bCs/>
                <w:snapToGrid w:val="0"/>
                <w:kern w:val="21"/>
                <w:szCs w:val="21"/>
                <w:vertAlign w:val="subscript"/>
              </w:rPr>
              <w:t>3</w:t>
            </w:r>
            <w:r>
              <w:rPr>
                <w:bCs/>
                <w:snapToGrid w:val="0"/>
                <w:kern w:val="21"/>
                <w:szCs w:val="21"/>
              </w:rPr>
              <w:t>-N</w:t>
            </w:r>
          </w:p>
        </w:tc>
        <w:tc>
          <w:tcPr>
            <w:tcW w:w="1575" w:type="dxa"/>
            <w:vAlign w:val="center"/>
          </w:tcPr>
          <w:p w14:paraId="6F57A8A7">
            <w:pPr>
              <w:adjustRightInd w:val="0"/>
              <w:snapToGrid w:val="0"/>
              <w:jc w:val="center"/>
              <w:rPr>
                <w:rFonts w:hint="default" w:eastAsia="宋体"/>
                <w:bCs/>
                <w:snapToGrid w:val="0"/>
                <w:color w:val="auto"/>
                <w:kern w:val="21"/>
                <w:szCs w:val="21"/>
                <w:lang w:val="en-US" w:eastAsia="zh-CN"/>
              </w:rPr>
            </w:pPr>
            <w:r>
              <w:rPr>
                <w:rFonts w:hint="eastAsia"/>
                <w:bCs/>
                <w:snapToGrid w:val="0"/>
                <w:color w:val="auto"/>
                <w:kern w:val="21"/>
                <w:szCs w:val="21"/>
                <w:lang w:val="en-US" w:eastAsia="zh-CN"/>
              </w:rPr>
              <w:t>0.08</w:t>
            </w:r>
          </w:p>
        </w:tc>
        <w:tc>
          <w:tcPr>
            <w:tcW w:w="1260" w:type="dxa"/>
            <w:vAlign w:val="center"/>
          </w:tcPr>
          <w:p w14:paraId="3891EEDB">
            <w:pPr>
              <w:adjustRightInd w:val="0"/>
              <w:snapToGrid w:val="0"/>
              <w:jc w:val="center"/>
              <w:rPr>
                <w:bCs/>
                <w:snapToGrid w:val="0"/>
                <w:color w:val="auto"/>
                <w:kern w:val="21"/>
                <w:szCs w:val="21"/>
              </w:rPr>
            </w:pPr>
            <w:r>
              <w:rPr>
                <w:bCs/>
                <w:snapToGrid w:val="0"/>
                <w:color w:val="auto"/>
                <w:kern w:val="21"/>
                <w:szCs w:val="21"/>
              </w:rPr>
              <w:t>/</w:t>
            </w:r>
          </w:p>
        </w:tc>
        <w:tc>
          <w:tcPr>
            <w:tcW w:w="1612" w:type="dxa"/>
            <w:vAlign w:val="center"/>
          </w:tcPr>
          <w:p w14:paraId="7358486E">
            <w:pPr>
              <w:adjustRightInd w:val="0"/>
              <w:snapToGrid w:val="0"/>
              <w:jc w:val="center"/>
              <w:rPr>
                <w:bCs/>
                <w:snapToGrid w:val="0"/>
                <w:color w:val="auto"/>
                <w:kern w:val="21"/>
                <w:szCs w:val="21"/>
              </w:rPr>
            </w:pPr>
            <w:r>
              <w:rPr>
                <w:bCs/>
                <w:snapToGrid w:val="0"/>
                <w:color w:val="auto"/>
                <w:kern w:val="21"/>
                <w:szCs w:val="21"/>
              </w:rPr>
              <w:t>/</w:t>
            </w:r>
          </w:p>
        </w:tc>
        <w:tc>
          <w:tcPr>
            <w:tcW w:w="1559" w:type="dxa"/>
            <w:vAlign w:val="center"/>
          </w:tcPr>
          <w:p w14:paraId="3679DC04">
            <w:pPr>
              <w:adjustRightInd w:val="0"/>
              <w:snapToGrid w:val="0"/>
              <w:jc w:val="center"/>
              <w:rPr>
                <w:bCs/>
                <w:snapToGrid w:val="0"/>
                <w:color w:val="auto"/>
                <w:kern w:val="21"/>
                <w:szCs w:val="21"/>
              </w:rPr>
            </w:pPr>
            <w:r>
              <w:rPr>
                <w:rFonts w:hint="eastAsia" w:cs="Times New Roman"/>
                <w:b w:val="0"/>
                <w:bCs w:val="0"/>
                <w:color w:val="auto"/>
                <w:sz w:val="21"/>
                <w:szCs w:val="21"/>
                <w:lang w:val="en-US" w:eastAsia="zh-CN"/>
              </w:rPr>
              <w:t>0</w:t>
            </w:r>
          </w:p>
        </w:tc>
        <w:tc>
          <w:tcPr>
            <w:tcW w:w="1761" w:type="dxa"/>
            <w:vAlign w:val="center"/>
          </w:tcPr>
          <w:p w14:paraId="4979C21C">
            <w:pPr>
              <w:adjustRightInd w:val="0"/>
              <w:snapToGrid w:val="0"/>
              <w:jc w:val="center"/>
              <w:rPr>
                <w:bCs/>
                <w:snapToGrid w:val="0"/>
                <w:color w:val="auto"/>
                <w:kern w:val="21"/>
                <w:szCs w:val="21"/>
              </w:rPr>
            </w:pPr>
            <w:r>
              <w:rPr>
                <w:bCs/>
                <w:snapToGrid w:val="0"/>
                <w:color w:val="auto"/>
                <w:kern w:val="21"/>
                <w:szCs w:val="21"/>
              </w:rPr>
              <w:t>/</w:t>
            </w:r>
          </w:p>
        </w:tc>
        <w:tc>
          <w:tcPr>
            <w:tcW w:w="1742" w:type="dxa"/>
            <w:vAlign w:val="center"/>
          </w:tcPr>
          <w:p w14:paraId="43FCEA34">
            <w:pPr>
              <w:adjustRightInd w:val="0"/>
              <w:snapToGrid w:val="0"/>
              <w:jc w:val="center"/>
              <w:rPr>
                <w:bCs/>
                <w:snapToGrid w:val="0"/>
                <w:color w:val="auto"/>
                <w:kern w:val="21"/>
                <w:szCs w:val="21"/>
              </w:rPr>
            </w:pPr>
            <w:r>
              <w:rPr>
                <w:rFonts w:hint="eastAsia"/>
                <w:bCs/>
                <w:snapToGrid w:val="0"/>
                <w:color w:val="auto"/>
                <w:kern w:val="21"/>
                <w:szCs w:val="21"/>
                <w:lang w:val="en-US" w:eastAsia="zh-CN"/>
              </w:rPr>
              <w:t>0.08</w:t>
            </w:r>
          </w:p>
        </w:tc>
        <w:tc>
          <w:tcPr>
            <w:tcW w:w="1293" w:type="dxa"/>
            <w:vAlign w:val="center"/>
          </w:tcPr>
          <w:p w14:paraId="364E80CB">
            <w:pPr>
              <w:adjustRightInd w:val="0"/>
              <w:snapToGrid w:val="0"/>
              <w:jc w:val="center"/>
              <w:rPr>
                <w:bCs/>
                <w:snapToGrid w:val="0"/>
                <w:color w:val="auto"/>
                <w:kern w:val="21"/>
                <w:szCs w:val="21"/>
              </w:rPr>
            </w:pPr>
            <w:r>
              <w:rPr>
                <w:rFonts w:hint="eastAsia" w:cs="Times New Roman"/>
                <w:b w:val="0"/>
                <w:bCs w:val="0"/>
                <w:color w:val="auto"/>
                <w:sz w:val="21"/>
                <w:szCs w:val="21"/>
                <w:lang w:val="en-US" w:eastAsia="zh-CN"/>
              </w:rPr>
              <w:t>+0</w:t>
            </w:r>
          </w:p>
        </w:tc>
      </w:tr>
      <w:tr w14:paraId="0E153B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86" w:type="dxa"/>
            <w:vMerge w:val="continue"/>
            <w:vAlign w:val="center"/>
          </w:tcPr>
          <w:p w14:paraId="2D42CC21">
            <w:pPr>
              <w:adjustRightInd w:val="0"/>
              <w:snapToGrid w:val="0"/>
              <w:jc w:val="center"/>
              <w:rPr>
                <w:b/>
                <w:bCs/>
                <w:snapToGrid w:val="0"/>
                <w:kern w:val="21"/>
                <w:szCs w:val="21"/>
              </w:rPr>
            </w:pPr>
          </w:p>
        </w:tc>
        <w:tc>
          <w:tcPr>
            <w:tcW w:w="1950" w:type="dxa"/>
            <w:vAlign w:val="center"/>
          </w:tcPr>
          <w:p w14:paraId="5AAF086F">
            <w:pPr>
              <w:adjustRightInd w:val="0"/>
              <w:snapToGrid w:val="0"/>
              <w:jc w:val="center"/>
              <w:rPr>
                <w:rFonts w:hint="eastAsia" w:eastAsia="宋体"/>
                <w:bCs/>
                <w:snapToGrid w:val="0"/>
                <w:color w:val="FF0000"/>
                <w:kern w:val="21"/>
                <w:szCs w:val="21"/>
                <w:lang w:val="en-US" w:eastAsia="zh-CN"/>
              </w:rPr>
            </w:pPr>
            <w:r>
              <w:rPr>
                <w:rFonts w:hint="eastAsia"/>
                <w:bCs/>
                <w:snapToGrid w:val="0"/>
                <w:color w:val="FF0000"/>
                <w:kern w:val="21"/>
                <w:szCs w:val="21"/>
                <w:lang w:val="en-US" w:eastAsia="zh-CN"/>
              </w:rPr>
              <w:t>氯化物</w:t>
            </w:r>
          </w:p>
        </w:tc>
        <w:tc>
          <w:tcPr>
            <w:tcW w:w="1575" w:type="dxa"/>
            <w:vAlign w:val="center"/>
          </w:tcPr>
          <w:p w14:paraId="2D2BA2B3">
            <w:pPr>
              <w:spacing w:line="240" w:lineRule="auto"/>
              <w:ind w:left="0" w:leftChars="0" w:firstLine="0" w:firstLineChars="0"/>
              <w:jc w:val="center"/>
              <w:rPr>
                <w:rFonts w:hint="eastAsia"/>
                <w:bCs/>
                <w:snapToGrid w:val="0"/>
                <w:color w:val="FF0000"/>
                <w:kern w:val="21"/>
                <w:szCs w:val="21"/>
                <w:lang w:val="en-US" w:eastAsia="zh-CN"/>
              </w:rPr>
            </w:pPr>
            <w:r>
              <w:rPr>
                <w:bCs/>
                <w:snapToGrid w:val="0"/>
                <w:color w:val="FF0000"/>
                <w:kern w:val="21"/>
                <w:szCs w:val="21"/>
              </w:rPr>
              <w:t>/</w:t>
            </w:r>
          </w:p>
        </w:tc>
        <w:tc>
          <w:tcPr>
            <w:tcW w:w="1260" w:type="dxa"/>
            <w:vAlign w:val="center"/>
          </w:tcPr>
          <w:p w14:paraId="06A3AFD5">
            <w:pPr>
              <w:adjustRightInd w:val="0"/>
              <w:snapToGrid w:val="0"/>
              <w:jc w:val="center"/>
              <w:rPr>
                <w:bCs/>
                <w:snapToGrid w:val="0"/>
                <w:color w:val="FF0000"/>
                <w:kern w:val="21"/>
                <w:szCs w:val="21"/>
              </w:rPr>
            </w:pPr>
            <w:r>
              <w:rPr>
                <w:bCs/>
                <w:snapToGrid w:val="0"/>
                <w:color w:val="FF0000"/>
                <w:kern w:val="21"/>
                <w:szCs w:val="21"/>
              </w:rPr>
              <w:t>/</w:t>
            </w:r>
          </w:p>
        </w:tc>
        <w:tc>
          <w:tcPr>
            <w:tcW w:w="1612" w:type="dxa"/>
            <w:vAlign w:val="center"/>
          </w:tcPr>
          <w:p w14:paraId="16BDF645">
            <w:pPr>
              <w:adjustRightInd w:val="0"/>
              <w:snapToGrid w:val="0"/>
              <w:jc w:val="center"/>
              <w:rPr>
                <w:bCs/>
                <w:snapToGrid w:val="0"/>
                <w:color w:val="FF0000"/>
                <w:kern w:val="21"/>
                <w:szCs w:val="21"/>
              </w:rPr>
            </w:pPr>
            <w:r>
              <w:rPr>
                <w:bCs/>
                <w:snapToGrid w:val="0"/>
                <w:color w:val="FF0000"/>
                <w:kern w:val="21"/>
                <w:szCs w:val="21"/>
              </w:rPr>
              <w:t>/</w:t>
            </w:r>
          </w:p>
        </w:tc>
        <w:tc>
          <w:tcPr>
            <w:tcW w:w="1559" w:type="dxa"/>
            <w:vAlign w:val="center"/>
          </w:tcPr>
          <w:p w14:paraId="3F3DEA2C">
            <w:pPr>
              <w:pStyle w:val="9"/>
              <w:spacing w:line="240" w:lineRule="auto"/>
              <w:ind w:left="0" w:leftChars="0" w:firstLine="0" w:firstLineChars="0"/>
              <w:jc w:val="center"/>
              <w:rPr>
                <w:rFonts w:hint="eastAsia" w:cs="Times New Roman"/>
                <w:b w:val="0"/>
                <w:bCs w:val="0"/>
                <w:color w:val="FF0000"/>
                <w:sz w:val="21"/>
                <w:szCs w:val="21"/>
                <w:lang w:val="en-US" w:eastAsia="zh-CN"/>
              </w:rPr>
            </w:pPr>
            <w:r>
              <w:rPr>
                <w:rFonts w:hint="eastAsia"/>
                <w:color w:val="FF0000"/>
                <w:sz w:val="21"/>
                <w:szCs w:val="21"/>
                <w:lang w:val="en-US" w:eastAsia="zh-CN"/>
              </w:rPr>
              <w:t>0.843</w:t>
            </w:r>
          </w:p>
        </w:tc>
        <w:tc>
          <w:tcPr>
            <w:tcW w:w="1761" w:type="dxa"/>
            <w:vAlign w:val="center"/>
          </w:tcPr>
          <w:p w14:paraId="1599BFC4">
            <w:pPr>
              <w:adjustRightInd w:val="0"/>
              <w:snapToGrid w:val="0"/>
              <w:jc w:val="center"/>
              <w:rPr>
                <w:bCs/>
                <w:snapToGrid w:val="0"/>
                <w:color w:val="FF0000"/>
                <w:kern w:val="21"/>
                <w:szCs w:val="21"/>
              </w:rPr>
            </w:pPr>
            <w:r>
              <w:rPr>
                <w:bCs/>
                <w:snapToGrid w:val="0"/>
                <w:color w:val="FF0000"/>
                <w:kern w:val="21"/>
                <w:szCs w:val="21"/>
              </w:rPr>
              <w:t>/</w:t>
            </w:r>
          </w:p>
        </w:tc>
        <w:tc>
          <w:tcPr>
            <w:tcW w:w="1742" w:type="dxa"/>
            <w:vAlign w:val="center"/>
          </w:tcPr>
          <w:p w14:paraId="5361B832">
            <w:pPr>
              <w:pStyle w:val="9"/>
              <w:spacing w:line="240" w:lineRule="auto"/>
              <w:ind w:left="0" w:leftChars="0" w:firstLine="0" w:firstLineChars="0"/>
              <w:jc w:val="center"/>
              <w:rPr>
                <w:rFonts w:hint="eastAsia"/>
                <w:bCs/>
                <w:snapToGrid w:val="0"/>
                <w:color w:val="FF0000"/>
                <w:kern w:val="21"/>
                <w:szCs w:val="21"/>
                <w:lang w:val="en-US" w:eastAsia="zh-CN"/>
              </w:rPr>
            </w:pPr>
            <w:r>
              <w:rPr>
                <w:rFonts w:hint="eastAsia"/>
                <w:color w:val="FF0000"/>
                <w:sz w:val="21"/>
                <w:szCs w:val="21"/>
                <w:lang w:val="en-US" w:eastAsia="zh-CN"/>
              </w:rPr>
              <w:t>0.843</w:t>
            </w:r>
          </w:p>
        </w:tc>
        <w:tc>
          <w:tcPr>
            <w:tcW w:w="1293" w:type="dxa"/>
            <w:vAlign w:val="center"/>
          </w:tcPr>
          <w:p w14:paraId="437D4FB0">
            <w:pPr>
              <w:pStyle w:val="9"/>
              <w:spacing w:line="240" w:lineRule="auto"/>
              <w:ind w:left="0" w:leftChars="0" w:firstLine="0" w:firstLineChars="0"/>
              <w:jc w:val="center"/>
              <w:rPr>
                <w:rFonts w:hint="eastAsia" w:cs="Times New Roman"/>
                <w:b w:val="0"/>
                <w:bCs w:val="0"/>
                <w:color w:val="FF0000"/>
                <w:sz w:val="21"/>
                <w:szCs w:val="21"/>
                <w:lang w:val="en-US" w:eastAsia="zh-CN"/>
              </w:rPr>
            </w:pPr>
            <w:r>
              <w:rPr>
                <w:rFonts w:hint="eastAsia"/>
                <w:color w:val="FF0000"/>
                <w:sz w:val="21"/>
                <w:szCs w:val="21"/>
                <w:lang w:val="en-US" w:eastAsia="zh-CN"/>
              </w:rPr>
              <w:t>+0.843</w:t>
            </w:r>
          </w:p>
        </w:tc>
      </w:tr>
      <w:tr w14:paraId="049473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86" w:type="dxa"/>
            <w:vMerge w:val="continue"/>
            <w:vAlign w:val="center"/>
          </w:tcPr>
          <w:p w14:paraId="193DF890">
            <w:pPr>
              <w:adjustRightInd w:val="0"/>
              <w:snapToGrid w:val="0"/>
              <w:jc w:val="center"/>
              <w:rPr>
                <w:b/>
                <w:bCs/>
                <w:snapToGrid w:val="0"/>
                <w:kern w:val="21"/>
                <w:szCs w:val="21"/>
              </w:rPr>
            </w:pPr>
          </w:p>
        </w:tc>
        <w:tc>
          <w:tcPr>
            <w:tcW w:w="1950" w:type="dxa"/>
            <w:vAlign w:val="center"/>
          </w:tcPr>
          <w:p w14:paraId="6E503468">
            <w:pPr>
              <w:adjustRightInd w:val="0"/>
              <w:snapToGrid w:val="0"/>
              <w:jc w:val="center"/>
              <w:rPr>
                <w:rFonts w:hint="eastAsia" w:eastAsia="宋体"/>
                <w:bCs/>
                <w:snapToGrid w:val="0"/>
                <w:color w:val="FF0000"/>
                <w:kern w:val="21"/>
                <w:szCs w:val="21"/>
                <w:lang w:val="en-US" w:eastAsia="zh-CN"/>
              </w:rPr>
            </w:pPr>
            <w:r>
              <w:rPr>
                <w:rFonts w:hint="eastAsia"/>
                <w:bCs/>
                <w:snapToGrid w:val="0"/>
                <w:color w:val="FF0000"/>
                <w:kern w:val="21"/>
                <w:szCs w:val="21"/>
                <w:lang w:val="en-US" w:eastAsia="zh-CN"/>
              </w:rPr>
              <w:t>硫酸盐</w:t>
            </w:r>
          </w:p>
        </w:tc>
        <w:tc>
          <w:tcPr>
            <w:tcW w:w="1575" w:type="dxa"/>
            <w:vAlign w:val="center"/>
          </w:tcPr>
          <w:p w14:paraId="51E94D80">
            <w:pPr>
              <w:spacing w:line="240" w:lineRule="auto"/>
              <w:ind w:left="0" w:leftChars="0" w:firstLine="0" w:firstLineChars="0"/>
              <w:jc w:val="center"/>
              <w:rPr>
                <w:rFonts w:hint="eastAsia"/>
                <w:bCs/>
                <w:snapToGrid w:val="0"/>
                <w:color w:val="FF0000"/>
                <w:kern w:val="21"/>
                <w:szCs w:val="21"/>
                <w:lang w:val="en-US" w:eastAsia="zh-CN"/>
              </w:rPr>
            </w:pPr>
            <w:r>
              <w:rPr>
                <w:bCs/>
                <w:snapToGrid w:val="0"/>
                <w:color w:val="FF0000"/>
                <w:kern w:val="21"/>
                <w:szCs w:val="21"/>
              </w:rPr>
              <w:t>/</w:t>
            </w:r>
          </w:p>
        </w:tc>
        <w:tc>
          <w:tcPr>
            <w:tcW w:w="1260" w:type="dxa"/>
            <w:vAlign w:val="center"/>
          </w:tcPr>
          <w:p w14:paraId="1273133E">
            <w:pPr>
              <w:adjustRightInd w:val="0"/>
              <w:snapToGrid w:val="0"/>
              <w:jc w:val="center"/>
              <w:rPr>
                <w:bCs/>
                <w:snapToGrid w:val="0"/>
                <w:color w:val="FF0000"/>
                <w:kern w:val="21"/>
                <w:szCs w:val="21"/>
              </w:rPr>
            </w:pPr>
            <w:r>
              <w:rPr>
                <w:bCs/>
                <w:snapToGrid w:val="0"/>
                <w:color w:val="FF0000"/>
                <w:kern w:val="21"/>
                <w:szCs w:val="21"/>
              </w:rPr>
              <w:t>/</w:t>
            </w:r>
          </w:p>
        </w:tc>
        <w:tc>
          <w:tcPr>
            <w:tcW w:w="1612" w:type="dxa"/>
            <w:vAlign w:val="center"/>
          </w:tcPr>
          <w:p w14:paraId="0EA5AD4D">
            <w:pPr>
              <w:adjustRightInd w:val="0"/>
              <w:snapToGrid w:val="0"/>
              <w:jc w:val="center"/>
              <w:rPr>
                <w:bCs/>
                <w:snapToGrid w:val="0"/>
                <w:color w:val="FF0000"/>
                <w:kern w:val="21"/>
                <w:szCs w:val="21"/>
              </w:rPr>
            </w:pPr>
            <w:r>
              <w:rPr>
                <w:bCs/>
                <w:snapToGrid w:val="0"/>
                <w:color w:val="FF0000"/>
                <w:kern w:val="21"/>
                <w:szCs w:val="21"/>
              </w:rPr>
              <w:t>/</w:t>
            </w:r>
          </w:p>
        </w:tc>
        <w:tc>
          <w:tcPr>
            <w:tcW w:w="1559" w:type="dxa"/>
            <w:vAlign w:val="center"/>
          </w:tcPr>
          <w:p w14:paraId="7904778C">
            <w:pPr>
              <w:pStyle w:val="9"/>
              <w:spacing w:line="240" w:lineRule="auto"/>
              <w:ind w:left="0" w:leftChars="0" w:firstLine="0" w:firstLineChars="0"/>
              <w:jc w:val="center"/>
              <w:rPr>
                <w:rFonts w:hint="eastAsia" w:cs="Times New Roman"/>
                <w:b w:val="0"/>
                <w:bCs w:val="0"/>
                <w:color w:val="FF0000"/>
                <w:sz w:val="21"/>
                <w:szCs w:val="21"/>
                <w:lang w:val="en-US" w:eastAsia="zh-CN"/>
              </w:rPr>
            </w:pPr>
            <w:r>
              <w:rPr>
                <w:rFonts w:hint="eastAsia"/>
                <w:color w:val="FF0000"/>
                <w:sz w:val="21"/>
                <w:szCs w:val="21"/>
                <w:lang w:val="en-US" w:eastAsia="zh-CN"/>
              </w:rPr>
              <w:t>0.843</w:t>
            </w:r>
          </w:p>
        </w:tc>
        <w:tc>
          <w:tcPr>
            <w:tcW w:w="1761" w:type="dxa"/>
            <w:vAlign w:val="center"/>
          </w:tcPr>
          <w:p w14:paraId="5B2843E2">
            <w:pPr>
              <w:adjustRightInd w:val="0"/>
              <w:snapToGrid w:val="0"/>
              <w:jc w:val="center"/>
              <w:rPr>
                <w:bCs/>
                <w:snapToGrid w:val="0"/>
                <w:color w:val="FF0000"/>
                <w:kern w:val="21"/>
                <w:szCs w:val="21"/>
              </w:rPr>
            </w:pPr>
            <w:r>
              <w:rPr>
                <w:bCs/>
                <w:snapToGrid w:val="0"/>
                <w:color w:val="FF0000"/>
                <w:kern w:val="21"/>
                <w:szCs w:val="21"/>
              </w:rPr>
              <w:t>/</w:t>
            </w:r>
          </w:p>
        </w:tc>
        <w:tc>
          <w:tcPr>
            <w:tcW w:w="1742" w:type="dxa"/>
            <w:vAlign w:val="center"/>
          </w:tcPr>
          <w:p w14:paraId="389A5F2B">
            <w:pPr>
              <w:pStyle w:val="9"/>
              <w:spacing w:line="240" w:lineRule="auto"/>
              <w:ind w:left="0" w:leftChars="0" w:firstLine="0" w:firstLineChars="0"/>
              <w:jc w:val="center"/>
              <w:rPr>
                <w:rFonts w:hint="eastAsia"/>
                <w:bCs/>
                <w:snapToGrid w:val="0"/>
                <w:color w:val="FF0000"/>
                <w:kern w:val="21"/>
                <w:szCs w:val="21"/>
                <w:lang w:val="en-US" w:eastAsia="zh-CN"/>
              </w:rPr>
            </w:pPr>
            <w:r>
              <w:rPr>
                <w:rFonts w:hint="eastAsia"/>
                <w:color w:val="FF0000"/>
                <w:sz w:val="21"/>
                <w:szCs w:val="21"/>
                <w:lang w:val="en-US" w:eastAsia="zh-CN"/>
              </w:rPr>
              <w:t>0.843</w:t>
            </w:r>
          </w:p>
        </w:tc>
        <w:tc>
          <w:tcPr>
            <w:tcW w:w="1293" w:type="dxa"/>
            <w:vAlign w:val="center"/>
          </w:tcPr>
          <w:p w14:paraId="71F228A9">
            <w:pPr>
              <w:pStyle w:val="9"/>
              <w:spacing w:line="240" w:lineRule="auto"/>
              <w:ind w:left="0" w:leftChars="0" w:firstLine="0" w:firstLineChars="0"/>
              <w:jc w:val="center"/>
              <w:rPr>
                <w:rFonts w:hint="eastAsia" w:cs="Times New Roman"/>
                <w:b w:val="0"/>
                <w:bCs w:val="0"/>
                <w:color w:val="FF0000"/>
                <w:sz w:val="21"/>
                <w:szCs w:val="21"/>
                <w:lang w:val="en-US" w:eastAsia="zh-CN"/>
              </w:rPr>
            </w:pPr>
            <w:r>
              <w:rPr>
                <w:rFonts w:hint="eastAsia"/>
                <w:color w:val="FF0000"/>
                <w:sz w:val="21"/>
                <w:szCs w:val="21"/>
                <w:lang w:val="en-US" w:eastAsia="zh-CN"/>
              </w:rPr>
              <w:t>+0.843</w:t>
            </w:r>
          </w:p>
        </w:tc>
      </w:tr>
      <w:tr w14:paraId="1FFA44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86" w:type="dxa"/>
            <w:vMerge w:val="restart"/>
            <w:vAlign w:val="center"/>
          </w:tcPr>
          <w:p w14:paraId="659E9875">
            <w:pPr>
              <w:adjustRightInd w:val="0"/>
              <w:snapToGrid w:val="0"/>
              <w:jc w:val="center"/>
              <w:rPr>
                <w:b/>
                <w:bCs/>
                <w:snapToGrid w:val="0"/>
                <w:kern w:val="21"/>
                <w:szCs w:val="21"/>
              </w:rPr>
            </w:pPr>
            <w:r>
              <w:rPr>
                <w:rFonts w:hint="eastAsia"/>
                <w:b/>
                <w:bCs/>
                <w:snapToGrid w:val="0"/>
                <w:kern w:val="21"/>
                <w:szCs w:val="21"/>
              </w:rPr>
              <w:t>一般</w:t>
            </w:r>
            <w:r>
              <w:rPr>
                <w:rFonts w:hint="eastAsia"/>
                <w:b/>
                <w:bCs/>
                <w:snapToGrid w:val="0"/>
                <w:kern w:val="21"/>
                <w:szCs w:val="21"/>
                <w:lang w:val="en-US" w:eastAsia="zh-CN"/>
              </w:rPr>
              <w:t>工业</w:t>
            </w:r>
            <w:r>
              <w:rPr>
                <w:rFonts w:hint="eastAsia"/>
                <w:b/>
                <w:bCs/>
                <w:snapToGrid w:val="0"/>
                <w:kern w:val="21"/>
                <w:szCs w:val="21"/>
              </w:rPr>
              <w:t>固体废物</w:t>
            </w:r>
          </w:p>
        </w:tc>
        <w:tc>
          <w:tcPr>
            <w:tcW w:w="1950" w:type="dxa"/>
            <w:vAlign w:val="center"/>
          </w:tcPr>
          <w:p w14:paraId="58422147">
            <w:pPr>
              <w:widowControl/>
              <w:jc w:val="center"/>
              <w:textAlignment w:val="center"/>
              <w:rPr>
                <w:rFonts w:hint="default"/>
                <w:sz w:val="21"/>
                <w:szCs w:val="21"/>
                <w:lang w:val="en-US"/>
              </w:rPr>
            </w:pPr>
            <w:r>
              <w:rPr>
                <w:rFonts w:hint="eastAsia"/>
                <w:color w:val="auto"/>
                <w:sz w:val="21"/>
                <w:szCs w:val="21"/>
                <w:lang w:val="en-US" w:eastAsia="zh-CN"/>
              </w:rPr>
              <w:t>除尘灰</w:t>
            </w:r>
          </w:p>
        </w:tc>
        <w:tc>
          <w:tcPr>
            <w:tcW w:w="1575" w:type="dxa"/>
            <w:vAlign w:val="center"/>
          </w:tcPr>
          <w:p w14:paraId="484B76C6">
            <w:pPr>
              <w:adjustRightInd w:val="0"/>
              <w:snapToGrid w:val="0"/>
              <w:jc w:val="center"/>
              <w:rPr>
                <w:bCs/>
                <w:snapToGrid w:val="0"/>
                <w:color w:val="auto"/>
                <w:kern w:val="21"/>
                <w:szCs w:val="21"/>
              </w:rPr>
            </w:pPr>
            <w:r>
              <w:rPr>
                <w:bCs/>
                <w:snapToGrid w:val="0"/>
                <w:color w:val="auto"/>
                <w:kern w:val="21"/>
                <w:szCs w:val="21"/>
              </w:rPr>
              <w:t>/</w:t>
            </w:r>
          </w:p>
        </w:tc>
        <w:tc>
          <w:tcPr>
            <w:tcW w:w="1260" w:type="dxa"/>
            <w:vAlign w:val="center"/>
          </w:tcPr>
          <w:p w14:paraId="09594FB7">
            <w:pPr>
              <w:adjustRightInd w:val="0"/>
              <w:snapToGrid w:val="0"/>
              <w:jc w:val="center"/>
              <w:rPr>
                <w:bCs/>
                <w:snapToGrid w:val="0"/>
                <w:color w:val="auto"/>
                <w:kern w:val="21"/>
                <w:szCs w:val="21"/>
              </w:rPr>
            </w:pPr>
            <w:r>
              <w:rPr>
                <w:bCs/>
                <w:snapToGrid w:val="0"/>
                <w:color w:val="auto"/>
                <w:kern w:val="21"/>
                <w:szCs w:val="21"/>
              </w:rPr>
              <w:t>/</w:t>
            </w:r>
          </w:p>
        </w:tc>
        <w:tc>
          <w:tcPr>
            <w:tcW w:w="1612" w:type="dxa"/>
            <w:vAlign w:val="center"/>
          </w:tcPr>
          <w:p w14:paraId="261E4D60">
            <w:pPr>
              <w:adjustRightInd w:val="0"/>
              <w:snapToGrid w:val="0"/>
              <w:jc w:val="center"/>
              <w:rPr>
                <w:bCs/>
                <w:snapToGrid w:val="0"/>
                <w:color w:val="auto"/>
                <w:kern w:val="21"/>
                <w:szCs w:val="21"/>
              </w:rPr>
            </w:pPr>
            <w:r>
              <w:rPr>
                <w:bCs/>
                <w:snapToGrid w:val="0"/>
                <w:color w:val="auto"/>
                <w:kern w:val="21"/>
                <w:szCs w:val="21"/>
              </w:rPr>
              <w:t>/</w:t>
            </w:r>
          </w:p>
        </w:tc>
        <w:tc>
          <w:tcPr>
            <w:tcW w:w="1559" w:type="dxa"/>
            <w:vAlign w:val="center"/>
          </w:tcPr>
          <w:p w14:paraId="1CACD8E1">
            <w:pPr>
              <w:keepNext w:val="0"/>
              <w:keepLines w:val="0"/>
              <w:pageBreakBefore w:val="0"/>
              <w:widowControl/>
              <w:kinsoku/>
              <w:wordWrap/>
              <w:overflowPunct/>
              <w:topLinePunct w:val="0"/>
              <w:bidi w:val="0"/>
              <w:snapToGrid/>
              <w:spacing w:line="240" w:lineRule="auto"/>
              <w:jc w:val="center"/>
              <w:textAlignment w:val="center"/>
              <w:rPr>
                <w:rFonts w:hint="default" w:eastAsia="宋体"/>
                <w:color w:val="auto"/>
                <w:sz w:val="21"/>
                <w:szCs w:val="21"/>
                <w:lang w:val="en-US" w:eastAsia="zh-CN"/>
              </w:rPr>
            </w:pPr>
            <w:r>
              <w:rPr>
                <w:rFonts w:hint="eastAsia"/>
                <w:color w:val="auto"/>
                <w:sz w:val="21"/>
                <w:szCs w:val="21"/>
                <w:lang w:val="en-US" w:eastAsia="zh-CN"/>
              </w:rPr>
              <w:t>168.692</w:t>
            </w:r>
          </w:p>
        </w:tc>
        <w:tc>
          <w:tcPr>
            <w:tcW w:w="1761" w:type="dxa"/>
            <w:vAlign w:val="center"/>
          </w:tcPr>
          <w:p w14:paraId="55B2750D">
            <w:pPr>
              <w:adjustRightInd w:val="0"/>
              <w:snapToGrid w:val="0"/>
              <w:jc w:val="center"/>
              <w:rPr>
                <w:bCs/>
                <w:snapToGrid w:val="0"/>
                <w:color w:val="auto"/>
                <w:kern w:val="21"/>
                <w:szCs w:val="21"/>
              </w:rPr>
            </w:pPr>
            <w:r>
              <w:rPr>
                <w:bCs/>
                <w:snapToGrid w:val="0"/>
                <w:color w:val="auto"/>
                <w:kern w:val="21"/>
                <w:szCs w:val="21"/>
              </w:rPr>
              <w:t>/</w:t>
            </w:r>
          </w:p>
        </w:tc>
        <w:tc>
          <w:tcPr>
            <w:tcW w:w="1742" w:type="dxa"/>
            <w:shd w:val="clear" w:color="auto" w:fill="auto"/>
            <w:vAlign w:val="center"/>
          </w:tcPr>
          <w:p w14:paraId="745D6D73">
            <w:pPr>
              <w:keepNext w:val="0"/>
              <w:keepLines w:val="0"/>
              <w:pageBreakBefore w:val="0"/>
              <w:widowControl/>
              <w:kinsoku/>
              <w:wordWrap/>
              <w:overflowPunct/>
              <w:topLinePunct w:val="0"/>
              <w:bidi w:val="0"/>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168.692</w:t>
            </w:r>
          </w:p>
        </w:tc>
        <w:tc>
          <w:tcPr>
            <w:tcW w:w="1293" w:type="dxa"/>
            <w:shd w:val="clear" w:color="auto" w:fill="auto"/>
            <w:vAlign w:val="center"/>
          </w:tcPr>
          <w:p w14:paraId="2B63FAD0">
            <w:pPr>
              <w:keepNext w:val="0"/>
              <w:keepLines w:val="0"/>
              <w:pageBreakBefore w:val="0"/>
              <w:widowControl/>
              <w:kinsoku/>
              <w:wordWrap/>
              <w:overflowPunct/>
              <w:topLinePunct w:val="0"/>
              <w:bidi w:val="0"/>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olor w:val="auto"/>
                <w:kern w:val="0"/>
                <w:sz w:val="21"/>
                <w:szCs w:val="21"/>
                <w:lang w:val="en-US" w:eastAsia="zh-CN" w:bidi="ar"/>
              </w:rPr>
              <w:t>+</w:t>
            </w:r>
            <w:r>
              <w:rPr>
                <w:rFonts w:hint="eastAsia"/>
                <w:color w:val="auto"/>
                <w:sz w:val="21"/>
                <w:szCs w:val="21"/>
                <w:lang w:val="en-US" w:eastAsia="zh-CN"/>
              </w:rPr>
              <w:t>168.692</w:t>
            </w:r>
          </w:p>
        </w:tc>
      </w:tr>
      <w:tr w14:paraId="7C6E05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86" w:type="dxa"/>
            <w:vMerge w:val="continue"/>
            <w:vAlign w:val="center"/>
          </w:tcPr>
          <w:p w14:paraId="016DC829">
            <w:pPr>
              <w:adjustRightInd w:val="0"/>
              <w:snapToGrid w:val="0"/>
              <w:jc w:val="center"/>
              <w:rPr>
                <w:b/>
                <w:bCs/>
                <w:snapToGrid w:val="0"/>
                <w:kern w:val="21"/>
                <w:szCs w:val="21"/>
              </w:rPr>
            </w:pPr>
          </w:p>
        </w:tc>
        <w:tc>
          <w:tcPr>
            <w:tcW w:w="1950" w:type="dxa"/>
            <w:vAlign w:val="center"/>
          </w:tcPr>
          <w:p w14:paraId="67FAC9CF">
            <w:pPr>
              <w:widowControl/>
              <w:jc w:val="center"/>
              <w:textAlignment w:val="center"/>
              <w:rPr>
                <w:rFonts w:hint="default" w:eastAsia="宋体"/>
                <w:sz w:val="21"/>
                <w:szCs w:val="21"/>
                <w:lang w:val="en-US" w:eastAsia="zh-CN"/>
              </w:rPr>
            </w:pPr>
            <w:r>
              <w:rPr>
                <w:rFonts w:hint="eastAsia"/>
                <w:sz w:val="21"/>
                <w:szCs w:val="21"/>
                <w:lang w:val="en-US" w:eastAsia="zh-CN"/>
              </w:rPr>
              <w:t>废布袋</w:t>
            </w:r>
          </w:p>
        </w:tc>
        <w:tc>
          <w:tcPr>
            <w:tcW w:w="1575" w:type="dxa"/>
            <w:vAlign w:val="center"/>
          </w:tcPr>
          <w:p w14:paraId="75DC3154">
            <w:pPr>
              <w:adjustRightInd w:val="0"/>
              <w:snapToGrid w:val="0"/>
              <w:jc w:val="center"/>
              <w:rPr>
                <w:bCs/>
                <w:snapToGrid w:val="0"/>
                <w:color w:val="auto"/>
                <w:kern w:val="21"/>
                <w:szCs w:val="21"/>
              </w:rPr>
            </w:pPr>
            <w:r>
              <w:rPr>
                <w:bCs/>
                <w:snapToGrid w:val="0"/>
                <w:color w:val="auto"/>
                <w:kern w:val="21"/>
                <w:szCs w:val="21"/>
              </w:rPr>
              <w:t>/</w:t>
            </w:r>
          </w:p>
        </w:tc>
        <w:tc>
          <w:tcPr>
            <w:tcW w:w="1260" w:type="dxa"/>
            <w:vAlign w:val="center"/>
          </w:tcPr>
          <w:p w14:paraId="22A58791">
            <w:pPr>
              <w:adjustRightInd w:val="0"/>
              <w:snapToGrid w:val="0"/>
              <w:jc w:val="center"/>
              <w:rPr>
                <w:bCs/>
                <w:snapToGrid w:val="0"/>
                <w:color w:val="auto"/>
                <w:kern w:val="21"/>
                <w:szCs w:val="21"/>
              </w:rPr>
            </w:pPr>
            <w:r>
              <w:rPr>
                <w:bCs/>
                <w:snapToGrid w:val="0"/>
                <w:color w:val="auto"/>
                <w:kern w:val="21"/>
                <w:szCs w:val="21"/>
              </w:rPr>
              <w:t>/</w:t>
            </w:r>
          </w:p>
        </w:tc>
        <w:tc>
          <w:tcPr>
            <w:tcW w:w="1612" w:type="dxa"/>
            <w:vAlign w:val="center"/>
          </w:tcPr>
          <w:p w14:paraId="3F9F4F56">
            <w:pPr>
              <w:adjustRightInd w:val="0"/>
              <w:snapToGrid w:val="0"/>
              <w:jc w:val="center"/>
              <w:rPr>
                <w:bCs/>
                <w:snapToGrid w:val="0"/>
                <w:color w:val="auto"/>
                <w:kern w:val="21"/>
                <w:szCs w:val="21"/>
              </w:rPr>
            </w:pPr>
            <w:r>
              <w:rPr>
                <w:bCs/>
                <w:snapToGrid w:val="0"/>
                <w:color w:val="auto"/>
                <w:kern w:val="21"/>
                <w:szCs w:val="21"/>
              </w:rPr>
              <w:t>/</w:t>
            </w:r>
          </w:p>
        </w:tc>
        <w:tc>
          <w:tcPr>
            <w:tcW w:w="1559" w:type="dxa"/>
            <w:vAlign w:val="center"/>
          </w:tcPr>
          <w:p w14:paraId="0E0BB14F">
            <w:pPr>
              <w:widowControl/>
              <w:jc w:val="center"/>
              <w:textAlignment w:val="center"/>
              <w:rPr>
                <w:rFonts w:hint="eastAsia" w:eastAsia="宋体"/>
                <w:b/>
                <w:bCs/>
                <w:color w:val="auto"/>
                <w:sz w:val="21"/>
                <w:szCs w:val="21"/>
                <w:lang w:val="en-US" w:eastAsia="zh-CN"/>
              </w:rPr>
            </w:pPr>
            <w:r>
              <w:rPr>
                <w:rFonts w:hint="eastAsia"/>
                <w:color w:val="auto"/>
                <w:kern w:val="0"/>
                <w:sz w:val="21"/>
                <w:szCs w:val="21"/>
                <w:lang w:bidi="ar"/>
              </w:rPr>
              <w:t>0.</w:t>
            </w:r>
            <w:r>
              <w:rPr>
                <w:rFonts w:hint="eastAsia"/>
                <w:color w:val="auto"/>
                <w:kern w:val="0"/>
                <w:sz w:val="21"/>
                <w:szCs w:val="21"/>
                <w:lang w:val="en-US" w:eastAsia="zh-CN" w:bidi="ar"/>
              </w:rPr>
              <w:t>2</w:t>
            </w:r>
          </w:p>
        </w:tc>
        <w:tc>
          <w:tcPr>
            <w:tcW w:w="1761" w:type="dxa"/>
            <w:vAlign w:val="center"/>
          </w:tcPr>
          <w:p w14:paraId="444EE1C4">
            <w:pPr>
              <w:adjustRightInd w:val="0"/>
              <w:snapToGrid w:val="0"/>
              <w:jc w:val="center"/>
              <w:rPr>
                <w:bCs/>
                <w:snapToGrid w:val="0"/>
                <w:color w:val="auto"/>
                <w:kern w:val="21"/>
                <w:szCs w:val="21"/>
              </w:rPr>
            </w:pPr>
            <w:r>
              <w:rPr>
                <w:bCs/>
                <w:snapToGrid w:val="0"/>
                <w:color w:val="auto"/>
                <w:kern w:val="21"/>
                <w:szCs w:val="21"/>
              </w:rPr>
              <w:t>/</w:t>
            </w:r>
          </w:p>
        </w:tc>
        <w:tc>
          <w:tcPr>
            <w:tcW w:w="1742" w:type="dxa"/>
            <w:vAlign w:val="center"/>
          </w:tcPr>
          <w:p w14:paraId="1D77F3F7">
            <w:pPr>
              <w:widowControl/>
              <w:jc w:val="center"/>
              <w:textAlignment w:val="center"/>
              <w:rPr>
                <w:color w:val="auto"/>
                <w:sz w:val="21"/>
                <w:szCs w:val="21"/>
              </w:rPr>
            </w:pPr>
            <w:r>
              <w:rPr>
                <w:rFonts w:hint="eastAsia"/>
                <w:color w:val="auto"/>
                <w:kern w:val="0"/>
                <w:sz w:val="21"/>
                <w:szCs w:val="21"/>
                <w:lang w:bidi="ar"/>
              </w:rPr>
              <w:t>0.</w:t>
            </w:r>
            <w:r>
              <w:rPr>
                <w:rFonts w:hint="eastAsia"/>
                <w:color w:val="auto"/>
                <w:kern w:val="0"/>
                <w:sz w:val="21"/>
                <w:szCs w:val="21"/>
                <w:lang w:val="en-US" w:eastAsia="zh-CN" w:bidi="ar"/>
              </w:rPr>
              <w:t>2</w:t>
            </w:r>
          </w:p>
        </w:tc>
        <w:tc>
          <w:tcPr>
            <w:tcW w:w="1293" w:type="dxa"/>
            <w:vAlign w:val="center"/>
          </w:tcPr>
          <w:p w14:paraId="02EC536B">
            <w:pPr>
              <w:widowControl/>
              <w:jc w:val="center"/>
              <w:textAlignment w:val="center"/>
              <w:rPr>
                <w:color w:val="auto"/>
                <w:sz w:val="21"/>
                <w:szCs w:val="21"/>
              </w:rPr>
            </w:pPr>
            <w:r>
              <w:rPr>
                <w:rFonts w:hint="eastAsia"/>
                <w:color w:val="auto"/>
                <w:kern w:val="0"/>
                <w:sz w:val="21"/>
                <w:szCs w:val="21"/>
                <w:lang w:val="en-US" w:eastAsia="zh-CN" w:bidi="ar"/>
              </w:rPr>
              <w:t>+</w:t>
            </w:r>
            <w:r>
              <w:rPr>
                <w:rFonts w:hint="eastAsia"/>
                <w:color w:val="auto"/>
                <w:kern w:val="0"/>
                <w:sz w:val="21"/>
                <w:szCs w:val="21"/>
                <w:lang w:bidi="ar"/>
              </w:rPr>
              <w:t>0.</w:t>
            </w:r>
            <w:r>
              <w:rPr>
                <w:rFonts w:hint="eastAsia"/>
                <w:color w:val="auto"/>
                <w:kern w:val="0"/>
                <w:sz w:val="21"/>
                <w:szCs w:val="21"/>
                <w:lang w:val="en-US" w:eastAsia="zh-CN" w:bidi="ar"/>
              </w:rPr>
              <w:t>2</w:t>
            </w:r>
          </w:p>
        </w:tc>
      </w:tr>
      <w:tr w14:paraId="369D1C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86" w:type="dxa"/>
            <w:vMerge w:val="continue"/>
            <w:vAlign w:val="center"/>
          </w:tcPr>
          <w:p w14:paraId="39B02741">
            <w:pPr>
              <w:adjustRightInd w:val="0"/>
              <w:snapToGrid w:val="0"/>
              <w:jc w:val="center"/>
              <w:rPr>
                <w:b/>
                <w:bCs/>
                <w:snapToGrid w:val="0"/>
                <w:kern w:val="21"/>
                <w:szCs w:val="21"/>
              </w:rPr>
            </w:pPr>
          </w:p>
        </w:tc>
        <w:tc>
          <w:tcPr>
            <w:tcW w:w="1950" w:type="dxa"/>
            <w:vAlign w:val="center"/>
          </w:tcPr>
          <w:p w14:paraId="41238414">
            <w:pPr>
              <w:widowControl/>
              <w:jc w:val="center"/>
              <w:textAlignment w:val="center"/>
              <w:rPr>
                <w:rFonts w:hint="default"/>
                <w:color w:val="000000" w:themeColor="text1"/>
                <w:sz w:val="21"/>
                <w:szCs w:val="21"/>
                <w:lang w:val="en-US" w:bidi="ar"/>
                <w14:textFill>
                  <w14:solidFill>
                    <w14:schemeClr w14:val="tx1"/>
                  </w14:solidFill>
                </w14:textFill>
              </w:rPr>
            </w:pPr>
            <w:r>
              <w:rPr>
                <w:rFonts w:hint="eastAsia"/>
                <w:color w:val="auto"/>
                <w:kern w:val="0"/>
                <w:sz w:val="21"/>
                <w:szCs w:val="21"/>
                <w:lang w:val="en-US" w:eastAsia="zh-CN" w:bidi="ar"/>
              </w:rPr>
              <w:t>锅炉灰渣</w:t>
            </w:r>
          </w:p>
        </w:tc>
        <w:tc>
          <w:tcPr>
            <w:tcW w:w="1575" w:type="dxa"/>
            <w:vAlign w:val="center"/>
          </w:tcPr>
          <w:p w14:paraId="04D7D742">
            <w:pPr>
              <w:adjustRightInd w:val="0"/>
              <w:snapToGrid w:val="0"/>
              <w:jc w:val="center"/>
              <w:rPr>
                <w:rFonts w:hint="default" w:eastAsia="宋体"/>
                <w:bCs/>
                <w:snapToGrid w:val="0"/>
                <w:color w:val="auto"/>
                <w:kern w:val="21"/>
                <w:szCs w:val="21"/>
                <w:lang w:val="en-US" w:eastAsia="zh-CN"/>
              </w:rPr>
            </w:pPr>
            <w:r>
              <w:rPr>
                <w:rFonts w:hint="eastAsia"/>
                <w:bCs/>
                <w:snapToGrid w:val="0"/>
                <w:color w:val="auto"/>
                <w:kern w:val="21"/>
                <w:szCs w:val="21"/>
                <w:lang w:val="en-US" w:eastAsia="zh-CN"/>
              </w:rPr>
              <w:t>800</w:t>
            </w:r>
          </w:p>
        </w:tc>
        <w:tc>
          <w:tcPr>
            <w:tcW w:w="1260" w:type="dxa"/>
            <w:vAlign w:val="center"/>
          </w:tcPr>
          <w:p w14:paraId="7D60E381">
            <w:pPr>
              <w:adjustRightInd w:val="0"/>
              <w:snapToGrid w:val="0"/>
              <w:jc w:val="center"/>
              <w:rPr>
                <w:bCs/>
                <w:snapToGrid w:val="0"/>
                <w:color w:val="auto"/>
                <w:kern w:val="21"/>
                <w:szCs w:val="21"/>
              </w:rPr>
            </w:pPr>
            <w:r>
              <w:rPr>
                <w:bCs/>
                <w:snapToGrid w:val="0"/>
                <w:color w:val="auto"/>
                <w:kern w:val="21"/>
                <w:szCs w:val="21"/>
              </w:rPr>
              <w:t>/</w:t>
            </w:r>
          </w:p>
        </w:tc>
        <w:tc>
          <w:tcPr>
            <w:tcW w:w="1612" w:type="dxa"/>
            <w:vAlign w:val="center"/>
          </w:tcPr>
          <w:p w14:paraId="241C4E6C">
            <w:pPr>
              <w:adjustRightInd w:val="0"/>
              <w:snapToGrid w:val="0"/>
              <w:jc w:val="center"/>
              <w:rPr>
                <w:bCs/>
                <w:snapToGrid w:val="0"/>
                <w:color w:val="auto"/>
                <w:kern w:val="21"/>
                <w:szCs w:val="21"/>
              </w:rPr>
            </w:pPr>
            <w:r>
              <w:rPr>
                <w:bCs/>
                <w:snapToGrid w:val="0"/>
                <w:color w:val="auto"/>
                <w:kern w:val="21"/>
                <w:szCs w:val="21"/>
              </w:rPr>
              <w:t>/</w:t>
            </w:r>
          </w:p>
        </w:tc>
        <w:tc>
          <w:tcPr>
            <w:tcW w:w="1559" w:type="dxa"/>
            <w:vAlign w:val="center"/>
          </w:tcPr>
          <w:p w14:paraId="1C488EF6">
            <w:pPr>
              <w:adjustRightInd w:val="0"/>
              <w:snapToGrid w:val="0"/>
              <w:jc w:val="center"/>
              <w:rPr>
                <w:rFonts w:hint="eastAsia"/>
                <w:color w:val="auto"/>
                <w:sz w:val="21"/>
                <w:szCs w:val="21"/>
                <w:lang w:bidi="ar"/>
              </w:rPr>
            </w:pPr>
            <w:r>
              <w:rPr>
                <w:rFonts w:hint="eastAsia" w:cs="Times New Roman"/>
                <w:b w:val="0"/>
                <w:bCs w:val="0"/>
                <w:color w:val="auto"/>
                <w:sz w:val="21"/>
                <w:szCs w:val="21"/>
                <w:lang w:val="en-US" w:eastAsia="zh-CN"/>
              </w:rPr>
              <w:t>0</w:t>
            </w:r>
          </w:p>
        </w:tc>
        <w:tc>
          <w:tcPr>
            <w:tcW w:w="1761" w:type="dxa"/>
            <w:vAlign w:val="center"/>
          </w:tcPr>
          <w:p w14:paraId="1E5576D6">
            <w:pPr>
              <w:adjustRightInd w:val="0"/>
              <w:snapToGrid w:val="0"/>
              <w:jc w:val="center"/>
              <w:rPr>
                <w:bCs/>
                <w:snapToGrid w:val="0"/>
                <w:color w:val="auto"/>
                <w:kern w:val="21"/>
                <w:szCs w:val="21"/>
              </w:rPr>
            </w:pPr>
            <w:r>
              <w:rPr>
                <w:bCs/>
                <w:snapToGrid w:val="0"/>
                <w:color w:val="auto"/>
                <w:kern w:val="21"/>
                <w:szCs w:val="21"/>
              </w:rPr>
              <w:t>/</w:t>
            </w:r>
          </w:p>
        </w:tc>
        <w:tc>
          <w:tcPr>
            <w:tcW w:w="1742" w:type="dxa"/>
            <w:vAlign w:val="center"/>
          </w:tcPr>
          <w:p w14:paraId="1A55F3EE">
            <w:pPr>
              <w:adjustRightInd w:val="0"/>
              <w:snapToGrid w:val="0"/>
              <w:jc w:val="center"/>
              <w:rPr>
                <w:rFonts w:hint="eastAsia"/>
                <w:color w:val="auto"/>
                <w:sz w:val="21"/>
                <w:szCs w:val="21"/>
                <w:lang w:bidi="ar"/>
              </w:rPr>
            </w:pPr>
            <w:r>
              <w:rPr>
                <w:rFonts w:hint="eastAsia"/>
                <w:bCs/>
                <w:snapToGrid w:val="0"/>
                <w:color w:val="auto"/>
                <w:kern w:val="21"/>
                <w:szCs w:val="21"/>
                <w:lang w:val="en-US" w:eastAsia="zh-CN"/>
              </w:rPr>
              <w:t>800</w:t>
            </w:r>
          </w:p>
        </w:tc>
        <w:tc>
          <w:tcPr>
            <w:tcW w:w="1293" w:type="dxa"/>
            <w:vAlign w:val="center"/>
          </w:tcPr>
          <w:p w14:paraId="565ECF8D">
            <w:pPr>
              <w:adjustRightInd w:val="0"/>
              <w:snapToGrid w:val="0"/>
              <w:jc w:val="center"/>
              <w:rPr>
                <w:color w:val="auto"/>
                <w:sz w:val="21"/>
                <w:szCs w:val="21"/>
              </w:rPr>
            </w:pPr>
            <w:r>
              <w:rPr>
                <w:rFonts w:hint="eastAsia" w:cs="Times New Roman"/>
                <w:b w:val="0"/>
                <w:bCs w:val="0"/>
                <w:color w:val="auto"/>
                <w:sz w:val="21"/>
                <w:szCs w:val="21"/>
                <w:lang w:val="en-US" w:eastAsia="zh-CN"/>
              </w:rPr>
              <w:t>+0</w:t>
            </w:r>
          </w:p>
        </w:tc>
      </w:tr>
      <w:tr w14:paraId="6812DD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86" w:type="dxa"/>
            <w:vMerge w:val="continue"/>
            <w:vAlign w:val="center"/>
          </w:tcPr>
          <w:p w14:paraId="463348E7">
            <w:pPr>
              <w:adjustRightInd w:val="0"/>
              <w:snapToGrid w:val="0"/>
              <w:jc w:val="center"/>
              <w:rPr>
                <w:b/>
                <w:bCs/>
                <w:snapToGrid w:val="0"/>
                <w:kern w:val="21"/>
                <w:szCs w:val="21"/>
              </w:rPr>
            </w:pPr>
          </w:p>
        </w:tc>
        <w:tc>
          <w:tcPr>
            <w:tcW w:w="1950" w:type="dxa"/>
            <w:vAlign w:val="center"/>
          </w:tcPr>
          <w:p w14:paraId="7E9F7D8D">
            <w:pPr>
              <w:widowControl/>
              <w:jc w:val="center"/>
              <w:textAlignment w:val="center"/>
              <w:rPr>
                <w:rFonts w:hint="default"/>
                <w:color w:val="000000" w:themeColor="text1"/>
                <w:sz w:val="21"/>
                <w:szCs w:val="21"/>
                <w:lang w:val="en-US" w:bidi="ar"/>
                <w14:textFill>
                  <w14:solidFill>
                    <w14:schemeClr w14:val="tx1"/>
                  </w14:solidFill>
                </w14:textFill>
              </w:rPr>
            </w:pPr>
            <w:r>
              <w:rPr>
                <w:rFonts w:hint="eastAsia"/>
                <w:color w:val="auto"/>
                <w:kern w:val="0"/>
                <w:sz w:val="21"/>
                <w:szCs w:val="21"/>
                <w:lang w:val="en-US" w:eastAsia="zh-CN" w:bidi="ar"/>
              </w:rPr>
              <w:t>废包装袋</w:t>
            </w:r>
          </w:p>
        </w:tc>
        <w:tc>
          <w:tcPr>
            <w:tcW w:w="1575" w:type="dxa"/>
            <w:vAlign w:val="center"/>
          </w:tcPr>
          <w:p w14:paraId="5FE645C7">
            <w:pPr>
              <w:adjustRightInd w:val="0"/>
              <w:snapToGrid w:val="0"/>
              <w:jc w:val="center"/>
              <w:rPr>
                <w:rFonts w:hint="eastAsia" w:eastAsia="宋体"/>
                <w:bCs/>
                <w:snapToGrid w:val="0"/>
                <w:color w:val="auto"/>
                <w:kern w:val="21"/>
                <w:szCs w:val="21"/>
                <w:lang w:eastAsia="zh-CN"/>
              </w:rPr>
            </w:pPr>
            <w:r>
              <w:rPr>
                <w:rFonts w:hint="eastAsia"/>
                <w:bCs/>
                <w:snapToGrid w:val="0"/>
                <w:color w:val="auto"/>
                <w:kern w:val="21"/>
                <w:szCs w:val="21"/>
                <w:lang w:val="en-US" w:eastAsia="zh-CN"/>
              </w:rPr>
              <w:t>5</w:t>
            </w:r>
          </w:p>
        </w:tc>
        <w:tc>
          <w:tcPr>
            <w:tcW w:w="1260" w:type="dxa"/>
            <w:vAlign w:val="center"/>
          </w:tcPr>
          <w:p w14:paraId="0044EEDC">
            <w:pPr>
              <w:adjustRightInd w:val="0"/>
              <w:snapToGrid w:val="0"/>
              <w:jc w:val="center"/>
              <w:rPr>
                <w:bCs/>
                <w:snapToGrid w:val="0"/>
                <w:color w:val="auto"/>
                <w:kern w:val="21"/>
                <w:szCs w:val="21"/>
              </w:rPr>
            </w:pPr>
            <w:r>
              <w:rPr>
                <w:bCs/>
                <w:snapToGrid w:val="0"/>
                <w:color w:val="auto"/>
                <w:kern w:val="21"/>
                <w:szCs w:val="21"/>
              </w:rPr>
              <w:t>/</w:t>
            </w:r>
          </w:p>
        </w:tc>
        <w:tc>
          <w:tcPr>
            <w:tcW w:w="1612" w:type="dxa"/>
            <w:vAlign w:val="center"/>
          </w:tcPr>
          <w:p w14:paraId="5AAC3100">
            <w:pPr>
              <w:adjustRightInd w:val="0"/>
              <w:snapToGrid w:val="0"/>
              <w:jc w:val="center"/>
              <w:rPr>
                <w:bCs/>
                <w:snapToGrid w:val="0"/>
                <w:color w:val="auto"/>
                <w:kern w:val="21"/>
                <w:szCs w:val="21"/>
              </w:rPr>
            </w:pPr>
            <w:r>
              <w:rPr>
                <w:bCs/>
                <w:snapToGrid w:val="0"/>
                <w:color w:val="auto"/>
                <w:kern w:val="21"/>
                <w:szCs w:val="21"/>
              </w:rPr>
              <w:t>/</w:t>
            </w:r>
          </w:p>
        </w:tc>
        <w:tc>
          <w:tcPr>
            <w:tcW w:w="1559" w:type="dxa"/>
            <w:vAlign w:val="center"/>
          </w:tcPr>
          <w:p w14:paraId="21E7212D">
            <w:pPr>
              <w:adjustRightInd w:val="0"/>
              <w:snapToGrid w:val="0"/>
              <w:jc w:val="center"/>
              <w:rPr>
                <w:rFonts w:hint="default"/>
                <w:color w:val="auto"/>
                <w:sz w:val="21"/>
                <w:szCs w:val="21"/>
                <w:lang w:val="en-US" w:bidi="ar"/>
              </w:rPr>
            </w:pPr>
            <w:r>
              <w:rPr>
                <w:rFonts w:hint="eastAsia" w:cs="Times New Roman"/>
                <w:b w:val="0"/>
                <w:bCs w:val="0"/>
                <w:color w:val="auto"/>
                <w:sz w:val="21"/>
                <w:szCs w:val="21"/>
                <w:lang w:val="en-US" w:eastAsia="zh-CN"/>
              </w:rPr>
              <w:t>0</w:t>
            </w:r>
          </w:p>
        </w:tc>
        <w:tc>
          <w:tcPr>
            <w:tcW w:w="1761" w:type="dxa"/>
            <w:vAlign w:val="center"/>
          </w:tcPr>
          <w:p w14:paraId="48ED96B0">
            <w:pPr>
              <w:adjustRightInd w:val="0"/>
              <w:snapToGrid w:val="0"/>
              <w:jc w:val="center"/>
              <w:rPr>
                <w:bCs/>
                <w:snapToGrid w:val="0"/>
                <w:color w:val="auto"/>
                <w:kern w:val="21"/>
                <w:szCs w:val="21"/>
              </w:rPr>
            </w:pPr>
            <w:r>
              <w:rPr>
                <w:bCs/>
                <w:snapToGrid w:val="0"/>
                <w:color w:val="auto"/>
                <w:kern w:val="21"/>
                <w:szCs w:val="21"/>
              </w:rPr>
              <w:t>/</w:t>
            </w:r>
          </w:p>
        </w:tc>
        <w:tc>
          <w:tcPr>
            <w:tcW w:w="1742" w:type="dxa"/>
            <w:vAlign w:val="center"/>
          </w:tcPr>
          <w:p w14:paraId="0B501671">
            <w:pPr>
              <w:adjustRightInd w:val="0"/>
              <w:snapToGrid w:val="0"/>
              <w:jc w:val="center"/>
              <w:rPr>
                <w:rFonts w:hint="eastAsia"/>
                <w:color w:val="auto"/>
                <w:sz w:val="21"/>
                <w:szCs w:val="21"/>
                <w:lang w:bidi="ar"/>
              </w:rPr>
            </w:pPr>
            <w:r>
              <w:rPr>
                <w:rFonts w:hint="eastAsia"/>
                <w:bCs/>
                <w:snapToGrid w:val="0"/>
                <w:color w:val="auto"/>
                <w:kern w:val="21"/>
                <w:szCs w:val="21"/>
                <w:lang w:val="en-US" w:eastAsia="zh-CN"/>
              </w:rPr>
              <w:t>5</w:t>
            </w:r>
          </w:p>
        </w:tc>
        <w:tc>
          <w:tcPr>
            <w:tcW w:w="1293" w:type="dxa"/>
            <w:vAlign w:val="center"/>
          </w:tcPr>
          <w:p w14:paraId="554A93E5">
            <w:pPr>
              <w:adjustRightInd w:val="0"/>
              <w:snapToGrid w:val="0"/>
              <w:jc w:val="center"/>
              <w:rPr>
                <w:color w:val="auto"/>
                <w:sz w:val="21"/>
                <w:szCs w:val="21"/>
              </w:rPr>
            </w:pPr>
            <w:r>
              <w:rPr>
                <w:rFonts w:hint="eastAsia" w:cs="Times New Roman"/>
                <w:b w:val="0"/>
                <w:bCs w:val="0"/>
                <w:color w:val="auto"/>
                <w:sz w:val="21"/>
                <w:szCs w:val="21"/>
                <w:lang w:val="en-US" w:eastAsia="zh-CN"/>
              </w:rPr>
              <w:t>+0</w:t>
            </w:r>
          </w:p>
        </w:tc>
      </w:tr>
      <w:tr w14:paraId="0868E9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86" w:type="dxa"/>
            <w:vMerge w:val="continue"/>
            <w:vAlign w:val="center"/>
          </w:tcPr>
          <w:p w14:paraId="6CCBD8D5">
            <w:pPr>
              <w:adjustRightInd w:val="0"/>
              <w:snapToGrid w:val="0"/>
              <w:jc w:val="center"/>
              <w:rPr>
                <w:b/>
                <w:bCs/>
                <w:snapToGrid w:val="0"/>
                <w:kern w:val="21"/>
                <w:szCs w:val="21"/>
              </w:rPr>
            </w:pPr>
          </w:p>
        </w:tc>
        <w:tc>
          <w:tcPr>
            <w:tcW w:w="1950" w:type="dxa"/>
            <w:vAlign w:val="center"/>
          </w:tcPr>
          <w:p w14:paraId="5EDAD6B3">
            <w:pPr>
              <w:widowControl/>
              <w:jc w:val="center"/>
              <w:textAlignment w:val="center"/>
              <w:rPr>
                <w:rFonts w:hint="default"/>
                <w:color w:val="auto"/>
                <w:kern w:val="0"/>
                <w:sz w:val="21"/>
                <w:szCs w:val="21"/>
                <w:lang w:val="en-US" w:eastAsia="zh-CN" w:bidi="ar"/>
              </w:rPr>
            </w:pPr>
            <w:r>
              <w:rPr>
                <w:rFonts w:hint="eastAsia"/>
                <w:color w:val="auto"/>
                <w:kern w:val="0"/>
                <w:sz w:val="21"/>
                <w:szCs w:val="21"/>
                <w:lang w:val="en-US" w:eastAsia="zh-CN" w:bidi="ar"/>
              </w:rPr>
              <w:t>杂质</w:t>
            </w:r>
          </w:p>
        </w:tc>
        <w:tc>
          <w:tcPr>
            <w:tcW w:w="1575" w:type="dxa"/>
            <w:vAlign w:val="center"/>
          </w:tcPr>
          <w:p w14:paraId="45BDB2A5">
            <w:pPr>
              <w:adjustRightInd w:val="0"/>
              <w:snapToGrid w:val="0"/>
              <w:jc w:val="center"/>
              <w:rPr>
                <w:rFonts w:hint="default" w:eastAsia="宋体"/>
                <w:bCs/>
                <w:snapToGrid w:val="0"/>
                <w:color w:val="auto"/>
                <w:kern w:val="21"/>
                <w:szCs w:val="21"/>
                <w:lang w:val="en-US" w:eastAsia="zh-CN"/>
              </w:rPr>
            </w:pPr>
            <w:r>
              <w:rPr>
                <w:rFonts w:hint="eastAsia"/>
                <w:bCs/>
                <w:snapToGrid w:val="0"/>
                <w:color w:val="auto"/>
                <w:kern w:val="21"/>
                <w:szCs w:val="21"/>
                <w:lang w:val="en-US" w:eastAsia="zh-CN"/>
              </w:rPr>
              <w:t>20</w:t>
            </w:r>
          </w:p>
        </w:tc>
        <w:tc>
          <w:tcPr>
            <w:tcW w:w="1260" w:type="dxa"/>
            <w:vAlign w:val="center"/>
          </w:tcPr>
          <w:p w14:paraId="792FD9CD">
            <w:pPr>
              <w:adjustRightInd w:val="0"/>
              <w:snapToGrid w:val="0"/>
              <w:jc w:val="center"/>
              <w:rPr>
                <w:bCs/>
                <w:snapToGrid w:val="0"/>
                <w:color w:val="auto"/>
                <w:kern w:val="21"/>
                <w:szCs w:val="21"/>
              </w:rPr>
            </w:pPr>
            <w:r>
              <w:rPr>
                <w:bCs/>
                <w:snapToGrid w:val="0"/>
                <w:color w:val="auto"/>
                <w:kern w:val="21"/>
                <w:szCs w:val="21"/>
              </w:rPr>
              <w:t>/</w:t>
            </w:r>
          </w:p>
        </w:tc>
        <w:tc>
          <w:tcPr>
            <w:tcW w:w="1612" w:type="dxa"/>
            <w:vAlign w:val="center"/>
          </w:tcPr>
          <w:p w14:paraId="4F725BB3">
            <w:pPr>
              <w:adjustRightInd w:val="0"/>
              <w:snapToGrid w:val="0"/>
              <w:jc w:val="center"/>
              <w:rPr>
                <w:bCs/>
                <w:snapToGrid w:val="0"/>
                <w:color w:val="auto"/>
                <w:kern w:val="21"/>
                <w:szCs w:val="21"/>
              </w:rPr>
            </w:pPr>
            <w:r>
              <w:rPr>
                <w:bCs/>
                <w:snapToGrid w:val="0"/>
                <w:color w:val="auto"/>
                <w:kern w:val="21"/>
                <w:szCs w:val="21"/>
              </w:rPr>
              <w:t>/</w:t>
            </w:r>
          </w:p>
        </w:tc>
        <w:tc>
          <w:tcPr>
            <w:tcW w:w="1559" w:type="dxa"/>
            <w:vAlign w:val="center"/>
          </w:tcPr>
          <w:p w14:paraId="0476BD6E">
            <w:pPr>
              <w:adjustRightInd w:val="0"/>
              <w:snapToGrid w:val="0"/>
              <w:jc w:val="center"/>
              <w:rPr>
                <w:rFonts w:hint="eastAsia"/>
                <w:color w:val="auto"/>
                <w:kern w:val="0"/>
                <w:sz w:val="21"/>
                <w:szCs w:val="21"/>
                <w:lang w:val="en-US" w:eastAsia="zh-CN" w:bidi="ar"/>
              </w:rPr>
            </w:pPr>
            <w:r>
              <w:rPr>
                <w:rFonts w:hint="eastAsia" w:cs="Times New Roman"/>
                <w:b w:val="0"/>
                <w:bCs w:val="0"/>
                <w:color w:val="auto"/>
                <w:sz w:val="21"/>
                <w:szCs w:val="21"/>
                <w:lang w:val="en-US" w:eastAsia="zh-CN"/>
              </w:rPr>
              <w:t>0</w:t>
            </w:r>
          </w:p>
        </w:tc>
        <w:tc>
          <w:tcPr>
            <w:tcW w:w="1761" w:type="dxa"/>
            <w:shd w:val="clear" w:color="auto" w:fill="auto"/>
            <w:vAlign w:val="center"/>
          </w:tcPr>
          <w:p w14:paraId="3133CD30">
            <w:pPr>
              <w:adjustRightInd w:val="0"/>
              <w:snapToGrid w:val="0"/>
              <w:jc w:val="center"/>
              <w:rPr>
                <w:rFonts w:ascii="Times New Roman" w:hAnsi="Times New Roman" w:eastAsia="宋体" w:cs="Times New Roman"/>
                <w:bCs/>
                <w:snapToGrid w:val="0"/>
                <w:color w:val="auto"/>
                <w:kern w:val="21"/>
                <w:sz w:val="21"/>
                <w:szCs w:val="21"/>
                <w:lang w:val="en-US" w:eastAsia="zh-CN" w:bidi="ar-SA"/>
              </w:rPr>
            </w:pPr>
            <w:r>
              <w:rPr>
                <w:bCs/>
                <w:snapToGrid w:val="0"/>
                <w:color w:val="auto"/>
                <w:kern w:val="21"/>
                <w:szCs w:val="21"/>
              </w:rPr>
              <w:t>/</w:t>
            </w:r>
          </w:p>
        </w:tc>
        <w:tc>
          <w:tcPr>
            <w:tcW w:w="1742" w:type="dxa"/>
            <w:vAlign w:val="center"/>
          </w:tcPr>
          <w:p w14:paraId="2123C7E0">
            <w:pPr>
              <w:adjustRightInd w:val="0"/>
              <w:snapToGrid w:val="0"/>
              <w:jc w:val="center"/>
              <w:rPr>
                <w:rFonts w:hint="eastAsia"/>
                <w:color w:val="auto"/>
                <w:kern w:val="0"/>
                <w:sz w:val="21"/>
                <w:szCs w:val="21"/>
                <w:lang w:val="en-US" w:eastAsia="zh-CN" w:bidi="ar"/>
              </w:rPr>
            </w:pPr>
            <w:r>
              <w:rPr>
                <w:rFonts w:hint="eastAsia"/>
                <w:bCs/>
                <w:snapToGrid w:val="0"/>
                <w:color w:val="auto"/>
                <w:kern w:val="21"/>
                <w:szCs w:val="21"/>
                <w:lang w:val="en-US" w:eastAsia="zh-CN"/>
              </w:rPr>
              <w:t>20</w:t>
            </w:r>
          </w:p>
        </w:tc>
        <w:tc>
          <w:tcPr>
            <w:tcW w:w="1293" w:type="dxa"/>
            <w:vAlign w:val="center"/>
          </w:tcPr>
          <w:p w14:paraId="2D9B4991">
            <w:pPr>
              <w:adjustRightInd w:val="0"/>
              <w:snapToGrid w:val="0"/>
              <w:jc w:val="center"/>
              <w:rPr>
                <w:rFonts w:hint="eastAsia"/>
                <w:color w:val="auto"/>
                <w:kern w:val="0"/>
                <w:sz w:val="21"/>
                <w:szCs w:val="21"/>
                <w:lang w:val="en-US" w:eastAsia="zh-CN" w:bidi="ar"/>
              </w:rPr>
            </w:pPr>
            <w:r>
              <w:rPr>
                <w:rFonts w:hint="eastAsia" w:cs="Times New Roman"/>
                <w:b w:val="0"/>
                <w:bCs w:val="0"/>
                <w:color w:val="auto"/>
                <w:sz w:val="21"/>
                <w:szCs w:val="21"/>
                <w:lang w:val="en-US" w:eastAsia="zh-CN"/>
              </w:rPr>
              <w:t>+0</w:t>
            </w:r>
          </w:p>
        </w:tc>
      </w:tr>
      <w:tr w14:paraId="2BDF59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86" w:type="dxa"/>
            <w:vMerge w:val="continue"/>
            <w:vAlign w:val="center"/>
          </w:tcPr>
          <w:p w14:paraId="026D67D2">
            <w:pPr>
              <w:adjustRightInd w:val="0"/>
              <w:snapToGrid w:val="0"/>
              <w:jc w:val="center"/>
              <w:rPr>
                <w:b/>
                <w:bCs/>
                <w:snapToGrid w:val="0"/>
                <w:kern w:val="21"/>
                <w:szCs w:val="21"/>
              </w:rPr>
            </w:pPr>
          </w:p>
        </w:tc>
        <w:tc>
          <w:tcPr>
            <w:tcW w:w="1950" w:type="dxa"/>
            <w:vAlign w:val="center"/>
          </w:tcPr>
          <w:p w14:paraId="2E76DC56">
            <w:pPr>
              <w:widowControl/>
              <w:jc w:val="center"/>
              <w:textAlignment w:val="center"/>
              <w:rPr>
                <w:rFonts w:hint="eastAsia"/>
                <w:color w:val="auto"/>
                <w:kern w:val="0"/>
                <w:sz w:val="21"/>
                <w:szCs w:val="21"/>
                <w:lang w:val="en-US" w:eastAsia="zh-CN" w:bidi="ar"/>
              </w:rPr>
            </w:pPr>
            <w:r>
              <w:rPr>
                <w:rFonts w:hint="eastAsia"/>
                <w:color w:val="000000" w:themeColor="text1"/>
                <w:kern w:val="0"/>
                <w:sz w:val="21"/>
                <w:szCs w:val="21"/>
                <w:lang w:val="en-US" w:eastAsia="zh-CN" w:bidi="ar"/>
                <w14:textFill>
                  <w14:solidFill>
                    <w14:schemeClr w14:val="tx1"/>
                  </w14:solidFill>
                </w14:textFill>
              </w:rPr>
              <w:t>废离子交换树脂</w:t>
            </w:r>
          </w:p>
        </w:tc>
        <w:tc>
          <w:tcPr>
            <w:tcW w:w="1575" w:type="dxa"/>
            <w:vAlign w:val="center"/>
          </w:tcPr>
          <w:p w14:paraId="4CC5AAEB">
            <w:pPr>
              <w:adjustRightInd w:val="0"/>
              <w:snapToGrid w:val="0"/>
              <w:jc w:val="center"/>
              <w:rPr>
                <w:rFonts w:hint="eastAsia"/>
                <w:bCs/>
                <w:snapToGrid w:val="0"/>
                <w:color w:val="auto"/>
                <w:kern w:val="21"/>
                <w:szCs w:val="21"/>
                <w:lang w:val="en-US" w:eastAsia="zh-CN"/>
              </w:rPr>
            </w:pPr>
            <w:r>
              <w:rPr>
                <w:rFonts w:hint="eastAsia"/>
                <w:bCs/>
                <w:snapToGrid w:val="0"/>
                <w:color w:val="000000" w:themeColor="text1"/>
                <w:kern w:val="21"/>
                <w:szCs w:val="21"/>
                <w:lang w:val="en-US" w:eastAsia="zh-CN"/>
                <w14:textFill>
                  <w14:solidFill>
                    <w14:schemeClr w14:val="tx1"/>
                  </w14:solidFill>
                </w14:textFill>
              </w:rPr>
              <w:t>4</w:t>
            </w:r>
          </w:p>
        </w:tc>
        <w:tc>
          <w:tcPr>
            <w:tcW w:w="1260" w:type="dxa"/>
            <w:vAlign w:val="center"/>
          </w:tcPr>
          <w:p w14:paraId="5E3300F5">
            <w:pPr>
              <w:adjustRightInd w:val="0"/>
              <w:snapToGrid w:val="0"/>
              <w:jc w:val="center"/>
              <w:rPr>
                <w:bCs/>
                <w:snapToGrid w:val="0"/>
                <w:color w:val="auto"/>
                <w:kern w:val="21"/>
                <w:szCs w:val="21"/>
              </w:rPr>
            </w:pPr>
            <w:r>
              <w:rPr>
                <w:bCs/>
                <w:snapToGrid w:val="0"/>
                <w:color w:val="000000" w:themeColor="text1"/>
                <w:kern w:val="21"/>
                <w:szCs w:val="21"/>
                <w14:textFill>
                  <w14:solidFill>
                    <w14:schemeClr w14:val="tx1"/>
                  </w14:solidFill>
                </w14:textFill>
              </w:rPr>
              <w:t>/</w:t>
            </w:r>
          </w:p>
        </w:tc>
        <w:tc>
          <w:tcPr>
            <w:tcW w:w="1612" w:type="dxa"/>
            <w:vAlign w:val="center"/>
          </w:tcPr>
          <w:p w14:paraId="7E179365">
            <w:pPr>
              <w:adjustRightInd w:val="0"/>
              <w:snapToGrid w:val="0"/>
              <w:jc w:val="center"/>
              <w:rPr>
                <w:bCs/>
                <w:snapToGrid w:val="0"/>
                <w:color w:val="auto"/>
                <w:kern w:val="21"/>
                <w:szCs w:val="21"/>
              </w:rPr>
            </w:pPr>
            <w:r>
              <w:rPr>
                <w:bCs/>
                <w:snapToGrid w:val="0"/>
                <w:color w:val="000000" w:themeColor="text1"/>
                <w:kern w:val="21"/>
                <w:szCs w:val="21"/>
                <w14:textFill>
                  <w14:solidFill>
                    <w14:schemeClr w14:val="tx1"/>
                  </w14:solidFill>
                </w14:textFill>
              </w:rPr>
              <w:t>/</w:t>
            </w:r>
          </w:p>
        </w:tc>
        <w:tc>
          <w:tcPr>
            <w:tcW w:w="1559" w:type="dxa"/>
            <w:vAlign w:val="center"/>
          </w:tcPr>
          <w:p w14:paraId="5192A6EE">
            <w:pPr>
              <w:adjustRightInd w:val="0"/>
              <w:snapToGrid w:val="0"/>
              <w:jc w:val="center"/>
              <w:rPr>
                <w:rFonts w:hint="eastAsia" w:cs="Times New Roman"/>
                <w:b w:val="0"/>
                <w:bCs w:val="0"/>
                <w:color w:val="auto"/>
                <w:sz w:val="21"/>
                <w:szCs w:val="21"/>
                <w:lang w:val="en-US" w:eastAsia="zh-CN"/>
              </w:rPr>
            </w:pPr>
            <w:r>
              <w:rPr>
                <w:rFonts w:hint="eastAsia" w:cs="Times New Roman"/>
                <w:b w:val="0"/>
                <w:bCs w:val="0"/>
                <w:color w:val="000000" w:themeColor="text1"/>
                <w:sz w:val="21"/>
                <w:szCs w:val="21"/>
                <w:lang w:val="en-US" w:eastAsia="zh-CN"/>
                <w14:textFill>
                  <w14:solidFill>
                    <w14:schemeClr w14:val="tx1"/>
                  </w14:solidFill>
                </w14:textFill>
              </w:rPr>
              <w:t>0</w:t>
            </w:r>
          </w:p>
        </w:tc>
        <w:tc>
          <w:tcPr>
            <w:tcW w:w="1761" w:type="dxa"/>
            <w:shd w:val="clear" w:color="auto" w:fill="auto"/>
            <w:vAlign w:val="center"/>
          </w:tcPr>
          <w:p w14:paraId="05CCC826">
            <w:pPr>
              <w:adjustRightInd w:val="0"/>
              <w:snapToGrid w:val="0"/>
              <w:jc w:val="center"/>
              <w:rPr>
                <w:bCs/>
                <w:snapToGrid w:val="0"/>
                <w:color w:val="auto"/>
                <w:kern w:val="21"/>
                <w:szCs w:val="21"/>
              </w:rPr>
            </w:pPr>
            <w:r>
              <w:rPr>
                <w:bCs/>
                <w:snapToGrid w:val="0"/>
                <w:color w:val="000000" w:themeColor="text1"/>
                <w:kern w:val="21"/>
                <w:szCs w:val="21"/>
                <w14:textFill>
                  <w14:solidFill>
                    <w14:schemeClr w14:val="tx1"/>
                  </w14:solidFill>
                </w14:textFill>
              </w:rPr>
              <w:t>/</w:t>
            </w:r>
          </w:p>
        </w:tc>
        <w:tc>
          <w:tcPr>
            <w:tcW w:w="1742" w:type="dxa"/>
            <w:vAlign w:val="center"/>
          </w:tcPr>
          <w:p w14:paraId="163D99B3">
            <w:pPr>
              <w:adjustRightInd w:val="0"/>
              <w:snapToGrid w:val="0"/>
              <w:jc w:val="center"/>
              <w:rPr>
                <w:rFonts w:hint="eastAsia"/>
                <w:bCs/>
                <w:snapToGrid w:val="0"/>
                <w:color w:val="auto"/>
                <w:kern w:val="21"/>
                <w:szCs w:val="21"/>
                <w:lang w:val="en-US" w:eastAsia="zh-CN"/>
              </w:rPr>
            </w:pPr>
            <w:r>
              <w:rPr>
                <w:rFonts w:hint="eastAsia"/>
                <w:bCs/>
                <w:snapToGrid w:val="0"/>
                <w:color w:val="000000" w:themeColor="text1"/>
                <w:kern w:val="21"/>
                <w:szCs w:val="21"/>
                <w:lang w:val="en-US" w:eastAsia="zh-CN"/>
                <w14:textFill>
                  <w14:solidFill>
                    <w14:schemeClr w14:val="tx1"/>
                  </w14:solidFill>
                </w14:textFill>
              </w:rPr>
              <w:t>4</w:t>
            </w:r>
          </w:p>
        </w:tc>
        <w:tc>
          <w:tcPr>
            <w:tcW w:w="1293" w:type="dxa"/>
            <w:vAlign w:val="center"/>
          </w:tcPr>
          <w:p w14:paraId="7AEF9079">
            <w:pPr>
              <w:adjustRightInd w:val="0"/>
              <w:snapToGrid w:val="0"/>
              <w:jc w:val="center"/>
              <w:rPr>
                <w:rFonts w:hint="eastAsia" w:cs="Times New Roman"/>
                <w:b w:val="0"/>
                <w:bCs w:val="0"/>
                <w:color w:val="auto"/>
                <w:sz w:val="21"/>
                <w:szCs w:val="21"/>
                <w:lang w:val="en-US" w:eastAsia="zh-CN"/>
              </w:rPr>
            </w:pPr>
            <w:r>
              <w:rPr>
                <w:rFonts w:hint="eastAsia" w:cs="Times New Roman"/>
                <w:b w:val="0"/>
                <w:bCs w:val="0"/>
                <w:color w:val="000000" w:themeColor="text1"/>
                <w:sz w:val="21"/>
                <w:szCs w:val="21"/>
                <w:lang w:val="en-US" w:eastAsia="zh-CN"/>
                <w14:textFill>
                  <w14:solidFill>
                    <w14:schemeClr w14:val="tx1"/>
                  </w14:solidFill>
                </w14:textFill>
              </w:rPr>
              <w:t>+0</w:t>
            </w:r>
          </w:p>
        </w:tc>
      </w:tr>
      <w:tr w14:paraId="1015EC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86" w:type="dxa"/>
            <w:vMerge w:val="continue"/>
            <w:vAlign w:val="center"/>
          </w:tcPr>
          <w:p w14:paraId="5D7F5531">
            <w:pPr>
              <w:adjustRightInd w:val="0"/>
              <w:snapToGrid w:val="0"/>
              <w:jc w:val="center"/>
              <w:rPr>
                <w:b/>
                <w:bCs/>
                <w:snapToGrid w:val="0"/>
                <w:kern w:val="21"/>
                <w:szCs w:val="21"/>
              </w:rPr>
            </w:pPr>
          </w:p>
        </w:tc>
        <w:tc>
          <w:tcPr>
            <w:tcW w:w="1950" w:type="dxa"/>
            <w:vAlign w:val="center"/>
          </w:tcPr>
          <w:p w14:paraId="2D8A3EAC">
            <w:pPr>
              <w:widowControl/>
              <w:jc w:val="center"/>
              <w:textAlignment w:val="center"/>
              <w:rPr>
                <w:rFonts w:hint="default"/>
                <w:color w:val="000000" w:themeColor="text1"/>
                <w:kern w:val="0"/>
                <w:sz w:val="21"/>
                <w:szCs w:val="21"/>
                <w:lang w:val="en-US" w:eastAsia="zh-CN" w:bidi="ar"/>
                <w14:textFill>
                  <w14:solidFill>
                    <w14:schemeClr w14:val="tx1"/>
                  </w14:solidFill>
                </w14:textFill>
              </w:rPr>
            </w:pPr>
            <w:r>
              <w:rPr>
                <w:rFonts w:hint="eastAsia"/>
                <w:color w:val="000000" w:themeColor="text1"/>
                <w:kern w:val="0"/>
                <w:sz w:val="21"/>
                <w:szCs w:val="21"/>
                <w:lang w:val="en-US" w:eastAsia="zh-CN" w:bidi="ar"/>
                <w14:textFill>
                  <w14:solidFill>
                    <w14:schemeClr w14:val="tx1"/>
                  </w14:solidFill>
                </w14:textFill>
              </w:rPr>
              <w:t>污水处理污泥</w:t>
            </w:r>
          </w:p>
        </w:tc>
        <w:tc>
          <w:tcPr>
            <w:tcW w:w="1575" w:type="dxa"/>
            <w:vAlign w:val="center"/>
          </w:tcPr>
          <w:p w14:paraId="506FA55C">
            <w:pPr>
              <w:adjustRightInd w:val="0"/>
              <w:snapToGrid w:val="0"/>
              <w:jc w:val="center"/>
              <w:rPr>
                <w:rFonts w:hint="default"/>
                <w:bCs/>
                <w:snapToGrid w:val="0"/>
                <w:color w:val="FF0000"/>
                <w:kern w:val="21"/>
                <w:szCs w:val="21"/>
                <w:lang w:val="en-US" w:eastAsia="zh-CN"/>
              </w:rPr>
            </w:pPr>
            <w:r>
              <w:rPr>
                <w:rFonts w:hint="eastAsia"/>
                <w:bCs/>
                <w:snapToGrid w:val="0"/>
                <w:color w:val="FF0000"/>
                <w:kern w:val="21"/>
                <w:szCs w:val="21"/>
                <w:lang w:val="en-US" w:eastAsia="zh-CN"/>
              </w:rPr>
              <w:t>2</w:t>
            </w:r>
          </w:p>
        </w:tc>
        <w:tc>
          <w:tcPr>
            <w:tcW w:w="1260" w:type="dxa"/>
            <w:vAlign w:val="center"/>
          </w:tcPr>
          <w:p w14:paraId="19DD1E15">
            <w:pPr>
              <w:adjustRightInd w:val="0"/>
              <w:snapToGrid w:val="0"/>
              <w:jc w:val="center"/>
              <w:rPr>
                <w:bCs/>
                <w:snapToGrid w:val="0"/>
                <w:color w:val="FF0000"/>
                <w:kern w:val="21"/>
                <w:szCs w:val="21"/>
              </w:rPr>
            </w:pPr>
            <w:r>
              <w:rPr>
                <w:bCs/>
                <w:snapToGrid w:val="0"/>
                <w:color w:val="FF0000"/>
                <w:kern w:val="21"/>
                <w:szCs w:val="21"/>
              </w:rPr>
              <w:t>/</w:t>
            </w:r>
          </w:p>
        </w:tc>
        <w:tc>
          <w:tcPr>
            <w:tcW w:w="1612" w:type="dxa"/>
            <w:vAlign w:val="center"/>
          </w:tcPr>
          <w:p w14:paraId="6B39A3A0">
            <w:pPr>
              <w:adjustRightInd w:val="0"/>
              <w:snapToGrid w:val="0"/>
              <w:jc w:val="center"/>
              <w:rPr>
                <w:bCs/>
                <w:snapToGrid w:val="0"/>
                <w:color w:val="FF0000"/>
                <w:kern w:val="21"/>
                <w:szCs w:val="21"/>
              </w:rPr>
            </w:pPr>
            <w:r>
              <w:rPr>
                <w:bCs/>
                <w:snapToGrid w:val="0"/>
                <w:color w:val="FF0000"/>
                <w:kern w:val="21"/>
                <w:szCs w:val="21"/>
              </w:rPr>
              <w:t>/</w:t>
            </w:r>
          </w:p>
        </w:tc>
        <w:tc>
          <w:tcPr>
            <w:tcW w:w="1559" w:type="dxa"/>
            <w:vAlign w:val="center"/>
          </w:tcPr>
          <w:p w14:paraId="3274C4C9">
            <w:pPr>
              <w:adjustRightInd w:val="0"/>
              <w:snapToGrid w:val="0"/>
              <w:jc w:val="center"/>
              <w:rPr>
                <w:rFonts w:hint="eastAsia" w:cs="Times New Roman"/>
                <w:b w:val="0"/>
                <w:bCs w:val="0"/>
                <w:color w:val="FF0000"/>
                <w:sz w:val="21"/>
                <w:szCs w:val="21"/>
                <w:lang w:val="en-US" w:eastAsia="zh-CN"/>
              </w:rPr>
            </w:pPr>
            <w:r>
              <w:rPr>
                <w:rFonts w:hint="eastAsia" w:cs="Times New Roman"/>
                <w:b w:val="0"/>
                <w:bCs w:val="0"/>
                <w:color w:val="FF0000"/>
                <w:sz w:val="21"/>
                <w:szCs w:val="21"/>
                <w:lang w:val="en-US" w:eastAsia="zh-CN"/>
              </w:rPr>
              <w:t>0</w:t>
            </w:r>
          </w:p>
        </w:tc>
        <w:tc>
          <w:tcPr>
            <w:tcW w:w="1761" w:type="dxa"/>
            <w:shd w:val="clear" w:color="auto" w:fill="auto"/>
            <w:vAlign w:val="center"/>
          </w:tcPr>
          <w:p w14:paraId="303B0A44">
            <w:pPr>
              <w:adjustRightInd w:val="0"/>
              <w:snapToGrid w:val="0"/>
              <w:jc w:val="center"/>
              <w:rPr>
                <w:rFonts w:ascii="Times New Roman" w:hAnsi="Times New Roman" w:eastAsia="宋体" w:cs="Times New Roman"/>
                <w:bCs/>
                <w:snapToGrid w:val="0"/>
                <w:color w:val="FF0000"/>
                <w:kern w:val="21"/>
                <w:sz w:val="21"/>
                <w:szCs w:val="21"/>
                <w:lang w:val="en-US" w:eastAsia="zh-CN" w:bidi="ar-SA"/>
              </w:rPr>
            </w:pPr>
            <w:r>
              <w:rPr>
                <w:bCs/>
                <w:snapToGrid w:val="0"/>
                <w:color w:val="FF0000"/>
                <w:kern w:val="21"/>
                <w:szCs w:val="21"/>
              </w:rPr>
              <w:t>/</w:t>
            </w:r>
          </w:p>
        </w:tc>
        <w:tc>
          <w:tcPr>
            <w:tcW w:w="1742" w:type="dxa"/>
            <w:vAlign w:val="center"/>
          </w:tcPr>
          <w:p w14:paraId="6723F45D">
            <w:pPr>
              <w:adjustRightInd w:val="0"/>
              <w:snapToGrid w:val="0"/>
              <w:jc w:val="center"/>
              <w:rPr>
                <w:rFonts w:hint="default"/>
                <w:bCs/>
                <w:snapToGrid w:val="0"/>
                <w:color w:val="FF0000"/>
                <w:kern w:val="21"/>
                <w:szCs w:val="21"/>
                <w:lang w:val="en-US" w:eastAsia="zh-CN"/>
              </w:rPr>
            </w:pPr>
            <w:r>
              <w:rPr>
                <w:rFonts w:hint="eastAsia"/>
                <w:bCs/>
                <w:snapToGrid w:val="0"/>
                <w:color w:val="FF0000"/>
                <w:kern w:val="21"/>
                <w:szCs w:val="21"/>
                <w:lang w:val="en-US" w:eastAsia="zh-CN"/>
              </w:rPr>
              <w:t>2</w:t>
            </w:r>
          </w:p>
        </w:tc>
        <w:tc>
          <w:tcPr>
            <w:tcW w:w="1293" w:type="dxa"/>
            <w:vAlign w:val="center"/>
          </w:tcPr>
          <w:p w14:paraId="5565A5F5">
            <w:pPr>
              <w:adjustRightInd w:val="0"/>
              <w:snapToGrid w:val="0"/>
              <w:jc w:val="center"/>
              <w:rPr>
                <w:rFonts w:hint="eastAsia" w:cs="Times New Roman"/>
                <w:b w:val="0"/>
                <w:bCs w:val="0"/>
                <w:color w:val="FF0000"/>
                <w:sz w:val="21"/>
                <w:szCs w:val="21"/>
                <w:lang w:val="en-US" w:eastAsia="zh-CN"/>
              </w:rPr>
            </w:pPr>
            <w:r>
              <w:rPr>
                <w:rFonts w:hint="eastAsia" w:cs="Times New Roman"/>
                <w:b w:val="0"/>
                <w:bCs w:val="0"/>
                <w:color w:val="FF0000"/>
                <w:sz w:val="21"/>
                <w:szCs w:val="21"/>
                <w:lang w:val="en-US" w:eastAsia="zh-CN"/>
              </w:rPr>
              <w:t>+0</w:t>
            </w:r>
          </w:p>
        </w:tc>
      </w:tr>
      <w:tr w14:paraId="55109F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86" w:type="dxa"/>
            <w:vAlign w:val="center"/>
          </w:tcPr>
          <w:p w14:paraId="4E94F1FD">
            <w:pPr>
              <w:adjustRightInd w:val="0"/>
              <w:snapToGrid w:val="0"/>
              <w:jc w:val="center"/>
              <w:rPr>
                <w:b/>
                <w:bCs/>
                <w:snapToGrid w:val="0"/>
                <w:kern w:val="21"/>
                <w:szCs w:val="21"/>
              </w:rPr>
            </w:pPr>
            <w:r>
              <w:rPr>
                <w:b/>
                <w:bCs/>
                <w:snapToGrid w:val="0"/>
                <w:kern w:val="21"/>
                <w:szCs w:val="21"/>
              </w:rPr>
              <w:t>生活垃圾</w:t>
            </w:r>
          </w:p>
        </w:tc>
        <w:tc>
          <w:tcPr>
            <w:tcW w:w="1950" w:type="dxa"/>
            <w:vAlign w:val="center"/>
          </w:tcPr>
          <w:p w14:paraId="35EB8B94">
            <w:pPr>
              <w:jc w:val="center"/>
              <w:rPr>
                <w:szCs w:val="21"/>
              </w:rPr>
            </w:pPr>
            <w:r>
              <w:rPr>
                <w:bCs/>
                <w:snapToGrid w:val="0"/>
                <w:kern w:val="21"/>
                <w:szCs w:val="21"/>
              </w:rPr>
              <w:t>生活垃圾</w:t>
            </w:r>
          </w:p>
        </w:tc>
        <w:tc>
          <w:tcPr>
            <w:tcW w:w="1575" w:type="dxa"/>
            <w:vAlign w:val="center"/>
          </w:tcPr>
          <w:p w14:paraId="7612757C">
            <w:pPr>
              <w:adjustRightInd w:val="0"/>
              <w:snapToGrid w:val="0"/>
              <w:jc w:val="center"/>
              <w:rPr>
                <w:rFonts w:hint="default" w:eastAsia="宋体"/>
                <w:bCs/>
                <w:snapToGrid w:val="0"/>
                <w:color w:val="auto"/>
                <w:kern w:val="21"/>
                <w:szCs w:val="21"/>
                <w:lang w:val="en-US" w:eastAsia="zh-CN"/>
              </w:rPr>
            </w:pPr>
            <w:r>
              <w:rPr>
                <w:rFonts w:hint="eastAsia"/>
                <w:bCs/>
                <w:snapToGrid w:val="0"/>
                <w:color w:val="auto"/>
                <w:kern w:val="21"/>
                <w:szCs w:val="21"/>
                <w:lang w:val="en-US" w:eastAsia="zh-CN"/>
              </w:rPr>
              <w:t>22.5</w:t>
            </w:r>
          </w:p>
        </w:tc>
        <w:tc>
          <w:tcPr>
            <w:tcW w:w="1260" w:type="dxa"/>
            <w:vAlign w:val="center"/>
          </w:tcPr>
          <w:p w14:paraId="01803940">
            <w:pPr>
              <w:adjustRightInd w:val="0"/>
              <w:snapToGrid w:val="0"/>
              <w:jc w:val="center"/>
              <w:rPr>
                <w:bCs/>
                <w:snapToGrid w:val="0"/>
                <w:color w:val="auto"/>
                <w:kern w:val="21"/>
                <w:szCs w:val="21"/>
              </w:rPr>
            </w:pPr>
            <w:r>
              <w:rPr>
                <w:bCs/>
                <w:snapToGrid w:val="0"/>
                <w:color w:val="auto"/>
                <w:kern w:val="21"/>
                <w:szCs w:val="21"/>
              </w:rPr>
              <w:t>/</w:t>
            </w:r>
          </w:p>
        </w:tc>
        <w:tc>
          <w:tcPr>
            <w:tcW w:w="1612" w:type="dxa"/>
            <w:vAlign w:val="center"/>
          </w:tcPr>
          <w:p w14:paraId="287234BD">
            <w:pPr>
              <w:adjustRightInd w:val="0"/>
              <w:snapToGrid w:val="0"/>
              <w:jc w:val="center"/>
              <w:rPr>
                <w:bCs/>
                <w:snapToGrid w:val="0"/>
                <w:color w:val="auto"/>
                <w:kern w:val="21"/>
                <w:szCs w:val="21"/>
              </w:rPr>
            </w:pPr>
            <w:r>
              <w:rPr>
                <w:bCs/>
                <w:snapToGrid w:val="0"/>
                <w:color w:val="auto"/>
                <w:kern w:val="21"/>
                <w:szCs w:val="21"/>
              </w:rPr>
              <w:t>/</w:t>
            </w:r>
          </w:p>
        </w:tc>
        <w:tc>
          <w:tcPr>
            <w:tcW w:w="1559" w:type="dxa"/>
            <w:vAlign w:val="center"/>
          </w:tcPr>
          <w:p w14:paraId="689BC049">
            <w:pPr>
              <w:adjustRightInd w:val="0"/>
              <w:snapToGrid w:val="0"/>
              <w:jc w:val="center"/>
              <w:rPr>
                <w:rFonts w:hint="default" w:eastAsia="宋体"/>
                <w:bCs/>
                <w:snapToGrid w:val="0"/>
                <w:color w:val="auto"/>
                <w:kern w:val="21"/>
                <w:szCs w:val="21"/>
                <w:lang w:val="en-US" w:eastAsia="zh-CN"/>
              </w:rPr>
            </w:pPr>
            <w:r>
              <w:rPr>
                <w:rFonts w:hint="eastAsia"/>
                <w:bCs/>
                <w:snapToGrid w:val="0"/>
                <w:color w:val="auto"/>
                <w:kern w:val="21"/>
                <w:szCs w:val="21"/>
                <w:lang w:val="en-US" w:eastAsia="zh-CN"/>
              </w:rPr>
              <w:t>0</w:t>
            </w:r>
          </w:p>
        </w:tc>
        <w:tc>
          <w:tcPr>
            <w:tcW w:w="1761" w:type="dxa"/>
            <w:vAlign w:val="center"/>
          </w:tcPr>
          <w:p w14:paraId="5641D241">
            <w:pPr>
              <w:jc w:val="center"/>
              <w:rPr>
                <w:bCs/>
                <w:snapToGrid w:val="0"/>
                <w:color w:val="auto"/>
                <w:kern w:val="21"/>
                <w:szCs w:val="21"/>
              </w:rPr>
            </w:pPr>
            <w:r>
              <w:rPr>
                <w:bCs/>
                <w:snapToGrid w:val="0"/>
                <w:color w:val="auto"/>
                <w:kern w:val="21"/>
                <w:szCs w:val="21"/>
              </w:rPr>
              <w:t>/</w:t>
            </w:r>
          </w:p>
        </w:tc>
        <w:tc>
          <w:tcPr>
            <w:tcW w:w="1742" w:type="dxa"/>
            <w:shd w:val="clear" w:color="auto" w:fill="auto"/>
            <w:vAlign w:val="center"/>
          </w:tcPr>
          <w:p w14:paraId="20702B55">
            <w:pPr>
              <w:adjustRightInd w:val="0"/>
              <w:snapToGrid w:val="0"/>
              <w:jc w:val="center"/>
              <w:rPr>
                <w:rFonts w:hint="default" w:ascii="Times New Roman" w:hAnsi="Times New Roman" w:eastAsia="宋体" w:cs="Times New Roman"/>
                <w:bCs/>
                <w:snapToGrid w:val="0"/>
                <w:color w:val="auto"/>
                <w:kern w:val="21"/>
                <w:sz w:val="21"/>
                <w:szCs w:val="21"/>
                <w:lang w:val="en-US" w:eastAsia="zh-CN" w:bidi="ar-SA"/>
              </w:rPr>
            </w:pPr>
            <w:r>
              <w:rPr>
                <w:rFonts w:hint="eastAsia"/>
                <w:bCs/>
                <w:snapToGrid w:val="0"/>
                <w:color w:val="auto"/>
                <w:kern w:val="21"/>
                <w:szCs w:val="21"/>
                <w:lang w:val="en-US" w:eastAsia="zh-CN"/>
              </w:rPr>
              <w:t>22.5</w:t>
            </w:r>
          </w:p>
        </w:tc>
        <w:tc>
          <w:tcPr>
            <w:tcW w:w="1293" w:type="dxa"/>
            <w:shd w:val="clear" w:color="auto" w:fill="auto"/>
            <w:vAlign w:val="center"/>
          </w:tcPr>
          <w:p w14:paraId="26A4137F">
            <w:pPr>
              <w:adjustRightInd w:val="0"/>
              <w:snapToGrid w:val="0"/>
              <w:jc w:val="center"/>
              <w:rPr>
                <w:rFonts w:hint="default" w:ascii="Times New Roman" w:hAnsi="Times New Roman" w:eastAsia="宋体" w:cs="Times New Roman"/>
                <w:bCs/>
                <w:snapToGrid w:val="0"/>
                <w:color w:val="auto"/>
                <w:kern w:val="21"/>
                <w:sz w:val="21"/>
                <w:szCs w:val="21"/>
                <w:lang w:val="en-US" w:eastAsia="zh-CN" w:bidi="ar-SA"/>
              </w:rPr>
            </w:pPr>
            <w:r>
              <w:rPr>
                <w:rFonts w:hint="eastAsia" w:cs="Times New Roman"/>
                <w:b w:val="0"/>
                <w:bCs w:val="0"/>
                <w:color w:val="auto"/>
                <w:sz w:val="21"/>
                <w:szCs w:val="21"/>
                <w:lang w:val="en-US" w:eastAsia="zh-CN"/>
              </w:rPr>
              <w:t>+0</w:t>
            </w:r>
          </w:p>
        </w:tc>
      </w:tr>
    </w:tbl>
    <w:p w14:paraId="16BF848C">
      <w:pPr>
        <w:adjustRightInd w:val="0"/>
        <w:snapToGrid w:val="0"/>
        <w:spacing w:before="29" w:line="260" w:lineRule="auto"/>
        <w:ind w:left="38" w:leftChars="18" w:firstLine="482"/>
        <w:jc w:val="left"/>
        <w:rPr>
          <w:b/>
          <w:bCs/>
          <w:snapToGrid w:val="0"/>
          <w:kern w:val="21"/>
          <w:szCs w:val="21"/>
        </w:rPr>
      </w:pPr>
      <w:r>
        <w:rPr>
          <w:b/>
          <w:bCs/>
          <w:snapToGrid w:val="0"/>
          <w:kern w:val="21"/>
          <w:szCs w:val="21"/>
        </w:rPr>
        <w:t>注：</w:t>
      </w:r>
      <w:r>
        <w:rPr>
          <w:b/>
          <w:bCs/>
          <w:snapToGrid w:val="0"/>
          <w:kern w:val="21"/>
          <w:szCs w:val="21"/>
        </w:rPr>
        <w:fldChar w:fldCharType="begin"/>
      </w:r>
      <w:r>
        <w:rPr>
          <w:b/>
          <w:bCs/>
          <w:snapToGrid w:val="0"/>
          <w:kern w:val="21"/>
          <w:szCs w:val="21"/>
        </w:rPr>
        <w:instrText xml:space="preserve"> = 6 \* GB3 \* MERGEFORMAT </w:instrText>
      </w:r>
      <w:r>
        <w:rPr>
          <w:b/>
          <w:bCs/>
          <w:snapToGrid w:val="0"/>
          <w:kern w:val="21"/>
          <w:szCs w:val="21"/>
        </w:rPr>
        <w:fldChar w:fldCharType="separate"/>
      </w:r>
      <w:r>
        <w:rPr>
          <w:b/>
          <w:bCs/>
          <w:snapToGrid w:val="0"/>
          <w:kern w:val="21"/>
          <w:szCs w:val="21"/>
        </w:rPr>
        <w:t>⑥</w:t>
      </w:r>
      <w:r>
        <w:rPr>
          <w:b/>
          <w:bCs/>
          <w:snapToGrid w:val="0"/>
          <w:kern w:val="21"/>
          <w:szCs w:val="21"/>
        </w:rPr>
        <w:fldChar w:fldCharType="end"/>
      </w:r>
      <w:r>
        <w:rPr>
          <w:b/>
          <w:bCs/>
          <w:snapToGrid w:val="0"/>
          <w:kern w:val="21"/>
          <w:szCs w:val="21"/>
        </w:rPr>
        <w:t>=</w:t>
      </w:r>
      <w:r>
        <w:rPr>
          <w:b/>
          <w:bCs/>
          <w:snapToGrid w:val="0"/>
          <w:kern w:val="21"/>
          <w:szCs w:val="21"/>
        </w:rPr>
        <w:fldChar w:fldCharType="begin"/>
      </w:r>
      <w:r>
        <w:rPr>
          <w:b/>
          <w:bCs/>
          <w:snapToGrid w:val="0"/>
          <w:kern w:val="21"/>
          <w:szCs w:val="21"/>
        </w:rPr>
        <w:instrText xml:space="preserve"> = 1 \* GB3 \* MERGEFORMAT </w:instrText>
      </w:r>
      <w:r>
        <w:rPr>
          <w:b/>
          <w:bCs/>
          <w:snapToGrid w:val="0"/>
          <w:kern w:val="21"/>
          <w:szCs w:val="21"/>
        </w:rPr>
        <w:fldChar w:fldCharType="separate"/>
      </w:r>
      <w:r>
        <w:rPr>
          <w:b/>
          <w:bCs/>
          <w:snapToGrid w:val="0"/>
          <w:kern w:val="21"/>
          <w:szCs w:val="21"/>
        </w:rPr>
        <w:t>①</w:t>
      </w:r>
      <w:r>
        <w:rPr>
          <w:b/>
          <w:bCs/>
          <w:snapToGrid w:val="0"/>
          <w:kern w:val="21"/>
          <w:szCs w:val="21"/>
        </w:rPr>
        <w:fldChar w:fldCharType="end"/>
      </w:r>
      <w:r>
        <w:rPr>
          <w:b/>
          <w:bCs/>
          <w:snapToGrid w:val="0"/>
          <w:kern w:val="21"/>
          <w:szCs w:val="21"/>
        </w:rPr>
        <w:t>+</w:t>
      </w:r>
      <w:r>
        <w:rPr>
          <w:b/>
          <w:bCs/>
          <w:snapToGrid w:val="0"/>
          <w:kern w:val="21"/>
          <w:szCs w:val="21"/>
        </w:rPr>
        <w:fldChar w:fldCharType="begin"/>
      </w:r>
      <w:r>
        <w:rPr>
          <w:b/>
          <w:bCs/>
          <w:snapToGrid w:val="0"/>
          <w:kern w:val="21"/>
          <w:szCs w:val="21"/>
        </w:rPr>
        <w:instrText xml:space="preserve"> = 3 \* GB3 \* MERGEFORMAT </w:instrText>
      </w:r>
      <w:r>
        <w:rPr>
          <w:b/>
          <w:bCs/>
          <w:snapToGrid w:val="0"/>
          <w:kern w:val="21"/>
          <w:szCs w:val="21"/>
        </w:rPr>
        <w:fldChar w:fldCharType="separate"/>
      </w:r>
      <w:r>
        <w:rPr>
          <w:b/>
          <w:bCs/>
          <w:snapToGrid w:val="0"/>
          <w:kern w:val="21"/>
          <w:szCs w:val="21"/>
        </w:rPr>
        <w:t>③</w:t>
      </w:r>
      <w:r>
        <w:rPr>
          <w:b/>
          <w:bCs/>
          <w:snapToGrid w:val="0"/>
          <w:kern w:val="21"/>
          <w:szCs w:val="21"/>
        </w:rPr>
        <w:fldChar w:fldCharType="end"/>
      </w:r>
      <w:r>
        <w:rPr>
          <w:b/>
          <w:bCs/>
          <w:snapToGrid w:val="0"/>
          <w:kern w:val="21"/>
          <w:szCs w:val="21"/>
        </w:rPr>
        <w:t>+</w:t>
      </w:r>
      <w:r>
        <w:rPr>
          <w:b/>
          <w:bCs/>
          <w:snapToGrid w:val="0"/>
          <w:kern w:val="21"/>
          <w:szCs w:val="21"/>
        </w:rPr>
        <w:fldChar w:fldCharType="begin"/>
      </w:r>
      <w:r>
        <w:rPr>
          <w:b/>
          <w:bCs/>
          <w:snapToGrid w:val="0"/>
          <w:kern w:val="21"/>
          <w:szCs w:val="21"/>
        </w:rPr>
        <w:instrText xml:space="preserve"> = 4 \* GB3 \* MERGEFORMAT </w:instrText>
      </w:r>
      <w:r>
        <w:rPr>
          <w:b/>
          <w:bCs/>
          <w:snapToGrid w:val="0"/>
          <w:kern w:val="21"/>
          <w:szCs w:val="21"/>
        </w:rPr>
        <w:fldChar w:fldCharType="separate"/>
      </w:r>
      <w:r>
        <w:rPr>
          <w:b/>
          <w:bCs/>
          <w:snapToGrid w:val="0"/>
          <w:kern w:val="21"/>
          <w:szCs w:val="21"/>
        </w:rPr>
        <w:t>④</w:t>
      </w:r>
      <w:r>
        <w:rPr>
          <w:b/>
          <w:bCs/>
          <w:snapToGrid w:val="0"/>
          <w:kern w:val="21"/>
          <w:szCs w:val="21"/>
        </w:rPr>
        <w:fldChar w:fldCharType="end"/>
      </w:r>
      <w:r>
        <w:rPr>
          <w:b/>
          <w:bCs/>
          <w:snapToGrid w:val="0"/>
          <w:kern w:val="21"/>
          <w:szCs w:val="21"/>
        </w:rPr>
        <w:t>-</w:t>
      </w:r>
      <w:r>
        <w:rPr>
          <w:b/>
          <w:bCs/>
          <w:snapToGrid w:val="0"/>
          <w:kern w:val="21"/>
          <w:szCs w:val="21"/>
        </w:rPr>
        <w:fldChar w:fldCharType="begin"/>
      </w:r>
      <w:r>
        <w:rPr>
          <w:b/>
          <w:bCs/>
          <w:snapToGrid w:val="0"/>
          <w:kern w:val="21"/>
          <w:szCs w:val="21"/>
        </w:rPr>
        <w:instrText xml:space="preserve"> = 5 \* GB3 \* MERGEFORMAT </w:instrText>
      </w:r>
      <w:r>
        <w:rPr>
          <w:b/>
          <w:bCs/>
          <w:snapToGrid w:val="0"/>
          <w:kern w:val="21"/>
          <w:szCs w:val="21"/>
        </w:rPr>
        <w:fldChar w:fldCharType="separate"/>
      </w:r>
      <w:r>
        <w:rPr>
          <w:b/>
          <w:bCs/>
          <w:snapToGrid w:val="0"/>
          <w:kern w:val="21"/>
          <w:szCs w:val="21"/>
        </w:rPr>
        <w:t>⑤</w:t>
      </w:r>
      <w:r>
        <w:rPr>
          <w:b/>
          <w:bCs/>
          <w:snapToGrid w:val="0"/>
          <w:kern w:val="21"/>
          <w:szCs w:val="21"/>
        </w:rPr>
        <w:fldChar w:fldCharType="end"/>
      </w:r>
      <w:r>
        <w:rPr>
          <w:b/>
          <w:bCs/>
          <w:snapToGrid w:val="0"/>
          <w:kern w:val="21"/>
          <w:szCs w:val="21"/>
        </w:rPr>
        <w:t>；</w:t>
      </w:r>
      <w:r>
        <w:rPr>
          <w:b/>
          <w:bCs/>
          <w:snapToGrid w:val="0"/>
          <w:kern w:val="21"/>
          <w:szCs w:val="21"/>
        </w:rPr>
        <w:fldChar w:fldCharType="begin"/>
      </w:r>
      <w:r>
        <w:rPr>
          <w:b/>
          <w:bCs/>
          <w:snapToGrid w:val="0"/>
          <w:kern w:val="21"/>
          <w:szCs w:val="21"/>
        </w:rPr>
        <w:instrText xml:space="preserve"> = 7 \* GB3 \* MERGEFORMAT </w:instrText>
      </w:r>
      <w:r>
        <w:rPr>
          <w:b/>
          <w:bCs/>
          <w:snapToGrid w:val="0"/>
          <w:kern w:val="21"/>
          <w:szCs w:val="21"/>
        </w:rPr>
        <w:fldChar w:fldCharType="separate"/>
      </w:r>
      <w:r>
        <w:rPr>
          <w:b/>
          <w:bCs/>
          <w:snapToGrid w:val="0"/>
          <w:kern w:val="21"/>
          <w:szCs w:val="21"/>
        </w:rPr>
        <w:t>⑦</w:t>
      </w:r>
      <w:r>
        <w:rPr>
          <w:b/>
          <w:bCs/>
          <w:snapToGrid w:val="0"/>
          <w:kern w:val="21"/>
          <w:szCs w:val="21"/>
        </w:rPr>
        <w:fldChar w:fldCharType="end"/>
      </w:r>
      <w:r>
        <w:rPr>
          <w:b/>
          <w:bCs/>
          <w:snapToGrid w:val="0"/>
          <w:kern w:val="21"/>
          <w:szCs w:val="21"/>
        </w:rPr>
        <w:t>=</w:t>
      </w:r>
      <w:r>
        <w:rPr>
          <w:b/>
          <w:bCs/>
          <w:snapToGrid w:val="0"/>
          <w:kern w:val="21"/>
          <w:szCs w:val="21"/>
        </w:rPr>
        <w:fldChar w:fldCharType="begin"/>
      </w:r>
      <w:r>
        <w:rPr>
          <w:b/>
          <w:bCs/>
          <w:snapToGrid w:val="0"/>
          <w:kern w:val="21"/>
          <w:szCs w:val="21"/>
        </w:rPr>
        <w:instrText xml:space="preserve"> = 6 \* GB3 \* MERGEFORMAT </w:instrText>
      </w:r>
      <w:r>
        <w:rPr>
          <w:b/>
          <w:bCs/>
          <w:snapToGrid w:val="0"/>
          <w:kern w:val="21"/>
          <w:szCs w:val="21"/>
        </w:rPr>
        <w:fldChar w:fldCharType="separate"/>
      </w:r>
      <w:r>
        <w:rPr>
          <w:b/>
          <w:bCs/>
          <w:snapToGrid w:val="0"/>
          <w:kern w:val="21"/>
          <w:szCs w:val="21"/>
        </w:rPr>
        <w:t>⑥</w:t>
      </w:r>
      <w:r>
        <w:rPr>
          <w:b/>
          <w:bCs/>
          <w:snapToGrid w:val="0"/>
          <w:kern w:val="21"/>
          <w:szCs w:val="21"/>
        </w:rPr>
        <w:fldChar w:fldCharType="end"/>
      </w:r>
      <w:r>
        <w:rPr>
          <w:b/>
          <w:bCs/>
          <w:snapToGrid w:val="0"/>
          <w:kern w:val="21"/>
          <w:szCs w:val="21"/>
        </w:rPr>
        <w:t>-</w:t>
      </w:r>
      <w:r>
        <w:rPr>
          <w:b/>
          <w:bCs/>
          <w:snapToGrid w:val="0"/>
          <w:kern w:val="21"/>
          <w:szCs w:val="21"/>
        </w:rPr>
        <w:fldChar w:fldCharType="begin"/>
      </w:r>
      <w:r>
        <w:rPr>
          <w:b/>
          <w:bCs/>
          <w:snapToGrid w:val="0"/>
          <w:kern w:val="21"/>
          <w:szCs w:val="21"/>
        </w:rPr>
        <w:instrText xml:space="preserve"> = 1 \* GB3 \* MERGEFORMAT </w:instrText>
      </w:r>
      <w:r>
        <w:rPr>
          <w:b/>
          <w:bCs/>
          <w:snapToGrid w:val="0"/>
          <w:kern w:val="21"/>
          <w:szCs w:val="21"/>
        </w:rPr>
        <w:fldChar w:fldCharType="separate"/>
      </w:r>
      <w:r>
        <w:rPr>
          <w:b/>
          <w:bCs/>
          <w:snapToGrid w:val="0"/>
          <w:kern w:val="21"/>
          <w:szCs w:val="21"/>
        </w:rPr>
        <w:t>①</w:t>
      </w:r>
      <w:r>
        <w:rPr>
          <w:b/>
          <w:bCs/>
          <w:snapToGrid w:val="0"/>
          <w:kern w:val="21"/>
          <w:szCs w:val="21"/>
        </w:rPr>
        <w:fldChar w:fldCharType="end"/>
      </w:r>
    </w:p>
    <w:p w14:paraId="5DB223C1">
      <w:pPr>
        <w:pStyle w:val="7"/>
        <w:ind w:firstLine="0" w:firstLineChars="0"/>
        <w:sectPr>
          <w:pgSz w:w="16838" w:h="11906" w:orient="landscape"/>
          <w:pgMar w:top="1531" w:right="1701" w:bottom="1531" w:left="1701" w:header="851" w:footer="851" w:gutter="0"/>
          <w:pgBorders>
            <w:top w:val="none" w:sz="0" w:space="0"/>
            <w:left w:val="none" w:sz="0" w:space="0"/>
            <w:bottom w:val="none" w:sz="0" w:space="0"/>
            <w:right w:val="none" w:sz="0" w:space="0"/>
          </w:pgBorders>
          <w:pgNumType w:fmt="decimal"/>
          <w:cols w:space="720" w:num="1"/>
          <w:docGrid w:linePitch="312" w:charSpace="0"/>
        </w:sectPr>
      </w:pPr>
    </w:p>
    <w:p w14:paraId="34ACEFD5">
      <w:pPr>
        <w:pStyle w:val="6"/>
        <w:numPr>
          <w:ilvl w:val="3"/>
          <w:numId w:val="0"/>
        </w:numPr>
        <w:ind w:leftChars="0"/>
        <w:sectPr>
          <w:pgSz w:w="11906" w:h="16838"/>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395C56F2"/>
    <w:sectPr>
      <w:footerReference r:id="rId7" w:type="default"/>
      <w:pgSz w:w="11906" w:h="16838"/>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0"/>
    <w:family w:val="auto"/>
    <w:pitch w:val="default"/>
    <w:sig w:usb0="00000000" w:usb1="00000000" w:usb2="00000009" w:usb3="00000000" w:csb0="400001FF" w:csb1="FFFF0000"/>
  </w:font>
  <w:font w:name="宋体">
    <w:altName w:val="方正书宋_GBK"/>
    <w:panose1 w:val="02010600030101010101"/>
    <w:charset w:val="34"/>
    <w:family w:val="auto"/>
    <w:pitch w:val="default"/>
    <w:sig w:usb0="00000000" w:usb1="00000000" w:usb2="00000006"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Tms Rmn">
    <w:altName w:val="FreeSerif"/>
    <w:panose1 w:val="02020603040505020304"/>
    <w:charset w:val="00"/>
    <w:family w:val="roman"/>
    <w:pitch w:val="default"/>
    <w:sig w:usb0="00000000" w:usb1="00000000" w:usb2="00000000" w:usb3="00000000" w:csb0="00000001" w:csb1="00000000"/>
  </w:font>
  <w:font w:name="FreeSerif">
    <w:panose1 w:val="02020603050405020304"/>
    <w:charset w:val="00"/>
    <w:family w:val="auto"/>
    <w:pitch w:val="default"/>
    <w:sig w:usb0="E59FAFFF" w:usb1="C200FDFF" w:usb2="43501B29" w:usb3="04000043" w:csb0="600101FF" w:csb1="FFFF0000"/>
  </w:font>
  <w:font w:name="仿宋_GB2312">
    <w:altName w:val="方正仿宋_GBK"/>
    <w:panose1 w:val="02010609030101010101"/>
    <w:charset w:val="86"/>
    <w:family w:val="modern"/>
    <w:pitch w:val="default"/>
    <w:sig w:usb0="00000000" w:usb1="00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楷体_GB2312">
    <w:altName w:val="方正楷体_GBK"/>
    <w:panose1 w:val="02010609030101010101"/>
    <w:charset w:val="86"/>
    <w:family w:val="modern"/>
    <w:pitch w:val="default"/>
    <w:sig w:usb0="00000000" w:usb1="00000000" w:usb2="00000000" w:usb3="00000000" w:csb0="00040000" w:csb1="00000000"/>
  </w:font>
  <w:font w:name="新宋体">
    <w:altName w:val="方正书宋_GBK"/>
    <w:panose1 w:val="02010609030101010101"/>
    <w:charset w:val="86"/>
    <w:family w:val="modern"/>
    <w:pitch w:val="default"/>
    <w:sig w:usb0="00000000" w:usb1="00000000" w:usb2="00000006" w:usb3="00000000" w:csb0="00040001" w:csb1="00000000"/>
  </w:font>
  <w:font w:name="Wingdings 2">
    <w:altName w:val="MathJax_Vector"/>
    <w:panose1 w:val="05020102010507070707"/>
    <w:charset w:val="02"/>
    <w:family w:val="roman"/>
    <w:pitch w:val="default"/>
    <w:sig w:usb0="00000000" w:usb1="00000000" w:usb2="00000000" w:usb3="00000000" w:csb0="80000000" w:csb1="00000000"/>
  </w:font>
  <w:font w:name="MathJax_Vector">
    <w:panose1 w:val="02000603000000000000"/>
    <w:charset w:val="00"/>
    <w:family w:val="auto"/>
    <w:pitch w:val="default"/>
    <w:sig w:usb0="00000001" w:usb1="00000020" w:usb2="00000000" w:usb3="00000000" w:csb0="00000001" w:csb1="00000000"/>
  </w:font>
  <w:font w:name="微软雅黑">
    <w:altName w:val="方正黑体_GBK"/>
    <w:panose1 w:val="020B0503020204020204"/>
    <w:charset w:val="86"/>
    <w:family w:val="auto"/>
    <w:pitch w:val="default"/>
    <w:sig w:usb0="00000000" w:usb1="00000000" w:usb2="00000016" w:usb3="00000000" w:csb0="0004001F" w:csb1="00000000"/>
  </w:font>
  <w:font w:name="Helvetica">
    <w:altName w:val="C059"/>
    <w:panose1 w:val="00000000000000000000"/>
    <w:charset w:val="00"/>
    <w:family w:val="auto"/>
    <w:pitch w:val="default"/>
    <w:sig w:usb0="00000000" w:usb1="00000000" w:usb2="00000000" w:usb3="00000000" w:csb0="00000000" w:csb1="00000000"/>
  </w:font>
  <w:font w:name="C059">
    <w:panose1 w:val="00000500000000000000"/>
    <w:charset w:val="00"/>
    <w:family w:val="auto"/>
    <w:pitch w:val="default"/>
    <w:sig w:usb0="00000287" w:usb1="00000800" w:usb2="00000000" w:usb3="00000000" w:csb0="6000009F" w:csb1="00000000"/>
  </w:font>
  <w:font w:name="Cambria Math">
    <w:altName w:val="DejaVu Math TeX Gyre"/>
    <w:panose1 w:val="02040503050406030204"/>
    <w:charset w:val="00"/>
    <w:family w:val="roman"/>
    <w:pitch w:val="default"/>
    <w:sig w:usb0="00000000" w:usb1="00000000" w:usb2="02000000" w:usb3="00000000" w:csb0="2000019F" w:csb1="00000000"/>
  </w:font>
  <w:font w:name="DejaVu Math TeX Gyre">
    <w:panose1 w:val="02000503000000000000"/>
    <w:charset w:val="00"/>
    <w:family w:val="auto"/>
    <w:pitch w:val="default"/>
    <w:sig w:usb0="A10000EF" w:usb1="4201F9EE" w:usb2="02000000" w:usb3="00000000" w:csb0="60000193" w:csb1="0DD40000"/>
  </w:font>
  <w:font w:name="Kingsoft UE">
    <w:panose1 w:val="02000100010000000000"/>
    <w:charset w:val="00"/>
    <w:family w:val="auto"/>
    <w:pitch w:val="default"/>
    <w:sig w:usb0="00000001" w:usb1="00004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1D5750">
    <w:pPr>
      <w:pStyle w:val="20"/>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805A90">
    <w:pPr>
      <w:pStyle w:val="20"/>
      <w:framePr w:wrap="around" w:vAnchor="text" w:hAnchor="margin" w:xAlign="center" w:y="1"/>
      <w:rPr>
        <w:rStyle w:val="31"/>
      </w:rPr>
    </w:pPr>
    <w:r>
      <w:fldChar w:fldCharType="begin"/>
    </w:r>
    <w:r>
      <w:rPr>
        <w:rStyle w:val="31"/>
      </w:rPr>
      <w:instrText xml:space="preserve">PAGE  </w:instrText>
    </w:r>
    <w:r>
      <w:fldChar w:fldCharType="end"/>
    </w:r>
  </w:p>
  <w:p w14:paraId="1E753974">
    <w:pPr>
      <w:pStyle w:val="20"/>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87B9AB">
    <w:pPr>
      <w:pStyle w:val="20"/>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587BE1">
    <w:pPr>
      <w:pStyle w:val="20"/>
      <w:ind w:right="360" w:firstLine="360"/>
      <w:jc w:val="center"/>
    </w:pPr>
    <w:r>
      <w:rPr>
        <w:sz w:val="18"/>
      </w:rPr>
      <mc:AlternateContent>
        <mc:Choice Requires="wps">
          <w:drawing>
            <wp:anchor distT="0" distB="0" distL="114300" distR="114300" simplePos="0" relativeHeight="251659264" behindDoc="0" locked="0" layoutInCell="1" allowOverlap="1">
              <wp:simplePos x="0" y="0"/>
              <wp:positionH relativeFrom="margin">
                <wp:posOffset>2776220</wp:posOffset>
              </wp:positionH>
              <wp:positionV relativeFrom="paragraph">
                <wp:posOffset>-39370</wp:posOffset>
              </wp:positionV>
              <wp:extent cx="153035" cy="177165"/>
              <wp:effectExtent l="0" t="0" r="0" b="0"/>
              <wp:wrapNone/>
              <wp:docPr id="6" name="文本框 6"/>
              <wp:cNvGraphicFramePr/>
              <a:graphic xmlns:a="http://schemas.openxmlformats.org/drawingml/2006/main">
                <a:graphicData uri="http://schemas.microsoft.com/office/word/2010/wordprocessingShape">
                  <wps:wsp>
                    <wps:cNvSpPr txBox="1"/>
                    <wps:spPr>
                      <a:xfrm>
                        <a:off x="0" y="0"/>
                        <a:ext cx="153035" cy="1771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993713">
                          <w:pPr>
                            <w:pStyle w:val="20"/>
                            <w:jc w:val="cen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18.6pt;margin-top:-3.1pt;height:13.95pt;width:12.05pt;mso-position-horizontal-relative:margin;z-index:251659264;mso-width-relative:page;mso-height-relative:page;" filled="f" stroked="f" coordsize="21600,21600" o:gfxdata="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2VJkeNkAAAAJAQAADwAAAAAAAAABACAAAAAiAAAAZHJzL2Rvd25y&#10;ZXYueG1sUEsBAhQAFAAAAAgAh07iQPJ7t5M2AgAAYQQAAA4AAAAAAAAAAQAgAAAAKAEAAGRycy9l&#10;Mm9Eb2MueG1sUEsFBgAAAAAGAAYAWQEAANAFAAAAAA==&#10;">
              <v:fill on="f" focussize="0,0"/>
              <v:stroke on="f" weight="0.5pt"/>
              <v:imagedata o:title=""/>
              <o:lock v:ext="edit" aspectratio="f"/>
              <v:textbox inset="0mm,0mm,0mm,0mm">
                <w:txbxContent>
                  <w:p w14:paraId="3A993713">
                    <w:pPr>
                      <w:pStyle w:val="20"/>
                      <w:jc w:val="center"/>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4BDBA5">
    <w:pPr>
      <w:pStyle w:val="20"/>
      <w:ind w:right="360" w:firstLine="36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68CAF1">
                          <w:pPr>
                            <w:pStyle w:val="20"/>
                          </w:pPr>
                          <w:r>
                            <w:fldChar w:fldCharType="begin"/>
                          </w:r>
                          <w:r>
                            <w:instrText xml:space="preserve"> PAGE  \* MERGEFORMAT </w:instrText>
                          </w:r>
                          <w:r>
                            <w:fldChar w:fldCharType="separate"/>
                          </w:r>
                          <w:r>
                            <w:t>67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7968CAF1">
                    <w:pPr>
                      <w:pStyle w:val="20"/>
                    </w:pPr>
                    <w:r>
                      <w:fldChar w:fldCharType="begin"/>
                    </w:r>
                    <w:r>
                      <w:instrText xml:space="preserve"> PAGE  \* MERGEFORMAT </w:instrText>
                    </w:r>
                    <w:r>
                      <w:fldChar w:fldCharType="separate"/>
                    </w:r>
                    <w:r>
                      <w:t>67</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FF9714"/>
    <w:multiLevelType w:val="singleLevel"/>
    <w:tmpl w:val="8BFF9714"/>
    <w:lvl w:ilvl="0" w:tentative="0">
      <w:start w:val="1"/>
      <w:numFmt w:val="decimal"/>
      <w:pStyle w:val="81"/>
      <w:suff w:val="nothing"/>
      <w:lvlText w:val="表1-%1　"/>
      <w:lvlJc w:val="left"/>
      <w:pPr>
        <w:ind w:left="0" w:firstLine="403"/>
      </w:pPr>
      <w:rPr>
        <w:rFonts w:hint="default"/>
      </w:rPr>
    </w:lvl>
  </w:abstractNum>
  <w:abstractNum w:abstractNumId="1">
    <w:nsid w:val="B7C3A1FF"/>
    <w:multiLevelType w:val="singleLevel"/>
    <w:tmpl w:val="B7C3A1FF"/>
    <w:lvl w:ilvl="0" w:tentative="0">
      <w:start w:val="2"/>
      <w:numFmt w:val="decimal"/>
      <w:suff w:val="nothing"/>
      <w:lvlText w:val="%1、"/>
      <w:lvlJc w:val="left"/>
    </w:lvl>
  </w:abstractNum>
  <w:abstractNum w:abstractNumId="2">
    <w:nsid w:val="BFE27D4D"/>
    <w:multiLevelType w:val="singleLevel"/>
    <w:tmpl w:val="BFE27D4D"/>
    <w:lvl w:ilvl="0" w:tentative="0">
      <w:start w:val="4"/>
      <w:numFmt w:val="decimal"/>
      <w:suff w:val="nothing"/>
      <w:lvlText w:val="（%1）"/>
      <w:lvlJc w:val="left"/>
    </w:lvl>
  </w:abstractNum>
  <w:abstractNum w:abstractNumId="3">
    <w:nsid w:val="E26B76CD"/>
    <w:multiLevelType w:val="singleLevel"/>
    <w:tmpl w:val="E26B76CD"/>
    <w:lvl w:ilvl="0" w:tentative="0">
      <w:start w:val="1"/>
      <w:numFmt w:val="decimal"/>
      <w:suff w:val="nothing"/>
      <w:lvlText w:val="%1、"/>
      <w:lvlJc w:val="left"/>
      <w:rPr>
        <w:rFonts w:hint="default"/>
        <w:color w:val="auto"/>
      </w:rPr>
    </w:lvl>
  </w:abstractNum>
  <w:abstractNum w:abstractNumId="4">
    <w:nsid w:val="E281A38E"/>
    <w:multiLevelType w:val="singleLevel"/>
    <w:tmpl w:val="E281A38E"/>
    <w:lvl w:ilvl="0" w:tentative="0">
      <w:start w:val="1"/>
      <w:numFmt w:val="decimal"/>
      <w:lvlText w:val="%1."/>
      <w:lvlJc w:val="left"/>
      <w:pPr>
        <w:tabs>
          <w:tab w:val="left" w:pos="312"/>
        </w:tabs>
      </w:pPr>
    </w:lvl>
  </w:abstractNum>
  <w:abstractNum w:abstractNumId="5">
    <w:nsid w:val="FCD737C0"/>
    <w:multiLevelType w:val="singleLevel"/>
    <w:tmpl w:val="FCD737C0"/>
    <w:lvl w:ilvl="0" w:tentative="0">
      <w:start w:val="2"/>
      <w:numFmt w:val="decimal"/>
      <w:suff w:val="nothing"/>
      <w:lvlText w:val="%1、"/>
      <w:lvlJc w:val="left"/>
    </w:lvl>
  </w:abstractNum>
  <w:abstractNum w:abstractNumId="6">
    <w:nsid w:val="24E2BE70"/>
    <w:multiLevelType w:val="multilevel"/>
    <w:tmpl w:val="24E2BE70"/>
    <w:lvl w:ilvl="0" w:tentative="0">
      <w:start w:val="1"/>
      <w:numFmt w:val="decimal"/>
      <w:lvlText w:val="%1 "/>
      <w:lvlJc w:val="left"/>
      <w:pPr>
        <w:ind w:left="425" w:hanging="425"/>
      </w:pPr>
      <w:rPr>
        <w:rFonts w:hint="default" w:ascii="Times New Roman" w:hAnsi="Times New Roman" w:eastAsia="宋体" w:cs="宋体"/>
        <w:sz w:val="36"/>
        <w:szCs w:val="36"/>
      </w:rPr>
    </w:lvl>
    <w:lvl w:ilvl="1" w:tentative="0">
      <w:start w:val="1"/>
      <w:numFmt w:val="decimal"/>
      <w:lvlText w:val="%1.%2 "/>
      <w:lvlJc w:val="left"/>
      <w:pPr>
        <w:ind w:left="567" w:hanging="567"/>
      </w:pPr>
      <w:rPr>
        <w:rFonts w:hint="default" w:ascii="Times New Roman" w:hAnsi="Times New Roman" w:eastAsia="宋体" w:cs="宋体"/>
        <w:sz w:val="30"/>
        <w:szCs w:val="30"/>
      </w:rPr>
    </w:lvl>
    <w:lvl w:ilvl="2" w:tentative="0">
      <w:start w:val="1"/>
      <w:numFmt w:val="decimal"/>
      <w:lvlText w:val="%1.%2.%3 "/>
      <w:lvlJc w:val="left"/>
      <w:pPr>
        <w:ind w:left="709" w:hanging="709"/>
      </w:pPr>
      <w:rPr>
        <w:rFonts w:hint="default" w:ascii="Times New Roman" w:hAnsi="Times New Roman" w:eastAsia="宋体" w:cs="Times New Roman"/>
        <w:sz w:val="28"/>
        <w:szCs w:val="28"/>
      </w:rPr>
    </w:lvl>
    <w:lvl w:ilvl="3" w:tentative="0">
      <w:start w:val="1"/>
      <w:numFmt w:val="decimal"/>
      <w:pStyle w:val="6"/>
      <w:lvlText w:val="%1.%2.%3.%4 "/>
      <w:lvlJc w:val="left"/>
      <w:pPr>
        <w:ind w:left="1050" w:hanging="850"/>
      </w:pPr>
      <w:rPr>
        <w:rFonts w:hint="default" w:ascii="Times New Roman" w:hAnsi="Times New Roman" w:eastAsia="宋体" w:cs="Times New Roman"/>
        <w:sz w:val="24"/>
        <w:szCs w:val="24"/>
      </w:rPr>
    </w:lvl>
    <w:lvl w:ilvl="4" w:tentative="0">
      <w:start w:val="1"/>
      <w:numFmt w:val="decimal"/>
      <w:lvlRestart w:val="2"/>
      <w:lvlText w:val="表%1.%2-%5 "/>
      <w:lvlJc w:val="left"/>
      <w:pPr>
        <w:ind w:left="991" w:hanging="991"/>
      </w:pPr>
      <w:rPr>
        <w:rFonts w:hint="default" w:ascii="Times New Roman" w:hAnsi="Times New Roman" w:eastAsia="宋体" w:cs="Times New Roman"/>
        <w:sz w:val="24"/>
        <w:szCs w:val="24"/>
      </w:rPr>
    </w:lvl>
    <w:lvl w:ilvl="5" w:tentative="0">
      <w:start w:val="1"/>
      <w:numFmt w:val="decimal"/>
      <w:lvlRestart w:val="2"/>
      <w:lvlText w:val="图%1.%2-%6 "/>
      <w:lvlJc w:val="left"/>
      <w:pPr>
        <w:ind w:left="1134" w:hanging="1134"/>
      </w:pPr>
      <w:rPr>
        <w:rFonts w:hint="default" w:ascii="Times New Roman" w:hAnsi="Times New Roman" w:eastAsia="宋体" w:cs="Times New Roman"/>
        <w:sz w:val="24"/>
        <w:szCs w:val="24"/>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7">
    <w:nsid w:val="37ED08AC"/>
    <w:multiLevelType w:val="singleLevel"/>
    <w:tmpl w:val="37ED08AC"/>
    <w:lvl w:ilvl="0" w:tentative="0">
      <w:start w:val="3"/>
      <w:numFmt w:val="chineseCounting"/>
      <w:suff w:val="nothing"/>
      <w:lvlText w:val="%1、"/>
      <w:lvlJc w:val="left"/>
      <w:rPr>
        <w:rFonts w:hint="eastAsia"/>
      </w:rPr>
    </w:lvl>
  </w:abstractNum>
  <w:abstractNum w:abstractNumId="8">
    <w:nsid w:val="485E57E9"/>
    <w:multiLevelType w:val="singleLevel"/>
    <w:tmpl w:val="485E57E9"/>
    <w:lvl w:ilvl="0" w:tentative="0">
      <w:start w:val="1"/>
      <w:numFmt w:val="decimal"/>
      <w:suff w:val="nothing"/>
      <w:lvlText w:val="%1、"/>
      <w:lvlJc w:val="left"/>
    </w:lvl>
  </w:abstractNum>
  <w:abstractNum w:abstractNumId="9">
    <w:nsid w:val="755F522D"/>
    <w:multiLevelType w:val="singleLevel"/>
    <w:tmpl w:val="755F522D"/>
    <w:lvl w:ilvl="0" w:tentative="0">
      <w:start w:val="1"/>
      <w:numFmt w:val="decimal"/>
      <w:suff w:val="nothing"/>
      <w:lvlText w:val="%1、"/>
      <w:lvlJc w:val="left"/>
    </w:lvl>
  </w:abstractNum>
  <w:num w:numId="1">
    <w:abstractNumId w:val="6"/>
  </w:num>
  <w:num w:numId="2">
    <w:abstractNumId w:val="0"/>
  </w:num>
  <w:num w:numId="3">
    <w:abstractNumId w:val="9"/>
  </w:num>
  <w:num w:numId="4">
    <w:abstractNumId w:val="2"/>
  </w:num>
  <w:num w:numId="5">
    <w:abstractNumId w:val="4"/>
  </w:num>
  <w:num w:numId="6">
    <w:abstractNumId w:val="1"/>
  </w:num>
  <w:num w:numId="7">
    <w:abstractNumId w:val="7"/>
  </w:num>
  <w:num w:numId="8">
    <w:abstractNumId w:val="8"/>
  </w:num>
  <w:num w:numId="9">
    <w:abstractNumId w:val="5"/>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FmMjQ0OTFlMDRkMjgwZmQ4NGIxMGJkNWRkMzFlNDMifQ=="/>
  </w:docVars>
  <w:rsids>
    <w:rsidRoot w:val="5FD87E86"/>
    <w:rsid w:val="0012680F"/>
    <w:rsid w:val="001A1E39"/>
    <w:rsid w:val="001A5680"/>
    <w:rsid w:val="001B223C"/>
    <w:rsid w:val="00225378"/>
    <w:rsid w:val="00237A6E"/>
    <w:rsid w:val="00303F39"/>
    <w:rsid w:val="0050638A"/>
    <w:rsid w:val="005075A0"/>
    <w:rsid w:val="005D2854"/>
    <w:rsid w:val="0060410D"/>
    <w:rsid w:val="006C5CAF"/>
    <w:rsid w:val="00973FB8"/>
    <w:rsid w:val="009C2220"/>
    <w:rsid w:val="009E5D12"/>
    <w:rsid w:val="00AB26EF"/>
    <w:rsid w:val="00B630B3"/>
    <w:rsid w:val="00B95CC7"/>
    <w:rsid w:val="00C91C98"/>
    <w:rsid w:val="00CB5622"/>
    <w:rsid w:val="00D9637F"/>
    <w:rsid w:val="00E16FE2"/>
    <w:rsid w:val="00E36A59"/>
    <w:rsid w:val="00E60A9C"/>
    <w:rsid w:val="00E91BBD"/>
    <w:rsid w:val="00EB7E60"/>
    <w:rsid w:val="00F92A87"/>
    <w:rsid w:val="00FD392F"/>
    <w:rsid w:val="010312EC"/>
    <w:rsid w:val="010A51A6"/>
    <w:rsid w:val="013A39A1"/>
    <w:rsid w:val="016A347B"/>
    <w:rsid w:val="01714809"/>
    <w:rsid w:val="01722F04"/>
    <w:rsid w:val="017442FA"/>
    <w:rsid w:val="019422A6"/>
    <w:rsid w:val="019C1FF8"/>
    <w:rsid w:val="01A5017B"/>
    <w:rsid w:val="01B20418"/>
    <w:rsid w:val="01B6046E"/>
    <w:rsid w:val="01C901A1"/>
    <w:rsid w:val="01D32DCE"/>
    <w:rsid w:val="01D3670F"/>
    <w:rsid w:val="01DB6127"/>
    <w:rsid w:val="01E721B8"/>
    <w:rsid w:val="01FD546B"/>
    <w:rsid w:val="021A27AB"/>
    <w:rsid w:val="022C0730"/>
    <w:rsid w:val="0240648C"/>
    <w:rsid w:val="025722C7"/>
    <w:rsid w:val="027125E7"/>
    <w:rsid w:val="02732A09"/>
    <w:rsid w:val="028916DF"/>
    <w:rsid w:val="028C11CF"/>
    <w:rsid w:val="02B7624C"/>
    <w:rsid w:val="02CD2907"/>
    <w:rsid w:val="02DC52DA"/>
    <w:rsid w:val="02DD232F"/>
    <w:rsid w:val="02E37041"/>
    <w:rsid w:val="02E9145B"/>
    <w:rsid w:val="02F66888"/>
    <w:rsid w:val="03123DCA"/>
    <w:rsid w:val="032C3F41"/>
    <w:rsid w:val="033F196C"/>
    <w:rsid w:val="0340598D"/>
    <w:rsid w:val="034E1F6F"/>
    <w:rsid w:val="035A307B"/>
    <w:rsid w:val="03775241"/>
    <w:rsid w:val="038A3960"/>
    <w:rsid w:val="03906A9D"/>
    <w:rsid w:val="039E565E"/>
    <w:rsid w:val="03B3041D"/>
    <w:rsid w:val="03C2588D"/>
    <w:rsid w:val="03CA28C1"/>
    <w:rsid w:val="03CA6F85"/>
    <w:rsid w:val="03CC21CB"/>
    <w:rsid w:val="03CD1A9F"/>
    <w:rsid w:val="03D90444"/>
    <w:rsid w:val="03EC461B"/>
    <w:rsid w:val="03F67248"/>
    <w:rsid w:val="03F82FC0"/>
    <w:rsid w:val="042519BD"/>
    <w:rsid w:val="043D3538"/>
    <w:rsid w:val="045126D0"/>
    <w:rsid w:val="046046C1"/>
    <w:rsid w:val="04620439"/>
    <w:rsid w:val="04791ED2"/>
    <w:rsid w:val="047D1717"/>
    <w:rsid w:val="047F723D"/>
    <w:rsid w:val="048331B0"/>
    <w:rsid w:val="04926F71"/>
    <w:rsid w:val="04B35139"/>
    <w:rsid w:val="04B7528F"/>
    <w:rsid w:val="04BF3ADE"/>
    <w:rsid w:val="04C524B4"/>
    <w:rsid w:val="04D1736D"/>
    <w:rsid w:val="04D8694E"/>
    <w:rsid w:val="05011692"/>
    <w:rsid w:val="05045C3C"/>
    <w:rsid w:val="05065269"/>
    <w:rsid w:val="05504736"/>
    <w:rsid w:val="05634CE7"/>
    <w:rsid w:val="05656433"/>
    <w:rsid w:val="056800F4"/>
    <w:rsid w:val="057513FF"/>
    <w:rsid w:val="05834B0B"/>
    <w:rsid w:val="05863A76"/>
    <w:rsid w:val="058F525E"/>
    <w:rsid w:val="05C0366A"/>
    <w:rsid w:val="05DE0C95"/>
    <w:rsid w:val="05DE6180"/>
    <w:rsid w:val="05FA413E"/>
    <w:rsid w:val="060A67DF"/>
    <w:rsid w:val="060C68AF"/>
    <w:rsid w:val="06177EE0"/>
    <w:rsid w:val="0648365F"/>
    <w:rsid w:val="06710E08"/>
    <w:rsid w:val="067A1FB1"/>
    <w:rsid w:val="068E795F"/>
    <w:rsid w:val="069114AA"/>
    <w:rsid w:val="06A12C8E"/>
    <w:rsid w:val="06B70F10"/>
    <w:rsid w:val="06BB016A"/>
    <w:rsid w:val="06C21663"/>
    <w:rsid w:val="06C47189"/>
    <w:rsid w:val="06DC5F1C"/>
    <w:rsid w:val="06F061D0"/>
    <w:rsid w:val="06F23CF7"/>
    <w:rsid w:val="06F85085"/>
    <w:rsid w:val="06FF11EC"/>
    <w:rsid w:val="07043A2A"/>
    <w:rsid w:val="07097292"/>
    <w:rsid w:val="07097A8A"/>
    <w:rsid w:val="071C2CAB"/>
    <w:rsid w:val="0748600C"/>
    <w:rsid w:val="075A4C39"/>
    <w:rsid w:val="076601A7"/>
    <w:rsid w:val="076D15CF"/>
    <w:rsid w:val="076E27BD"/>
    <w:rsid w:val="07724E37"/>
    <w:rsid w:val="07886409"/>
    <w:rsid w:val="078B2285"/>
    <w:rsid w:val="07944DAE"/>
    <w:rsid w:val="07A35216"/>
    <w:rsid w:val="07A62111"/>
    <w:rsid w:val="07AE06C1"/>
    <w:rsid w:val="07BE57EE"/>
    <w:rsid w:val="07C75183"/>
    <w:rsid w:val="07D04824"/>
    <w:rsid w:val="07D55EFD"/>
    <w:rsid w:val="07E61381"/>
    <w:rsid w:val="08031519"/>
    <w:rsid w:val="08033CE1"/>
    <w:rsid w:val="080A5070"/>
    <w:rsid w:val="081C4DA3"/>
    <w:rsid w:val="084D31AF"/>
    <w:rsid w:val="085623D8"/>
    <w:rsid w:val="08902440"/>
    <w:rsid w:val="08BB45BC"/>
    <w:rsid w:val="08C2594B"/>
    <w:rsid w:val="08CC4A1B"/>
    <w:rsid w:val="08D15B8E"/>
    <w:rsid w:val="08E069E6"/>
    <w:rsid w:val="090B7DC7"/>
    <w:rsid w:val="090E20D9"/>
    <w:rsid w:val="091343F8"/>
    <w:rsid w:val="09172EF8"/>
    <w:rsid w:val="09185B72"/>
    <w:rsid w:val="0933135E"/>
    <w:rsid w:val="0953345E"/>
    <w:rsid w:val="0955056D"/>
    <w:rsid w:val="09A432A2"/>
    <w:rsid w:val="09A6701A"/>
    <w:rsid w:val="09AF4121"/>
    <w:rsid w:val="09B24F76"/>
    <w:rsid w:val="09B74D83"/>
    <w:rsid w:val="09C80DDB"/>
    <w:rsid w:val="09CB082F"/>
    <w:rsid w:val="09D01A1F"/>
    <w:rsid w:val="09D30562"/>
    <w:rsid w:val="09D45935"/>
    <w:rsid w:val="09F47D86"/>
    <w:rsid w:val="0A002EBD"/>
    <w:rsid w:val="0A193C90"/>
    <w:rsid w:val="0A2112E1"/>
    <w:rsid w:val="0A321316"/>
    <w:rsid w:val="0A4725AB"/>
    <w:rsid w:val="0A782765"/>
    <w:rsid w:val="0A846888"/>
    <w:rsid w:val="0A8B6D9E"/>
    <w:rsid w:val="0A943317"/>
    <w:rsid w:val="0AB30C24"/>
    <w:rsid w:val="0AC849A2"/>
    <w:rsid w:val="0AD57BB7"/>
    <w:rsid w:val="0AF02E1F"/>
    <w:rsid w:val="0AF0679F"/>
    <w:rsid w:val="0AF142C5"/>
    <w:rsid w:val="0B024724"/>
    <w:rsid w:val="0B032A72"/>
    <w:rsid w:val="0B0D6C7C"/>
    <w:rsid w:val="0B177945"/>
    <w:rsid w:val="0B485584"/>
    <w:rsid w:val="0B664089"/>
    <w:rsid w:val="0B7F617D"/>
    <w:rsid w:val="0B9E1294"/>
    <w:rsid w:val="0BB53545"/>
    <w:rsid w:val="0BC14CD6"/>
    <w:rsid w:val="0BC452B6"/>
    <w:rsid w:val="0BD8339D"/>
    <w:rsid w:val="0BD95485"/>
    <w:rsid w:val="0BDE2A9B"/>
    <w:rsid w:val="0BE5207C"/>
    <w:rsid w:val="0BFA4E09"/>
    <w:rsid w:val="0BFC5617"/>
    <w:rsid w:val="0C105FB5"/>
    <w:rsid w:val="0C23344D"/>
    <w:rsid w:val="0C3C5A14"/>
    <w:rsid w:val="0C483CD8"/>
    <w:rsid w:val="0C540FAF"/>
    <w:rsid w:val="0C5745FC"/>
    <w:rsid w:val="0C6F762F"/>
    <w:rsid w:val="0C871385"/>
    <w:rsid w:val="0C8C0749"/>
    <w:rsid w:val="0CA14DDD"/>
    <w:rsid w:val="0CA14F4C"/>
    <w:rsid w:val="0CA74839"/>
    <w:rsid w:val="0CAA0BCF"/>
    <w:rsid w:val="0CAF61E6"/>
    <w:rsid w:val="0CB63A18"/>
    <w:rsid w:val="0CC47EE3"/>
    <w:rsid w:val="0CE916E4"/>
    <w:rsid w:val="0D043148"/>
    <w:rsid w:val="0D205087"/>
    <w:rsid w:val="0D232DCD"/>
    <w:rsid w:val="0D343977"/>
    <w:rsid w:val="0D442B44"/>
    <w:rsid w:val="0D4F31E3"/>
    <w:rsid w:val="0D841421"/>
    <w:rsid w:val="0D892EDB"/>
    <w:rsid w:val="0D906E28"/>
    <w:rsid w:val="0D9A50E8"/>
    <w:rsid w:val="0DC42165"/>
    <w:rsid w:val="0DC53E64"/>
    <w:rsid w:val="0DF50570"/>
    <w:rsid w:val="0E032C8D"/>
    <w:rsid w:val="0E100F06"/>
    <w:rsid w:val="0E1C5AFD"/>
    <w:rsid w:val="0E3634E0"/>
    <w:rsid w:val="0E4D3941"/>
    <w:rsid w:val="0E5B6625"/>
    <w:rsid w:val="0E6059EA"/>
    <w:rsid w:val="0E651252"/>
    <w:rsid w:val="0E653000"/>
    <w:rsid w:val="0E7E40C2"/>
    <w:rsid w:val="0E8211A4"/>
    <w:rsid w:val="0E8C4A31"/>
    <w:rsid w:val="0E990EFC"/>
    <w:rsid w:val="0E9D7E6D"/>
    <w:rsid w:val="0EB421D9"/>
    <w:rsid w:val="0EB55FAD"/>
    <w:rsid w:val="0EC3241C"/>
    <w:rsid w:val="0EC73CBB"/>
    <w:rsid w:val="0ECD1618"/>
    <w:rsid w:val="0ED66B42"/>
    <w:rsid w:val="0EEE7499"/>
    <w:rsid w:val="0F00702D"/>
    <w:rsid w:val="0F017B2C"/>
    <w:rsid w:val="0F073C1A"/>
    <w:rsid w:val="0F1A7835"/>
    <w:rsid w:val="0F2904D1"/>
    <w:rsid w:val="0F376CE6"/>
    <w:rsid w:val="0F56503F"/>
    <w:rsid w:val="0F582B65"/>
    <w:rsid w:val="0F5B4403"/>
    <w:rsid w:val="0F625791"/>
    <w:rsid w:val="0F845121"/>
    <w:rsid w:val="0F851480"/>
    <w:rsid w:val="0F922BCD"/>
    <w:rsid w:val="0FA20284"/>
    <w:rsid w:val="0FAA15D2"/>
    <w:rsid w:val="0FBC1346"/>
    <w:rsid w:val="0FBE0227"/>
    <w:rsid w:val="0FCC498E"/>
    <w:rsid w:val="0FD3367C"/>
    <w:rsid w:val="0FDC366F"/>
    <w:rsid w:val="0FF87EB3"/>
    <w:rsid w:val="1008428F"/>
    <w:rsid w:val="102F2364"/>
    <w:rsid w:val="1031756B"/>
    <w:rsid w:val="10423E68"/>
    <w:rsid w:val="10466E61"/>
    <w:rsid w:val="107F04D7"/>
    <w:rsid w:val="108A31F2"/>
    <w:rsid w:val="10B97633"/>
    <w:rsid w:val="10DE353E"/>
    <w:rsid w:val="10E11F27"/>
    <w:rsid w:val="11082369"/>
    <w:rsid w:val="11092376"/>
    <w:rsid w:val="110D797F"/>
    <w:rsid w:val="110F7B9B"/>
    <w:rsid w:val="11447845"/>
    <w:rsid w:val="114A0BD3"/>
    <w:rsid w:val="1154599C"/>
    <w:rsid w:val="115D0906"/>
    <w:rsid w:val="118270A2"/>
    <w:rsid w:val="11845E93"/>
    <w:rsid w:val="119D257C"/>
    <w:rsid w:val="11A04D7E"/>
    <w:rsid w:val="11A560A2"/>
    <w:rsid w:val="11B03029"/>
    <w:rsid w:val="11BE5CB4"/>
    <w:rsid w:val="11CB3AC2"/>
    <w:rsid w:val="11D4068C"/>
    <w:rsid w:val="11EC514B"/>
    <w:rsid w:val="12192A7F"/>
    <w:rsid w:val="122259AE"/>
    <w:rsid w:val="122B2479"/>
    <w:rsid w:val="123942E2"/>
    <w:rsid w:val="12647A72"/>
    <w:rsid w:val="12662D3D"/>
    <w:rsid w:val="126637EB"/>
    <w:rsid w:val="12816876"/>
    <w:rsid w:val="12A8795F"/>
    <w:rsid w:val="12CA1FCB"/>
    <w:rsid w:val="12CE4E68"/>
    <w:rsid w:val="12EA441C"/>
    <w:rsid w:val="12EB3CF0"/>
    <w:rsid w:val="12F92A37"/>
    <w:rsid w:val="131C20FB"/>
    <w:rsid w:val="132D2D2E"/>
    <w:rsid w:val="13357DBD"/>
    <w:rsid w:val="13383EE0"/>
    <w:rsid w:val="134E6759"/>
    <w:rsid w:val="136E2957"/>
    <w:rsid w:val="13730D77"/>
    <w:rsid w:val="138159BF"/>
    <w:rsid w:val="13855EF2"/>
    <w:rsid w:val="13871C6A"/>
    <w:rsid w:val="13A20852"/>
    <w:rsid w:val="13AD7482"/>
    <w:rsid w:val="13B2095E"/>
    <w:rsid w:val="13C966C7"/>
    <w:rsid w:val="13D80718"/>
    <w:rsid w:val="141E0463"/>
    <w:rsid w:val="142474B9"/>
    <w:rsid w:val="14380232"/>
    <w:rsid w:val="145D5E8A"/>
    <w:rsid w:val="147546F7"/>
    <w:rsid w:val="150F3CC6"/>
    <w:rsid w:val="151439D2"/>
    <w:rsid w:val="15233C15"/>
    <w:rsid w:val="15286728"/>
    <w:rsid w:val="153C6A85"/>
    <w:rsid w:val="153D11B2"/>
    <w:rsid w:val="154871D8"/>
    <w:rsid w:val="15536F22"/>
    <w:rsid w:val="155820B8"/>
    <w:rsid w:val="157E2D45"/>
    <w:rsid w:val="157E7936"/>
    <w:rsid w:val="15A96D62"/>
    <w:rsid w:val="15D66FEB"/>
    <w:rsid w:val="16013F56"/>
    <w:rsid w:val="16070E41"/>
    <w:rsid w:val="160752E5"/>
    <w:rsid w:val="1621168A"/>
    <w:rsid w:val="164155CB"/>
    <w:rsid w:val="165322D8"/>
    <w:rsid w:val="1658169C"/>
    <w:rsid w:val="167069E6"/>
    <w:rsid w:val="16872A06"/>
    <w:rsid w:val="169C02ED"/>
    <w:rsid w:val="169C3A37"/>
    <w:rsid w:val="16A20B69"/>
    <w:rsid w:val="16AF39B2"/>
    <w:rsid w:val="16CD208A"/>
    <w:rsid w:val="16D17208"/>
    <w:rsid w:val="16D25783"/>
    <w:rsid w:val="16E178E4"/>
    <w:rsid w:val="16E318AE"/>
    <w:rsid w:val="16F70EB5"/>
    <w:rsid w:val="171C091C"/>
    <w:rsid w:val="171E4694"/>
    <w:rsid w:val="172422A9"/>
    <w:rsid w:val="172B6DB1"/>
    <w:rsid w:val="173C2D6C"/>
    <w:rsid w:val="1759006A"/>
    <w:rsid w:val="175B58E8"/>
    <w:rsid w:val="17880E5B"/>
    <w:rsid w:val="178D1819"/>
    <w:rsid w:val="17C70888"/>
    <w:rsid w:val="17E27FC0"/>
    <w:rsid w:val="17F92A0B"/>
    <w:rsid w:val="18055854"/>
    <w:rsid w:val="183F0D66"/>
    <w:rsid w:val="18550589"/>
    <w:rsid w:val="18563119"/>
    <w:rsid w:val="187032DB"/>
    <w:rsid w:val="18754787"/>
    <w:rsid w:val="187622AE"/>
    <w:rsid w:val="18770500"/>
    <w:rsid w:val="1899622A"/>
    <w:rsid w:val="18A05DC5"/>
    <w:rsid w:val="18BF4EE5"/>
    <w:rsid w:val="18D6100E"/>
    <w:rsid w:val="18D72D4C"/>
    <w:rsid w:val="18EF4B43"/>
    <w:rsid w:val="18FE29CF"/>
    <w:rsid w:val="190B50EC"/>
    <w:rsid w:val="191952E8"/>
    <w:rsid w:val="19212219"/>
    <w:rsid w:val="193A152D"/>
    <w:rsid w:val="19434886"/>
    <w:rsid w:val="19570331"/>
    <w:rsid w:val="195C76F5"/>
    <w:rsid w:val="19A75624"/>
    <w:rsid w:val="19A90B8D"/>
    <w:rsid w:val="19B25A82"/>
    <w:rsid w:val="19CC03D7"/>
    <w:rsid w:val="19DD0836"/>
    <w:rsid w:val="19E55D8E"/>
    <w:rsid w:val="1A0C111B"/>
    <w:rsid w:val="1A143B2C"/>
    <w:rsid w:val="1A4A39F2"/>
    <w:rsid w:val="1A527000"/>
    <w:rsid w:val="1A5B79AD"/>
    <w:rsid w:val="1A665D54"/>
    <w:rsid w:val="1A8962C8"/>
    <w:rsid w:val="1A9C1259"/>
    <w:rsid w:val="1A9D1D74"/>
    <w:rsid w:val="1A9F1B91"/>
    <w:rsid w:val="1A9F5AEC"/>
    <w:rsid w:val="1AAC1FB7"/>
    <w:rsid w:val="1AAC66D5"/>
    <w:rsid w:val="1AAD645B"/>
    <w:rsid w:val="1AC13CB4"/>
    <w:rsid w:val="1ACF1CC9"/>
    <w:rsid w:val="1AE87493"/>
    <w:rsid w:val="1AF000F5"/>
    <w:rsid w:val="1AF35E37"/>
    <w:rsid w:val="1B063DBD"/>
    <w:rsid w:val="1B065B6B"/>
    <w:rsid w:val="1B093568"/>
    <w:rsid w:val="1B1262BE"/>
    <w:rsid w:val="1B19589E"/>
    <w:rsid w:val="1B1E770C"/>
    <w:rsid w:val="1B375D24"/>
    <w:rsid w:val="1B3B1CB8"/>
    <w:rsid w:val="1B572A50"/>
    <w:rsid w:val="1B6F7643"/>
    <w:rsid w:val="1B760182"/>
    <w:rsid w:val="1B882A24"/>
    <w:rsid w:val="1B8F3DB2"/>
    <w:rsid w:val="1BB479C4"/>
    <w:rsid w:val="1C0E3947"/>
    <w:rsid w:val="1C1461AC"/>
    <w:rsid w:val="1C1A594D"/>
    <w:rsid w:val="1C4F60A6"/>
    <w:rsid w:val="1C556DAA"/>
    <w:rsid w:val="1C962692"/>
    <w:rsid w:val="1C96375A"/>
    <w:rsid w:val="1C9D0939"/>
    <w:rsid w:val="1CA378E0"/>
    <w:rsid w:val="1CD852E5"/>
    <w:rsid w:val="1CDD3A49"/>
    <w:rsid w:val="1CE27F12"/>
    <w:rsid w:val="1CEA414D"/>
    <w:rsid w:val="1CEB5018"/>
    <w:rsid w:val="1CEB7241"/>
    <w:rsid w:val="1CF1538A"/>
    <w:rsid w:val="1CFD6630"/>
    <w:rsid w:val="1D0600A4"/>
    <w:rsid w:val="1D1578C6"/>
    <w:rsid w:val="1D1C73F6"/>
    <w:rsid w:val="1D5232E9"/>
    <w:rsid w:val="1D5803D0"/>
    <w:rsid w:val="1D5C5F16"/>
    <w:rsid w:val="1D6152DA"/>
    <w:rsid w:val="1D8049DC"/>
    <w:rsid w:val="1D9C4564"/>
    <w:rsid w:val="1D9D5F4E"/>
    <w:rsid w:val="1D9E208B"/>
    <w:rsid w:val="1DC1221D"/>
    <w:rsid w:val="1DC31AF1"/>
    <w:rsid w:val="1DDE3571"/>
    <w:rsid w:val="1DF83E91"/>
    <w:rsid w:val="1DFC5003"/>
    <w:rsid w:val="1E067C30"/>
    <w:rsid w:val="1E0C0A25"/>
    <w:rsid w:val="1E1359D3"/>
    <w:rsid w:val="1E14059F"/>
    <w:rsid w:val="1E1F6BB6"/>
    <w:rsid w:val="1E221350"/>
    <w:rsid w:val="1E25455A"/>
    <w:rsid w:val="1E266884"/>
    <w:rsid w:val="1E37428D"/>
    <w:rsid w:val="1E5D565C"/>
    <w:rsid w:val="1E605592"/>
    <w:rsid w:val="1E62130A"/>
    <w:rsid w:val="1E6C4DFA"/>
    <w:rsid w:val="1E9B481C"/>
    <w:rsid w:val="1EA449B1"/>
    <w:rsid w:val="1EBA7398"/>
    <w:rsid w:val="1EBB6C6C"/>
    <w:rsid w:val="1EBC2A84"/>
    <w:rsid w:val="1EC055CA"/>
    <w:rsid w:val="1ED57D2E"/>
    <w:rsid w:val="1F163F3F"/>
    <w:rsid w:val="1F18000E"/>
    <w:rsid w:val="1F282554"/>
    <w:rsid w:val="1F383560"/>
    <w:rsid w:val="1F42113B"/>
    <w:rsid w:val="1F58270D"/>
    <w:rsid w:val="1F5937C6"/>
    <w:rsid w:val="1F617814"/>
    <w:rsid w:val="1F6427B1"/>
    <w:rsid w:val="1F691D3E"/>
    <w:rsid w:val="1F6925C1"/>
    <w:rsid w:val="1F752B76"/>
    <w:rsid w:val="1F9574BD"/>
    <w:rsid w:val="1F9E7D9D"/>
    <w:rsid w:val="1FA3607E"/>
    <w:rsid w:val="1FA6737F"/>
    <w:rsid w:val="1FB52896"/>
    <w:rsid w:val="1FBC7140"/>
    <w:rsid w:val="1FC12569"/>
    <w:rsid w:val="1FCF54B9"/>
    <w:rsid w:val="1FF12436"/>
    <w:rsid w:val="201203B8"/>
    <w:rsid w:val="201523AC"/>
    <w:rsid w:val="201F799D"/>
    <w:rsid w:val="204C2272"/>
    <w:rsid w:val="20515ADA"/>
    <w:rsid w:val="20557672"/>
    <w:rsid w:val="206D7CFF"/>
    <w:rsid w:val="20823B9E"/>
    <w:rsid w:val="208F6602"/>
    <w:rsid w:val="20A3299E"/>
    <w:rsid w:val="20B750EA"/>
    <w:rsid w:val="20E34258"/>
    <w:rsid w:val="20FB77F4"/>
    <w:rsid w:val="20FF72E4"/>
    <w:rsid w:val="21115269"/>
    <w:rsid w:val="211F1734"/>
    <w:rsid w:val="212746B8"/>
    <w:rsid w:val="2138529D"/>
    <w:rsid w:val="21442F49"/>
    <w:rsid w:val="214B7880"/>
    <w:rsid w:val="214D4265"/>
    <w:rsid w:val="214E3DC8"/>
    <w:rsid w:val="217A1EA3"/>
    <w:rsid w:val="21843817"/>
    <w:rsid w:val="218872DA"/>
    <w:rsid w:val="219A0DBB"/>
    <w:rsid w:val="21A8172A"/>
    <w:rsid w:val="21CD1190"/>
    <w:rsid w:val="21D0113C"/>
    <w:rsid w:val="21D267A7"/>
    <w:rsid w:val="21D3730A"/>
    <w:rsid w:val="21D50340"/>
    <w:rsid w:val="21D62C50"/>
    <w:rsid w:val="21FE134A"/>
    <w:rsid w:val="22023065"/>
    <w:rsid w:val="22124DF5"/>
    <w:rsid w:val="221E17DE"/>
    <w:rsid w:val="221F7512"/>
    <w:rsid w:val="2230171F"/>
    <w:rsid w:val="2235500A"/>
    <w:rsid w:val="223C2086"/>
    <w:rsid w:val="22544EFC"/>
    <w:rsid w:val="228D26CE"/>
    <w:rsid w:val="229413DF"/>
    <w:rsid w:val="22AF6AE8"/>
    <w:rsid w:val="22CE51C0"/>
    <w:rsid w:val="22D62B80"/>
    <w:rsid w:val="22D7265F"/>
    <w:rsid w:val="22ED777C"/>
    <w:rsid w:val="22F015DA"/>
    <w:rsid w:val="22F557AC"/>
    <w:rsid w:val="22F8223D"/>
    <w:rsid w:val="22FF3535"/>
    <w:rsid w:val="23212A2B"/>
    <w:rsid w:val="233479B6"/>
    <w:rsid w:val="23387465"/>
    <w:rsid w:val="233D40F4"/>
    <w:rsid w:val="233D5C14"/>
    <w:rsid w:val="23621DAC"/>
    <w:rsid w:val="23754D76"/>
    <w:rsid w:val="237D2742"/>
    <w:rsid w:val="23902475"/>
    <w:rsid w:val="239A6C76"/>
    <w:rsid w:val="23BC326A"/>
    <w:rsid w:val="23E9602A"/>
    <w:rsid w:val="23EF1892"/>
    <w:rsid w:val="23F46EA8"/>
    <w:rsid w:val="24053736"/>
    <w:rsid w:val="240F3CE2"/>
    <w:rsid w:val="241906BD"/>
    <w:rsid w:val="2423778D"/>
    <w:rsid w:val="243261AE"/>
    <w:rsid w:val="24350515"/>
    <w:rsid w:val="24431BDE"/>
    <w:rsid w:val="24545B99"/>
    <w:rsid w:val="245513DF"/>
    <w:rsid w:val="245973D0"/>
    <w:rsid w:val="246102B6"/>
    <w:rsid w:val="24730620"/>
    <w:rsid w:val="247507F8"/>
    <w:rsid w:val="249935AC"/>
    <w:rsid w:val="24AB32DF"/>
    <w:rsid w:val="24B14D99"/>
    <w:rsid w:val="24B82363"/>
    <w:rsid w:val="24BB3FBB"/>
    <w:rsid w:val="24C11276"/>
    <w:rsid w:val="25002214"/>
    <w:rsid w:val="250F1CF5"/>
    <w:rsid w:val="252217F3"/>
    <w:rsid w:val="252C0A49"/>
    <w:rsid w:val="25315EDA"/>
    <w:rsid w:val="254362AF"/>
    <w:rsid w:val="255D0A7D"/>
    <w:rsid w:val="25706A02"/>
    <w:rsid w:val="2573204F"/>
    <w:rsid w:val="258A45EF"/>
    <w:rsid w:val="25902DB7"/>
    <w:rsid w:val="25983863"/>
    <w:rsid w:val="25A033C0"/>
    <w:rsid w:val="25AD09D1"/>
    <w:rsid w:val="25E1520A"/>
    <w:rsid w:val="25FF2CBA"/>
    <w:rsid w:val="26094761"/>
    <w:rsid w:val="26203011"/>
    <w:rsid w:val="26217CFD"/>
    <w:rsid w:val="26357304"/>
    <w:rsid w:val="263E440B"/>
    <w:rsid w:val="265861F5"/>
    <w:rsid w:val="266100F9"/>
    <w:rsid w:val="268A7650"/>
    <w:rsid w:val="2692420B"/>
    <w:rsid w:val="26924756"/>
    <w:rsid w:val="26961EDB"/>
    <w:rsid w:val="26986C56"/>
    <w:rsid w:val="26A12BEB"/>
    <w:rsid w:val="26B571AF"/>
    <w:rsid w:val="26B7240F"/>
    <w:rsid w:val="26B741BD"/>
    <w:rsid w:val="26BB5A5B"/>
    <w:rsid w:val="26DD00C8"/>
    <w:rsid w:val="26DE5BEE"/>
    <w:rsid w:val="26DF753D"/>
    <w:rsid w:val="26E52AD8"/>
    <w:rsid w:val="2714160F"/>
    <w:rsid w:val="271C2272"/>
    <w:rsid w:val="27225ADA"/>
    <w:rsid w:val="272B3A6B"/>
    <w:rsid w:val="27316220"/>
    <w:rsid w:val="27337CE7"/>
    <w:rsid w:val="2734580E"/>
    <w:rsid w:val="273477E1"/>
    <w:rsid w:val="27457610"/>
    <w:rsid w:val="274C2B57"/>
    <w:rsid w:val="27541561"/>
    <w:rsid w:val="27541717"/>
    <w:rsid w:val="275A2614"/>
    <w:rsid w:val="27730F0E"/>
    <w:rsid w:val="278247CB"/>
    <w:rsid w:val="278E4F1E"/>
    <w:rsid w:val="27906EE8"/>
    <w:rsid w:val="279664C8"/>
    <w:rsid w:val="279E140F"/>
    <w:rsid w:val="27A504B9"/>
    <w:rsid w:val="27A612D3"/>
    <w:rsid w:val="27B03573"/>
    <w:rsid w:val="27B801ED"/>
    <w:rsid w:val="27C70430"/>
    <w:rsid w:val="27D33279"/>
    <w:rsid w:val="27D843EB"/>
    <w:rsid w:val="27EB4D1A"/>
    <w:rsid w:val="280D678A"/>
    <w:rsid w:val="28263650"/>
    <w:rsid w:val="28304227"/>
    <w:rsid w:val="28341F69"/>
    <w:rsid w:val="283755B5"/>
    <w:rsid w:val="283830DC"/>
    <w:rsid w:val="285B2715"/>
    <w:rsid w:val="289528A1"/>
    <w:rsid w:val="28976054"/>
    <w:rsid w:val="2897693C"/>
    <w:rsid w:val="28A76D6D"/>
    <w:rsid w:val="28AA3FD9"/>
    <w:rsid w:val="28AC5FA3"/>
    <w:rsid w:val="28B05368"/>
    <w:rsid w:val="28DB6370"/>
    <w:rsid w:val="28F506B3"/>
    <w:rsid w:val="28F96D0F"/>
    <w:rsid w:val="293146FB"/>
    <w:rsid w:val="2939710B"/>
    <w:rsid w:val="29430898"/>
    <w:rsid w:val="294C5FC6"/>
    <w:rsid w:val="295B4171"/>
    <w:rsid w:val="299771A7"/>
    <w:rsid w:val="29A053DC"/>
    <w:rsid w:val="29A547A1"/>
    <w:rsid w:val="29BA1263"/>
    <w:rsid w:val="29C87B29"/>
    <w:rsid w:val="29D76564"/>
    <w:rsid w:val="29E028C3"/>
    <w:rsid w:val="29FE00BA"/>
    <w:rsid w:val="2A050C55"/>
    <w:rsid w:val="2A3049B2"/>
    <w:rsid w:val="2A3344D9"/>
    <w:rsid w:val="2A376DB0"/>
    <w:rsid w:val="2A3B6E4A"/>
    <w:rsid w:val="2A3D0E7D"/>
    <w:rsid w:val="2A4C4377"/>
    <w:rsid w:val="2A52191B"/>
    <w:rsid w:val="2A5266D7"/>
    <w:rsid w:val="2A790107"/>
    <w:rsid w:val="2A7A5C2D"/>
    <w:rsid w:val="2AD254D3"/>
    <w:rsid w:val="2AD43590"/>
    <w:rsid w:val="2B011EAB"/>
    <w:rsid w:val="2B117F3D"/>
    <w:rsid w:val="2B1B2F6C"/>
    <w:rsid w:val="2B1E480B"/>
    <w:rsid w:val="2B350611"/>
    <w:rsid w:val="2B456FC2"/>
    <w:rsid w:val="2B473D61"/>
    <w:rsid w:val="2B522706"/>
    <w:rsid w:val="2B8054C5"/>
    <w:rsid w:val="2B822FEC"/>
    <w:rsid w:val="2B852ADC"/>
    <w:rsid w:val="2B863EAA"/>
    <w:rsid w:val="2BC253C7"/>
    <w:rsid w:val="2BCC4267"/>
    <w:rsid w:val="2BD57E86"/>
    <w:rsid w:val="2BF043F9"/>
    <w:rsid w:val="2C077995"/>
    <w:rsid w:val="2C22657D"/>
    <w:rsid w:val="2C2916B9"/>
    <w:rsid w:val="2C3C5845"/>
    <w:rsid w:val="2C4446B7"/>
    <w:rsid w:val="2C55425C"/>
    <w:rsid w:val="2C602C01"/>
    <w:rsid w:val="2C61314B"/>
    <w:rsid w:val="2CC43190"/>
    <w:rsid w:val="2CC66F08"/>
    <w:rsid w:val="2CCF1FA2"/>
    <w:rsid w:val="2CD45AC9"/>
    <w:rsid w:val="2CDA29B3"/>
    <w:rsid w:val="2CEF2903"/>
    <w:rsid w:val="2D06199A"/>
    <w:rsid w:val="2D33789C"/>
    <w:rsid w:val="2D360531"/>
    <w:rsid w:val="2D454806"/>
    <w:rsid w:val="2D5917A3"/>
    <w:rsid w:val="2D6D52B1"/>
    <w:rsid w:val="2D7B7CF2"/>
    <w:rsid w:val="2D820AF5"/>
    <w:rsid w:val="2D8D3ECA"/>
    <w:rsid w:val="2D912624"/>
    <w:rsid w:val="2D9B2143"/>
    <w:rsid w:val="2DA60F3A"/>
    <w:rsid w:val="2DB90642"/>
    <w:rsid w:val="2DCA0E43"/>
    <w:rsid w:val="2DFE26D1"/>
    <w:rsid w:val="2E150147"/>
    <w:rsid w:val="2E586286"/>
    <w:rsid w:val="2E6A2D37"/>
    <w:rsid w:val="2E9313CD"/>
    <w:rsid w:val="2ED60E9D"/>
    <w:rsid w:val="2EED4AA2"/>
    <w:rsid w:val="2EF968D3"/>
    <w:rsid w:val="2EFF2EDF"/>
    <w:rsid w:val="2F2B74F6"/>
    <w:rsid w:val="2F300FB0"/>
    <w:rsid w:val="2F320885"/>
    <w:rsid w:val="2F3955ED"/>
    <w:rsid w:val="2F4F651E"/>
    <w:rsid w:val="2F503401"/>
    <w:rsid w:val="2F7075FF"/>
    <w:rsid w:val="2F7F05A9"/>
    <w:rsid w:val="2F84156C"/>
    <w:rsid w:val="2F9719B6"/>
    <w:rsid w:val="2FC07BC7"/>
    <w:rsid w:val="2FC811E9"/>
    <w:rsid w:val="2FC82380"/>
    <w:rsid w:val="2FCA01A6"/>
    <w:rsid w:val="2FD858D0"/>
    <w:rsid w:val="2FEE50F3"/>
    <w:rsid w:val="30000983"/>
    <w:rsid w:val="300A1801"/>
    <w:rsid w:val="300D096E"/>
    <w:rsid w:val="301B57BD"/>
    <w:rsid w:val="303643A5"/>
    <w:rsid w:val="303845C1"/>
    <w:rsid w:val="305F38FB"/>
    <w:rsid w:val="307750E9"/>
    <w:rsid w:val="3080744B"/>
    <w:rsid w:val="309335A5"/>
    <w:rsid w:val="309C1A0D"/>
    <w:rsid w:val="30BF6D3D"/>
    <w:rsid w:val="30C40B4C"/>
    <w:rsid w:val="30DC3511"/>
    <w:rsid w:val="30DF67EA"/>
    <w:rsid w:val="30F57DBC"/>
    <w:rsid w:val="30F85AFE"/>
    <w:rsid w:val="3104653D"/>
    <w:rsid w:val="310B7270"/>
    <w:rsid w:val="3111714B"/>
    <w:rsid w:val="3112096E"/>
    <w:rsid w:val="3163741B"/>
    <w:rsid w:val="317C672F"/>
    <w:rsid w:val="31921AAF"/>
    <w:rsid w:val="31C0486E"/>
    <w:rsid w:val="31CF2D03"/>
    <w:rsid w:val="31E061A0"/>
    <w:rsid w:val="31FE0EF2"/>
    <w:rsid w:val="32075FF9"/>
    <w:rsid w:val="32087FC3"/>
    <w:rsid w:val="320F1351"/>
    <w:rsid w:val="321062F8"/>
    <w:rsid w:val="3212499D"/>
    <w:rsid w:val="32134D79"/>
    <w:rsid w:val="3227669B"/>
    <w:rsid w:val="322B7019"/>
    <w:rsid w:val="322F72FD"/>
    <w:rsid w:val="324834A8"/>
    <w:rsid w:val="32524DDC"/>
    <w:rsid w:val="325E7BE3"/>
    <w:rsid w:val="32682799"/>
    <w:rsid w:val="32794A1C"/>
    <w:rsid w:val="328559D5"/>
    <w:rsid w:val="32930874"/>
    <w:rsid w:val="32CC7242"/>
    <w:rsid w:val="32D44DD2"/>
    <w:rsid w:val="32E75E2A"/>
    <w:rsid w:val="32E77BD8"/>
    <w:rsid w:val="32EB4D9D"/>
    <w:rsid w:val="33254D78"/>
    <w:rsid w:val="3328091C"/>
    <w:rsid w:val="333948D8"/>
    <w:rsid w:val="33466FF4"/>
    <w:rsid w:val="33596290"/>
    <w:rsid w:val="337551E4"/>
    <w:rsid w:val="338E797F"/>
    <w:rsid w:val="33AA6EEC"/>
    <w:rsid w:val="33AC3853"/>
    <w:rsid w:val="33B72DF3"/>
    <w:rsid w:val="33BC38D3"/>
    <w:rsid w:val="33C341A1"/>
    <w:rsid w:val="33D47D4F"/>
    <w:rsid w:val="33DE722D"/>
    <w:rsid w:val="33E050FA"/>
    <w:rsid w:val="33F71FCF"/>
    <w:rsid w:val="33F74632"/>
    <w:rsid w:val="340D366E"/>
    <w:rsid w:val="343839A6"/>
    <w:rsid w:val="34496D9C"/>
    <w:rsid w:val="34692F9B"/>
    <w:rsid w:val="34700E47"/>
    <w:rsid w:val="347F27BE"/>
    <w:rsid w:val="34945B3E"/>
    <w:rsid w:val="34AE28E6"/>
    <w:rsid w:val="34AF417E"/>
    <w:rsid w:val="34DA5C46"/>
    <w:rsid w:val="34DC2B26"/>
    <w:rsid w:val="34F154FC"/>
    <w:rsid w:val="35014B10"/>
    <w:rsid w:val="3518051D"/>
    <w:rsid w:val="355552CD"/>
    <w:rsid w:val="35577297"/>
    <w:rsid w:val="356309A6"/>
    <w:rsid w:val="35634984"/>
    <w:rsid w:val="357240D1"/>
    <w:rsid w:val="357A11D7"/>
    <w:rsid w:val="357E2A76"/>
    <w:rsid w:val="357F7859"/>
    <w:rsid w:val="35BE7DBB"/>
    <w:rsid w:val="35F5229C"/>
    <w:rsid w:val="36080591"/>
    <w:rsid w:val="360C24AB"/>
    <w:rsid w:val="36121410"/>
    <w:rsid w:val="364D2448"/>
    <w:rsid w:val="3660217B"/>
    <w:rsid w:val="366A4DA8"/>
    <w:rsid w:val="36853990"/>
    <w:rsid w:val="368C4D1E"/>
    <w:rsid w:val="369938DF"/>
    <w:rsid w:val="369B3199"/>
    <w:rsid w:val="36AC3612"/>
    <w:rsid w:val="36B03898"/>
    <w:rsid w:val="36B32A6C"/>
    <w:rsid w:val="36B6208C"/>
    <w:rsid w:val="36B85B13"/>
    <w:rsid w:val="36BA09DA"/>
    <w:rsid w:val="36D84407"/>
    <w:rsid w:val="36EE59D9"/>
    <w:rsid w:val="36EF585E"/>
    <w:rsid w:val="36FF7BE6"/>
    <w:rsid w:val="372413FB"/>
    <w:rsid w:val="37321D6A"/>
    <w:rsid w:val="37364124"/>
    <w:rsid w:val="37655199"/>
    <w:rsid w:val="378E09D7"/>
    <w:rsid w:val="37977E1F"/>
    <w:rsid w:val="37B564F7"/>
    <w:rsid w:val="37CF65F0"/>
    <w:rsid w:val="37F52D97"/>
    <w:rsid w:val="38160281"/>
    <w:rsid w:val="382B0567"/>
    <w:rsid w:val="382E3037"/>
    <w:rsid w:val="382E3A24"/>
    <w:rsid w:val="385201EA"/>
    <w:rsid w:val="388A34DF"/>
    <w:rsid w:val="38A50319"/>
    <w:rsid w:val="38B61EB7"/>
    <w:rsid w:val="38BB5D8F"/>
    <w:rsid w:val="38BD5663"/>
    <w:rsid w:val="38C76FD4"/>
    <w:rsid w:val="38CE5AC2"/>
    <w:rsid w:val="38E726E0"/>
    <w:rsid w:val="38FB618B"/>
    <w:rsid w:val="390A4620"/>
    <w:rsid w:val="390C2146"/>
    <w:rsid w:val="39241B86"/>
    <w:rsid w:val="392E47B3"/>
    <w:rsid w:val="393E2286"/>
    <w:rsid w:val="393F251C"/>
    <w:rsid w:val="3958538C"/>
    <w:rsid w:val="396E4BAF"/>
    <w:rsid w:val="397B72CC"/>
    <w:rsid w:val="39981C2C"/>
    <w:rsid w:val="39A22AAB"/>
    <w:rsid w:val="39AE6D96"/>
    <w:rsid w:val="39B27192"/>
    <w:rsid w:val="39C70C72"/>
    <w:rsid w:val="39D32C64"/>
    <w:rsid w:val="39DF3494"/>
    <w:rsid w:val="39ED1E87"/>
    <w:rsid w:val="39FF3A59"/>
    <w:rsid w:val="3A233BEC"/>
    <w:rsid w:val="3A286675"/>
    <w:rsid w:val="3A3B7187"/>
    <w:rsid w:val="3A4122C4"/>
    <w:rsid w:val="3A52517E"/>
    <w:rsid w:val="3A766411"/>
    <w:rsid w:val="3A93184D"/>
    <w:rsid w:val="3A997B93"/>
    <w:rsid w:val="3AA1137B"/>
    <w:rsid w:val="3AB5795C"/>
    <w:rsid w:val="3AC56A51"/>
    <w:rsid w:val="3ACE7FFB"/>
    <w:rsid w:val="3AD153F6"/>
    <w:rsid w:val="3AEC48A1"/>
    <w:rsid w:val="3AEF7F72"/>
    <w:rsid w:val="3AF03C57"/>
    <w:rsid w:val="3AF17846"/>
    <w:rsid w:val="3B037579"/>
    <w:rsid w:val="3B12079A"/>
    <w:rsid w:val="3B256D1A"/>
    <w:rsid w:val="3B392F9B"/>
    <w:rsid w:val="3B3F4A55"/>
    <w:rsid w:val="3B7346FF"/>
    <w:rsid w:val="3B7F49DE"/>
    <w:rsid w:val="3B800B35"/>
    <w:rsid w:val="3B892174"/>
    <w:rsid w:val="3B8B1A48"/>
    <w:rsid w:val="3BB865B6"/>
    <w:rsid w:val="3BD540B7"/>
    <w:rsid w:val="3BDF1D94"/>
    <w:rsid w:val="3BDF77D2"/>
    <w:rsid w:val="3BEE1FD7"/>
    <w:rsid w:val="3C067E6D"/>
    <w:rsid w:val="3C0C59EA"/>
    <w:rsid w:val="3C260672"/>
    <w:rsid w:val="3C30439E"/>
    <w:rsid w:val="3C460ABF"/>
    <w:rsid w:val="3C4B391A"/>
    <w:rsid w:val="3C504A40"/>
    <w:rsid w:val="3C530DD9"/>
    <w:rsid w:val="3C6B1169"/>
    <w:rsid w:val="3C6B187A"/>
    <w:rsid w:val="3C7A1ABD"/>
    <w:rsid w:val="3C8C0DEF"/>
    <w:rsid w:val="3C9A5CBB"/>
    <w:rsid w:val="3CA628B2"/>
    <w:rsid w:val="3CA95D53"/>
    <w:rsid w:val="3CB90837"/>
    <w:rsid w:val="3CBA010B"/>
    <w:rsid w:val="3CBF5605"/>
    <w:rsid w:val="3CCE5088"/>
    <w:rsid w:val="3CD218F9"/>
    <w:rsid w:val="3CD63B18"/>
    <w:rsid w:val="3CE21B3C"/>
    <w:rsid w:val="3CED04E1"/>
    <w:rsid w:val="3CF278A5"/>
    <w:rsid w:val="3D1D51DD"/>
    <w:rsid w:val="3D251A29"/>
    <w:rsid w:val="3D2800DF"/>
    <w:rsid w:val="3D3A1978"/>
    <w:rsid w:val="3D3B124C"/>
    <w:rsid w:val="3D556BA9"/>
    <w:rsid w:val="3D695DB9"/>
    <w:rsid w:val="3D714C6E"/>
    <w:rsid w:val="3D7824A0"/>
    <w:rsid w:val="3D87623F"/>
    <w:rsid w:val="3D891FB8"/>
    <w:rsid w:val="3D913562"/>
    <w:rsid w:val="3DB207DC"/>
    <w:rsid w:val="3DBD4357"/>
    <w:rsid w:val="3DBF1263"/>
    <w:rsid w:val="3DFA2EB5"/>
    <w:rsid w:val="3E0930F8"/>
    <w:rsid w:val="3E0E070F"/>
    <w:rsid w:val="3E0E6961"/>
    <w:rsid w:val="3E1026D9"/>
    <w:rsid w:val="3E160FCF"/>
    <w:rsid w:val="3E1A1B29"/>
    <w:rsid w:val="3E2D5039"/>
    <w:rsid w:val="3E383286"/>
    <w:rsid w:val="3E3C527C"/>
    <w:rsid w:val="3E4B1963"/>
    <w:rsid w:val="3E530817"/>
    <w:rsid w:val="3E544D14"/>
    <w:rsid w:val="3E5500EC"/>
    <w:rsid w:val="3E6C40E4"/>
    <w:rsid w:val="3E6E11AD"/>
    <w:rsid w:val="3E722D1D"/>
    <w:rsid w:val="3E8E35FE"/>
    <w:rsid w:val="3EB968CD"/>
    <w:rsid w:val="3EC15781"/>
    <w:rsid w:val="3ED23E32"/>
    <w:rsid w:val="3EE17BD1"/>
    <w:rsid w:val="3EF45B57"/>
    <w:rsid w:val="3F03223E"/>
    <w:rsid w:val="3F0D6C18"/>
    <w:rsid w:val="3F135B87"/>
    <w:rsid w:val="3F2C743A"/>
    <w:rsid w:val="3F2F4DE1"/>
    <w:rsid w:val="3F43088C"/>
    <w:rsid w:val="3F463CE0"/>
    <w:rsid w:val="3F4A39C9"/>
    <w:rsid w:val="3F4F7231"/>
    <w:rsid w:val="3F60143E"/>
    <w:rsid w:val="3F602F82"/>
    <w:rsid w:val="3F7128AB"/>
    <w:rsid w:val="3F927CBD"/>
    <w:rsid w:val="3F934C4B"/>
    <w:rsid w:val="3F965ED3"/>
    <w:rsid w:val="3FA70E1B"/>
    <w:rsid w:val="3FAF475D"/>
    <w:rsid w:val="3FB3156E"/>
    <w:rsid w:val="3FB44FF5"/>
    <w:rsid w:val="3FBA548C"/>
    <w:rsid w:val="3FD245E7"/>
    <w:rsid w:val="3FDC10F7"/>
    <w:rsid w:val="3FEC2CD2"/>
    <w:rsid w:val="40112738"/>
    <w:rsid w:val="40490124"/>
    <w:rsid w:val="405014B2"/>
    <w:rsid w:val="40601FB0"/>
    <w:rsid w:val="40612BE2"/>
    <w:rsid w:val="40633332"/>
    <w:rsid w:val="40634AD7"/>
    <w:rsid w:val="406E3033"/>
    <w:rsid w:val="40860A30"/>
    <w:rsid w:val="40890521"/>
    <w:rsid w:val="408C735E"/>
    <w:rsid w:val="40B51316"/>
    <w:rsid w:val="40BA4B7E"/>
    <w:rsid w:val="40C160DA"/>
    <w:rsid w:val="40D20119"/>
    <w:rsid w:val="40D55514"/>
    <w:rsid w:val="40EA5463"/>
    <w:rsid w:val="41013A16"/>
    <w:rsid w:val="41306BEE"/>
    <w:rsid w:val="414A5F02"/>
    <w:rsid w:val="415428DD"/>
    <w:rsid w:val="41553EE0"/>
    <w:rsid w:val="41640DBF"/>
    <w:rsid w:val="41697E82"/>
    <w:rsid w:val="417C1E33"/>
    <w:rsid w:val="419378A9"/>
    <w:rsid w:val="41AE6491"/>
    <w:rsid w:val="41B33AA7"/>
    <w:rsid w:val="41C90FE3"/>
    <w:rsid w:val="41EF5C49"/>
    <w:rsid w:val="41FD11C6"/>
    <w:rsid w:val="420662CD"/>
    <w:rsid w:val="421F113C"/>
    <w:rsid w:val="422A188F"/>
    <w:rsid w:val="424C111A"/>
    <w:rsid w:val="42562684"/>
    <w:rsid w:val="425A2175"/>
    <w:rsid w:val="42703746"/>
    <w:rsid w:val="42731488"/>
    <w:rsid w:val="42734FE4"/>
    <w:rsid w:val="429A2FB4"/>
    <w:rsid w:val="43036368"/>
    <w:rsid w:val="43081BD1"/>
    <w:rsid w:val="43095949"/>
    <w:rsid w:val="431C742A"/>
    <w:rsid w:val="43282273"/>
    <w:rsid w:val="4330184D"/>
    <w:rsid w:val="43351583"/>
    <w:rsid w:val="433A5366"/>
    <w:rsid w:val="4348021F"/>
    <w:rsid w:val="43517A07"/>
    <w:rsid w:val="43543068"/>
    <w:rsid w:val="4364538A"/>
    <w:rsid w:val="4366373F"/>
    <w:rsid w:val="436C03B1"/>
    <w:rsid w:val="43904295"/>
    <w:rsid w:val="43B753A5"/>
    <w:rsid w:val="43BF2BFE"/>
    <w:rsid w:val="43CE261E"/>
    <w:rsid w:val="44047066"/>
    <w:rsid w:val="44055D98"/>
    <w:rsid w:val="44071E88"/>
    <w:rsid w:val="444255B6"/>
    <w:rsid w:val="4447497A"/>
    <w:rsid w:val="4450382F"/>
    <w:rsid w:val="445F5D81"/>
    <w:rsid w:val="44670B79"/>
    <w:rsid w:val="446B00EB"/>
    <w:rsid w:val="4488746D"/>
    <w:rsid w:val="44A57A74"/>
    <w:rsid w:val="44B738AE"/>
    <w:rsid w:val="44C834BD"/>
    <w:rsid w:val="44CB1108"/>
    <w:rsid w:val="44D37FBC"/>
    <w:rsid w:val="44D42A00"/>
    <w:rsid w:val="44D75CFE"/>
    <w:rsid w:val="44D93DC8"/>
    <w:rsid w:val="44DF4BB3"/>
    <w:rsid w:val="44F00B6E"/>
    <w:rsid w:val="44F10DC2"/>
    <w:rsid w:val="44FA4601"/>
    <w:rsid w:val="451364FD"/>
    <w:rsid w:val="451E1B7F"/>
    <w:rsid w:val="45316114"/>
    <w:rsid w:val="45435142"/>
    <w:rsid w:val="455B621C"/>
    <w:rsid w:val="45682DFA"/>
    <w:rsid w:val="45812B1B"/>
    <w:rsid w:val="45813EBC"/>
    <w:rsid w:val="45A81449"/>
    <w:rsid w:val="45C269AF"/>
    <w:rsid w:val="46213432"/>
    <w:rsid w:val="46230C36"/>
    <w:rsid w:val="46274A64"/>
    <w:rsid w:val="463354F7"/>
    <w:rsid w:val="463902F3"/>
    <w:rsid w:val="463C0B6C"/>
    <w:rsid w:val="46405B25"/>
    <w:rsid w:val="46476EB4"/>
    <w:rsid w:val="465453ED"/>
    <w:rsid w:val="46580867"/>
    <w:rsid w:val="465957BB"/>
    <w:rsid w:val="466C2476"/>
    <w:rsid w:val="467150EA"/>
    <w:rsid w:val="467E2D81"/>
    <w:rsid w:val="468034B7"/>
    <w:rsid w:val="46820C35"/>
    <w:rsid w:val="46841EB6"/>
    <w:rsid w:val="46A936CA"/>
    <w:rsid w:val="46C36358"/>
    <w:rsid w:val="46D35C78"/>
    <w:rsid w:val="46D81E2A"/>
    <w:rsid w:val="46F268E7"/>
    <w:rsid w:val="470041B9"/>
    <w:rsid w:val="470628CB"/>
    <w:rsid w:val="4709011B"/>
    <w:rsid w:val="4723522B"/>
    <w:rsid w:val="472B20C2"/>
    <w:rsid w:val="47356F09"/>
    <w:rsid w:val="47376F28"/>
    <w:rsid w:val="474521DF"/>
    <w:rsid w:val="47460F19"/>
    <w:rsid w:val="47482EE3"/>
    <w:rsid w:val="474D4056"/>
    <w:rsid w:val="475A6773"/>
    <w:rsid w:val="47631ACB"/>
    <w:rsid w:val="476E69C7"/>
    <w:rsid w:val="478A7058"/>
    <w:rsid w:val="47966329"/>
    <w:rsid w:val="479E48B1"/>
    <w:rsid w:val="47B440D5"/>
    <w:rsid w:val="47C167F2"/>
    <w:rsid w:val="47E726FC"/>
    <w:rsid w:val="47F646ED"/>
    <w:rsid w:val="48044449"/>
    <w:rsid w:val="48124167"/>
    <w:rsid w:val="48203C89"/>
    <w:rsid w:val="482F7BFF"/>
    <w:rsid w:val="483D5D0C"/>
    <w:rsid w:val="484336AB"/>
    <w:rsid w:val="485C38F6"/>
    <w:rsid w:val="486364D5"/>
    <w:rsid w:val="488841DB"/>
    <w:rsid w:val="489D2DBB"/>
    <w:rsid w:val="48A028AB"/>
    <w:rsid w:val="48CA6254"/>
    <w:rsid w:val="48D2515B"/>
    <w:rsid w:val="48F21359"/>
    <w:rsid w:val="48F350D1"/>
    <w:rsid w:val="48FD7A74"/>
    <w:rsid w:val="49061806"/>
    <w:rsid w:val="49250430"/>
    <w:rsid w:val="493216DB"/>
    <w:rsid w:val="494024AD"/>
    <w:rsid w:val="494B6CBB"/>
    <w:rsid w:val="495D082D"/>
    <w:rsid w:val="496438D9"/>
    <w:rsid w:val="496E4757"/>
    <w:rsid w:val="49765A93"/>
    <w:rsid w:val="49853A41"/>
    <w:rsid w:val="498A6791"/>
    <w:rsid w:val="49C76797"/>
    <w:rsid w:val="49CC7DFC"/>
    <w:rsid w:val="49D21641"/>
    <w:rsid w:val="49D21B62"/>
    <w:rsid w:val="49DF3E3C"/>
    <w:rsid w:val="49E8454E"/>
    <w:rsid w:val="49E9307C"/>
    <w:rsid w:val="4A116ED5"/>
    <w:rsid w:val="4A301A0D"/>
    <w:rsid w:val="4A54747B"/>
    <w:rsid w:val="4A62250E"/>
    <w:rsid w:val="4A69564B"/>
    <w:rsid w:val="4A783AE0"/>
    <w:rsid w:val="4A8F2BD7"/>
    <w:rsid w:val="4A9B157C"/>
    <w:rsid w:val="4A9D399A"/>
    <w:rsid w:val="4ADC122D"/>
    <w:rsid w:val="4AF76490"/>
    <w:rsid w:val="4AFD2237"/>
    <w:rsid w:val="4AFD64DC"/>
    <w:rsid w:val="4B157580"/>
    <w:rsid w:val="4B1A06F3"/>
    <w:rsid w:val="4B2477C4"/>
    <w:rsid w:val="4B29302C"/>
    <w:rsid w:val="4B5D4A84"/>
    <w:rsid w:val="4B906C07"/>
    <w:rsid w:val="4BA341CB"/>
    <w:rsid w:val="4BAD3B9E"/>
    <w:rsid w:val="4BC43A57"/>
    <w:rsid w:val="4BE40D01"/>
    <w:rsid w:val="4BE5612F"/>
    <w:rsid w:val="4BE73050"/>
    <w:rsid w:val="4C035691"/>
    <w:rsid w:val="4C0373D9"/>
    <w:rsid w:val="4C1E1DB9"/>
    <w:rsid w:val="4C2C4B82"/>
    <w:rsid w:val="4C3E6663"/>
    <w:rsid w:val="4C4F6AC2"/>
    <w:rsid w:val="4C5C4D3B"/>
    <w:rsid w:val="4C7C718B"/>
    <w:rsid w:val="4C8D406D"/>
    <w:rsid w:val="4C9646F1"/>
    <w:rsid w:val="4C96654C"/>
    <w:rsid w:val="4CA23096"/>
    <w:rsid w:val="4CA35D08"/>
    <w:rsid w:val="4CB22BAD"/>
    <w:rsid w:val="4CC052CA"/>
    <w:rsid w:val="4CC56D84"/>
    <w:rsid w:val="4CC76658"/>
    <w:rsid w:val="4CDB0356"/>
    <w:rsid w:val="4CEA67EB"/>
    <w:rsid w:val="4CEA7E6E"/>
    <w:rsid w:val="4CEE1E37"/>
    <w:rsid w:val="4D036212"/>
    <w:rsid w:val="4D115B26"/>
    <w:rsid w:val="4D3B2BA3"/>
    <w:rsid w:val="4D553C64"/>
    <w:rsid w:val="4D5659DD"/>
    <w:rsid w:val="4D902EEE"/>
    <w:rsid w:val="4DA1635E"/>
    <w:rsid w:val="4DCB09D8"/>
    <w:rsid w:val="4DD51249"/>
    <w:rsid w:val="4DDC25D7"/>
    <w:rsid w:val="4DE61D60"/>
    <w:rsid w:val="4DED0341"/>
    <w:rsid w:val="4DF01BDF"/>
    <w:rsid w:val="4DF23BA9"/>
    <w:rsid w:val="4E00408D"/>
    <w:rsid w:val="4E157897"/>
    <w:rsid w:val="4E4011FA"/>
    <w:rsid w:val="4E6D2B88"/>
    <w:rsid w:val="4E897271"/>
    <w:rsid w:val="4E8C5DAC"/>
    <w:rsid w:val="4EB77C34"/>
    <w:rsid w:val="4EC15329"/>
    <w:rsid w:val="4EC60912"/>
    <w:rsid w:val="4ECA3BA4"/>
    <w:rsid w:val="4EFD2805"/>
    <w:rsid w:val="4F032AEC"/>
    <w:rsid w:val="4F0771E0"/>
    <w:rsid w:val="4F1638C7"/>
    <w:rsid w:val="4F237F3A"/>
    <w:rsid w:val="4F5F0DCA"/>
    <w:rsid w:val="4F7E438F"/>
    <w:rsid w:val="4F8847C5"/>
    <w:rsid w:val="4F897533"/>
    <w:rsid w:val="4FB76E58"/>
    <w:rsid w:val="4FD87D0C"/>
    <w:rsid w:val="4FDD1AD8"/>
    <w:rsid w:val="4FF5172F"/>
    <w:rsid w:val="50056699"/>
    <w:rsid w:val="501214E2"/>
    <w:rsid w:val="501F67AB"/>
    <w:rsid w:val="50235881"/>
    <w:rsid w:val="5052786E"/>
    <w:rsid w:val="50533A4F"/>
    <w:rsid w:val="50720FD1"/>
    <w:rsid w:val="50836D3A"/>
    <w:rsid w:val="50894F86"/>
    <w:rsid w:val="509251CF"/>
    <w:rsid w:val="50A849F3"/>
    <w:rsid w:val="50BB5B00"/>
    <w:rsid w:val="50C05939"/>
    <w:rsid w:val="50C07F8E"/>
    <w:rsid w:val="50D77D6D"/>
    <w:rsid w:val="50E023DF"/>
    <w:rsid w:val="512C1180"/>
    <w:rsid w:val="512F2A1E"/>
    <w:rsid w:val="5139564B"/>
    <w:rsid w:val="51502B40"/>
    <w:rsid w:val="51624BA2"/>
    <w:rsid w:val="516A3A56"/>
    <w:rsid w:val="517F7502"/>
    <w:rsid w:val="519E30D0"/>
    <w:rsid w:val="51A74CAA"/>
    <w:rsid w:val="51CE0489"/>
    <w:rsid w:val="51D05FAF"/>
    <w:rsid w:val="51D27F79"/>
    <w:rsid w:val="51D57A6A"/>
    <w:rsid w:val="51E63A25"/>
    <w:rsid w:val="51EB250A"/>
    <w:rsid w:val="51F15F26"/>
    <w:rsid w:val="51FE7C02"/>
    <w:rsid w:val="520143BB"/>
    <w:rsid w:val="520B5239"/>
    <w:rsid w:val="5212481A"/>
    <w:rsid w:val="5221680B"/>
    <w:rsid w:val="52383444"/>
    <w:rsid w:val="523A0111"/>
    <w:rsid w:val="52416B04"/>
    <w:rsid w:val="52666914"/>
    <w:rsid w:val="526B5CD8"/>
    <w:rsid w:val="52724B2C"/>
    <w:rsid w:val="527C1C93"/>
    <w:rsid w:val="528648C0"/>
    <w:rsid w:val="52920B25"/>
    <w:rsid w:val="52B70F1D"/>
    <w:rsid w:val="52BC623B"/>
    <w:rsid w:val="52C87073"/>
    <w:rsid w:val="52D970E6"/>
    <w:rsid w:val="52E53CDC"/>
    <w:rsid w:val="53043B0A"/>
    <w:rsid w:val="530A66FA"/>
    <w:rsid w:val="531719BC"/>
    <w:rsid w:val="532145E9"/>
    <w:rsid w:val="532D1275"/>
    <w:rsid w:val="532E3BC0"/>
    <w:rsid w:val="532F31A9"/>
    <w:rsid w:val="53373E0C"/>
    <w:rsid w:val="53536E98"/>
    <w:rsid w:val="53603363"/>
    <w:rsid w:val="537D5CC3"/>
    <w:rsid w:val="539D118F"/>
    <w:rsid w:val="53A25729"/>
    <w:rsid w:val="53B4545D"/>
    <w:rsid w:val="53BA7C4D"/>
    <w:rsid w:val="53BB080D"/>
    <w:rsid w:val="53BB4A3D"/>
    <w:rsid w:val="53CC27A6"/>
    <w:rsid w:val="53FE1D7E"/>
    <w:rsid w:val="5418076C"/>
    <w:rsid w:val="54224ABC"/>
    <w:rsid w:val="54520EFE"/>
    <w:rsid w:val="54737DE2"/>
    <w:rsid w:val="547A66A6"/>
    <w:rsid w:val="547C2B7F"/>
    <w:rsid w:val="54817A35"/>
    <w:rsid w:val="54BF14C8"/>
    <w:rsid w:val="54D97871"/>
    <w:rsid w:val="552B174F"/>
    <w:rsid w:val="553913F5"/>
    <w:rsid w:val="554F368F"/>
    <w:rsid w:val="55564A1D"/>
    <w:rsid w:val="555831C2"/>
    <w:rsid w:val="55651104"/>
    <w:rsid w:val="556F3D31"/>
    <w:rsid w:val="558A2919"/>
    <w:rsid w:val="55A82D9F"/>
    <w:rsid w:val="55AA2FBB"/>
    <w:rsid w:val="55D911AB"/>
    <w:rsid w:val="55DA73FC"/>
    <w:rsid w:val="55DE6954"/>
    <w:rsid w:val="55E0078B"/>
    <w:rsid w:val="55E05081"/>
    <w:rsid w:val="55EE4C56"/>
    <w:rsid w:val="55F10BEA"/>
    <w:rsid w:val="560674C5"/>
    <w:rsid w:val="56075D18"/>
    <w:rsid w:val="560E70A6"/>
    <w:rsid w:val="561B17C3"/>
    <w:rsid w:val="564156AD"/>
    <w:rsid w:val="565D1DDC"/>
    <w:rsid w:val="56692FD1"/>
    <w:rsid w:val="566F6A2C"/>
    <w:rsid w:val="56744631"/>
    <w:rsid w:val="568B4B9B"/>
    <w:rsid w:val="569C2904"/>
    <w:rsid w:val="569D5B3C"/>
    <w:rsid w:val="569F5263"/>
    <w:rsid w:val="56A93238"/>
    <w:rsid w:val="56B14042"/>
    <w:rsid w:val="56C14D15"/>
    <w:rsid w:val="56C1680E"/>
    <w:rsid w:val="56DD6352"/>
    <w:rsid w:val="56DD7347"/>
    <w:rsid w:val="56E61DD1"/>
    <w:rsid w:val="56FD4B37"/>
    <w:rsid w:val="56FE6576"/>
    <w:rsid w:val="57023502"/>
    <w:rsid w:val="570606C5"/>
    <w:rsid w:val="571415D5"/>
    <w:rsid w:val="571D1301"/>
    <w:rsid w:val="571F6D7F"/>
    <w:rsid w:val="57225A8C"/>
    <w:rsid w:val="57536AE2"/>
    <w:rsid w:val="57686C8A"/>
    <w:rsid w:val="576C0072"/>
    <w:rsid w:val="577A6CEC"/>
    <w:rsid w:val="578F2469"/>
    <w:rsid w:val="57A724BD"/>
    <w:rsid w:val="57AC4DC9"/>
    <w:rsid w:val="57AE1700"/>
    <w:rsid w:val="57CC546B"/>
    <w:rsid w:val="57CE7EFE"/>
    <w:rsid w:val="57DE3609"/>
    <w:rsid w:val="57EA769F"/>
    <w:rsid w:val="58346B6C"/>
    <w:rsid w:val="584E40D2"/>
    <w:rsid w:val="587B479B"/>
    <w:rsid w:val="589B7C55"/>
    <w:rsid w:val="58A255C2"/>
    <w:rsid w:val="59284E5E"/>
    <w:rsid w:val="59407EBE"/>
    <w:rsid w:val="59474080"/>
    <w:rsid w:val="595466BD"/>
    <w:rsid w:val="59592D2E"/>
    <w:rsid w:val="595C281E"/>
    <w:rsid w:val="595E4C2F"/>
    <w:rsid w:val="59611BE3"/>
    <w:rsid w:val="59701E26"/>
    <w:rsid w:val="59812CE5"/>
    <w:rsid w:val="598633F7"/>
    <w:rsid w:val="59BD55AF"/>
    <w:rsid w:val="59C12681"/>
    <w:rsid w:val="59C4715A"/>
    <w:rsid w:val="59C83A10"/>
    <w:rsid w:val="59CD7278"/>
    <w:rsid w:val="59D71624"/>
    <w:rsid w:val="59E52814"/>
    <w:rsid w:val="59E649D4"/>
    <w:rsid w:val="59EC6032"/>
    <w:rsid w:val="59F12F67"/>
    <w:rsid w:val="59F34F31"/>
    <w:rsid w:val="59F36CDF"/>
    <w:rsid w:val="59F45764"/>
    <w:rsid w:val="5A04713E"/>
    <w:rsid w:val="5A0C0C27"/>
    <w:rsid w:val="5A1B7FE4"/>
    <w:rsid w:val="5A20384C"/>
    <w:rsid w:val="5A2C0443"/>
    <w:rsid w:val="5A3317D1"/>
    <w:rsid w:val="5A3B2434"/>
    <w:rsid w:val="5A47702B"/>
    <w:rsid w:val="5A6C6A91"/>
    <w:rsid w:val="5A6D6C90"/>
    <w:rsid w:val="5A6E45B7"/>
    <w:rsid w:val="5A710070"/>
    <w:rsid w:val="5A875679"/>
    <w:rsid w:val="5A951B44"/>
    <w:rsid w:val="5AAF1E05"/>
    <w:rsid w:val="5ABD0486"/>
    <w:rsid w:val="5AC97A40"/>
    <w:rsid w:val="5ACD1A01"/>
    <w:rsid w:val="5AD14B46"/>
    <w:rsid w:val="5AD3266C"/>
    <w:rsid w:val="5AD6448F"/>
    <w:rsid w:val="5AE64A95"/>
    <w:rsid w:val="5AEB04FB"/>
    <w:rsid w:val="5B0311A3"/>
    <w:rsid w:val="5B084A0C"/>
    <w:rsid w:val="5B0E6D80"/>
    <w:rsid w:val="5B254211"/>
    <w:rsid w:val="5B280C0A"/>
    <w:rsid w:val="5B370E4D"/>
    <w:rsid w:val="5B4F7911"/>
    <w:rsid w:val="5B730143"/>
    <w:rsid w:val="5BAB693D"/>
    <w:rsid w:val="5BAD55B3"/>
    <w:rsid w:val="5BAF6C35"/>
    <w:rsid w:val="5BB75BFE"/>
    <w:rsid w:val="5BB95D06"/>
    <w:rsid w:val="5BD90156"/>
    <w:rsid w:val="5BEF1728"/>
    <w:rsid w:val="5BF925A6"/>
    <w:rsid w:val="5BFB1E7B"/>
    <w:rsid w:val="5C0B756E"/>
    <w:rsid w:val="5C1E3DBB"/>
    <w:rsid w:val="5C201C66"/>
    <w:rsid w:val="5C403D31"/>
    <w:rsid w:val="5C441A74"/>
    <w:rsid w:val="5C5B01BE"/>
    <w:rsid w:val="5C6F122F"/>
    <w:rsid w:val="5C7B0409"/>
    <w:rsid w:val="5C8207EE"/>
    <w:rsid w:val="5C841FC5"/>
    <w:rsid w:val="5CA02688"/>
    <w:rsid w:val="5CA2679A"/>
    <w:rsid w:val="5CB07109"/>
    <w:rsid w:val="5CBD5382"/>
    <w:rsid w:val="5CC11316"/>
    <w:rsid w:val="5CC91FF2"/>
    <w:rsid w:val="5CED210B"/>
    <w:rsid w:val="5CF43A14"/>
    <w:rsid w:val="5CFA238D"/>
    <w:rsid w:val="5CFC234E"/>
    <w:rsid w:val="5D02548B"/>
    <w:rsid w:val="5D027239"/>
    <w:rsid w:val="5D105DFA"/>
    <w:rsid w:val="5D121B72"/>
    <w:rsid w:val="5D2469F6"/>
    <w:rsid w:val="5D4A130C"/>
    <w:rsid w:val="5D582907"/>
    <w:rsid w:val="5D6275E6"/>
    <w:rsid w:val="5D752101"/>
    <w:rsid w:val="5D791381"/>
    <w:rsid w:val="5D8972C7"/>
    <w:rsid w:val="5D8B36D2"/>
    <w:rsid w:val="5D944335"/>
    <w:rsid w:val="5D9B7848"/>
    <w:rsid w:val="5DAA3B58"/>
    <w:rsid w:val="5DBC388C"/>
    <w:rsid w:val="5DFB075C"/>
    <w:rsid w:val="5DFE0EB5"/>
    <w:rsid w:val="5E1216FE"/>
    <w:rsid w:val="5E145476"/>
    <w:rsid w:val="5E167440"/>
    <w:rsid w:val="5E24654F"/>
    <w:rsid w:val="5E2751A9"/>
    <w:rsid w:val="5E482FBE"/>
    <w:rsid w:val="5E4D09F7"/>
    <w:rsid w:val="5E6C52B2"/>
    <w:rsid w:val="5E767EDE"/>
    <w:rsid w:val="5E7F5A64"/>
    <w:rsid w:val="5E806DB9"/>
    <w:rsid w:val="5E8720EC"/>
    <w:rsid w:val="5E873DAB"/>
    <w:rsid w:val="5E914D18"/>
    <w:rsid w:val="5E9E23CC"/>
    <w:rsid w:val="5EBD3D5F"/>
    <w:rsid w:val="5EC724E8"/>
    <w:rsid w:val="5EC91914"/>
    <w:rsid w:val="5EF146E1"/>
    <w:rsid w:val="5EF17565"/>
    <w:rsid w:val="5EFE2F33"/>
    <w:rsid w:val="5F105C3D"/>
    <w:rsid w:val="5F13572D"/>
    <w:rsid w:val="5F1A6ABC"/>
    <w:rsid w:val="5F28567D"/>
    <w:rsid w:val="5F774D66"/>
    <w:rsid w:val="5F7F1015"/>
    <w:rsid w:val="5F8E3006"/>
    <w:rsid w:val="5F9C5723"/>
    <w:rsid w:val="5FA016B7"/>
    <w:rsid w:val="5FA10F8B"/>
    <w:rsid w:val="5FD87E86"/>
    <w:rsid w:val="5FF971F2"/>
    <w:rsid w:val="5FFC1512"/>
    <w:rsid w:val="600D6620"/>
    <w:rsid w:val="603C0CB4"/>
    <w:rsid w:val="604106FF"/>
    <w:rsid w:val="60430904"/>
    <w:rsid w:val="60450559"/>
    <w:rsid w:val="6045400C"/>
    <w:rsid w:val="6046598D"/>
    <w:rsid w:val="604E03EB"/>
    <w:rsid w:val="604E1113"/>
    <w:rsid w:val="60573614"/>
    <w:rsid w:val="6058089E"/>
    <w:rsid w:val="60583D40"/>
    <w:rsid w:val="6062071A"/>
    <w:rsid w:val="609038AC"/>
    <w:rsid w:val="60A56859"/>
    <w:rsid w:val="60AE7E03"/>
    <w:rsid w:val="60C50047"/>
    <w:rsid w:val="60F715A3"/>
    <w:rsid w:val="61001440"/>
    <w:rsid w:val="61121DA6"/>
    <w:rsid w:val="61183150"/>
    <w:rsid w:val="611A2DA3"/>
    <w:rsid w:val="612B4CC9"/>
    <w:rsid w:val="613025C6"/>
    <w:rsid w:val="61371BA7"/>
    <w:rsid w:val="61477910"/>
    <w:rsid w:val="61507F42"/>
    <w:rsid w:val="61706E67"/>
    <w:rsid w:val="618C17C7"/>
    <w:rsid w:val="61A62889"/>
    <w:rsid w:val="61BA4586"/>
    <w:rsid w:val="61D02E91"/>
    <w:rsid w:val="61D4645A"/>
    <w:rsid w:val="6220263B"/>
    <w:rsid w:val="62224606"/>
    <w:rsid w:val="62361E5F"/>
    <w:rsid w:val="62482421"/>
    <w:rsid w:val="624E25AF"/>
    <w:rsid w:val="62511347"/>
    <w:rsid w:val="625A718D"/>
    <w:rsid w:val="628B1DB2"/>
    <w:rsid w:val="62A664CF"/>
    <w:rsid w:val="62AA63A9"/>
    <w:rsid w:val="62AF7E63"/>
    <w:rsid w:val="62BE0525"/>
    <w:rsid w:val="62EC74BF"/>
    <w:rsid w:val="62FF66F4"/>
    <w:rsid w:val="632C14B3"/>
    <w:rsid w:val="63676048"/>
    <w:rsid w:val="638135AD"/>
    <w:rsid w:val="639B16A7"/>
    <w:rsid w:val="639C2195"/>
    <w:rsid w:val="63AB23D8"/>
    <w:rsid w:val="63AB687C"/>
    <w:rsid w:val="63AD6150"/>
    <w:rsid w:val="63B23767"/>
    <w:rsid w:val="63C811DC"/>
    <w:rsid w:val="63D87DD5"/>
    <w:rsid w:val="63DB7766"/>
    <w:rsid w:val="6445282D"/>
    <w:rsid w:val="64664551"/>
    <w:rsid w:val="64721148"/>
    <w:rsid w:val="647A0DC4"/>
    <w:rsid w:val="64801309"/>
    <w:rsid w:val="648B1F80"/>
    <w:rsid w:val="648F5856"/>
    <w:rsid w:val="649E3A4B"/>
    <w:rsid w:val="64C03C61"/>
    <w:rsid w:val="64CC2DA2"/>
    <w:rsid w:val="64EB57C1"/>
    <w:rsid w:val="64EE5A59"/>
    <w:rsid w:val="650078AA"/>
    <w:rsid w:val="651915C4"/>
    <w:rsid w:val="65402FF4"/>
    <w:rsid w:val="6545060B"/>
    <w:rsid w:val="65491EA9"/>
    <w:rsid w:val="654C7BEB"/>
    <w:rsid w:val="654D7168"/>
    <w:rsid w:val="6550648B"/>
    <w:rsid w:val="65CE1B16"/>
    <w:rsid w:val="65CE6852"/>
    <w:rsid w:val="65F54DB2"/>
    <w:rsid w:val="660109D5"/>
    <w:rsid w:val="660202AA"/>
    <w:rsid w:val="661029C7"/>
    <w:rsid w:val="66107265"/>
    <w:rsid w:val="661C7ED9"/>
    <w:rsid w:val="66206807"/>
    <w:rsid w:val="66577B64"/>
    <w:rsid w:val="665F56FC"/>
    <w:rsid w:val="6666770B"/>
    <w:rsid w:val="66A00B1A"/>
    <w:rsid w:val="66A0319D"/>
    <w:rsid w:val="66A17AC3"/>
    <w:rsid w:val="66AA6977"/>
    <w:rsid w:val="66B141AA"/>
    <w:rsid w:val="66C0263F"/>
    <w:rsid w:val="66C50B25"/>
    <w:rsid w:val="66C7577B"/>
    <w:rsid w:val="66C97D4D"/>
    <w:rsid w:val="66CD05F6"/>
    <w:rsid w:val="66D734E4"/>
    <w:rsid w:val="66F7159B"/>
    <w:rsid w:val="671B4595"/>
    <w:rsid w:val="672A3F5C"/>
    <w:rsid w:val="674A63AC"/>
    <w:rsid w:val="676A25AA"/>
    <w:rsid w:val="67701A6A"/>
    <w:rsid w:val="678418BE"/>
    <w:rsid w:val="67900263"/>
    <w:rsid w:val="67A36984"/>
    <w:rsid w:val="67A96C2F"/>
    <w:rsid w:val="67B850C4"/>
    <w:rsid w:val="67C9107F"/>
    <w:rsid w:val="67D0240D"/>
    <w:rsid w:val="67D13936"/>
    <w:rsid w:val="67D85766"/>
    <w:rsid w:val="67E60A18"/>
    <w:rsid w:val="67E73BFB"/>
    <w:rsid w:val="67EE4F89"/>
    <w:rsid w:val="67FD341E"/>
    <w:rsid w:val="68142C42"/>
    <w:rsid w:val="68166515"/>
    <w:rsid w:val="681A7646"/>
    <w:rsid w:val="687934FA"/>
    <w:rsid w:val="688A6267"/>
    <w:rsid w:val="688D47A2"/>
    <w:rsid w:val="68B65AA7"/>
    <w:rsid w:val="68C84CF7"/>
    <w:rsid w:val="68CD2DF1"/>
    <w:rsid w:val="68E36170"/>
    <w:rsid w:val="68E85E7D"/>
    <w:rsid w:val="68F0088D"/>
    <w:rsid w:val="68FC76B2"/>
    <w:rsid w:val="68FD5B87"/>
    <w:rsid w:val="69004F74"/>
    <w:rsid w:val="69012A9A"/>
    <w:rsid w:val="690D2242"/>
    <w:rsid w:val="690E4E62"/>
    <w:rsid w:val="691D346F"/>
    <w:rsid w:val="692C77AC"/>
    <w:rsid w:val="692D459A"/>
    <w:rsid w:val="693410C2"/>
    <w:rsid w:val="69474951"/>
    <w:rsid w:val="694F536C"/>
    <w:rsid w:val="6951757E"/>
    <w:rsid w:val="69594684"/>
    <w:rsid w:val="6965127B"/>
    <w:rsid w:val="69701C8D"/>
    <w:rsid w:val="69A04061"/>
    <w:rsid w:val="69C52D24"/>
    <w:rsid w:val="69CD5CFD"/>
    <w:rsid w:val="69D00EA9"/>
    <w:rsid w:val="69D41F5D"/>
    <w:rsid w:val="69F015BA"/>
    <w:rsid w:val="69F223CE"/>
    <w:rsid w:val="6A114F5F"/>
    <w:rsid w:val="6A2D7FEB"/>
    <w:rsid w:val="6A2E5B11"/>
    <w:rsid w:val="6A5F3F1C"/>
    <w:rsid w:val="6A611A43"/>
    <w:rsid w:val="6A617C95"/>
    <w:rsid w:val="6A6D03E7"/>
    <w:rsid w:val="6A786D8C"/>
    <w:rsid w:val="6A7A6FA8"/>
    <w:rsid w:val="6A7C4ACE"/>
    <w:rsid w:val="6A8C2ACA"/>
    <w:rsid w:val="6A933BC6"/>
    <w:rsid w:val="6A975464"/>
    <w:rsid w:val="6A9E67F3"/>
    <w:rsid w:val="6AA716B4"/>
    <w:rsid w:val="6AAE488F"/>
    <w:rsid w:val="6AD246EE"/>
    <w:rsid w:val="6AD51B81"/>
    <w:rsid w:val="6AE0505D"/>
    <w:rsid w:val="6AE13F6B"/>
    <w:rsid w:val="6AF361DA"/>
    <w:rsid w:val="6AFF300A"/>
    <w:rsid w:val="6B064398"/>
    <w:rsid w:val="6B100CDA"/>
    <w:rsid w:val="6B1765A5"/>
    <w:rsid w:val="6B364C7D"/>
    <w:rsid w:val="6B376F08"/>
    <w:rsid w:val="6B5C220A"/>
    <w:rsid w:val="6B6C4B43"/>
    <w:rsid w:val="6B712159"/>
    <w:rsid w:val="6B8C0D41"/>
    <w:rsid w:val="6B956C6B"/>
    <w:rsid w:val="6B985938"/>
    <w:rsid w:val="6BB169FA"/>
    <w:rsid w:val="6BCF1B32"/>
    <w:rsid w:val="6BE70117"/>
    <w:rsid w:val="6BEE37AA"/>
    <w:rsid w:val="6BFF1513"/>
    <w:rsid w:val="6C0D6CD2"/>
    <w:rsid w:val="6C103720"/>
    <w:rsid w:val="6C134FBF"/>
    <w:rsid w:val="6C152AE5"/>
    <w:rsid w:val="6C296590"/>
    <w:rsid w:val="6C3A4042"/>
    <w:rsid w:val="6C465F32"/>
    <w:rsid w:val="6C491279"/>
    <w:rsid w:val="6C4C56DA"/>
    <w:rsid w:val="6C537AB1"/>
    <w:rsid w:val="6C613F7C"/>
    <w:rsid w:val="6C975B62"/>
    <w:rsid w:val="6CA32A49"/>
    <w:rsid w:val="6CA376FD"/>
    <w:rsid w:val="6CA95A25"/>
    <w:rsid w:val="6CC56A5C"/>
    <w:rsid w:val="6CDF2C9A"/>
    <w:rsid w:val="6CEB0E35"/>
    <w:rsid w:val="6D06067F"/>
    <w:rsid w:val="6D233CCC"/>
    <w:rsid w:val="6D284A9A"/>
    <w:rsid w:val="6D321474"/>
    <w:rsid w:val="6D3276C6"/>
    <w:rsid w:val="6D505D9E"/>
    <w:rsid w:val="6D576FE9"/>
    <w:rsid w:val="6D605FE2"/>
    <w:rsid w:val="6D9C1930"/>
    <w:rsid w:val="6DAD4F9F"/>
    <w:rsid w:val="6DB225B5"/>
    <w:rsid w:val="6DB4457F"/>
    <w:rsid w:val="6DC55024"/>
    <w:rsid w:val="6DCC26A4"/>
    <w:rsid w:val="6DCF319C"/>
    <w:rsid w:val="6DD15131"/>
    <w:rsid w:val="6E002013"/>
    <w:rsid w:val="6E1E264D"/>
    <w:rsid w:val="6E301E58"/>
    <w:rsid w:val="6E3F209B"/>
    <w:rsid w:val="6E434EBF"/>
    <w:rsid w:val="6E445903"/>
    <w:rsid w:val="6E49630A"/>
    <w:rsid w:val="6E4A5F9F"/>
    <w:rsid w:val="6E4E22DE"/>
    <w:rsid w:val="6E505411"/>
    <w:rsid w:val="6E5D2F46"/>
    <w:rsid w:val="6E5F0316"/>
    <w:rsid w:val="6E5F44EB"/>
    <w:rsid w:val="6E8145F9"/>
    <w:rsid w:val="6EA75E92"/>
    <w:rsid w:val="6EA94DD2"/>
    <w:rsid w:val="6EB26D11"/>
    <w:rsid w:val="6ECB52EA"/>
    <w:rsid w:val="6ED0363B"/>
    <w:rsid w:val="6EF6178D"/>
    <w:rsid w:val="6EFA06B8"/>
    <w:rsid w:val="6F00268A"/>
    <w:rsid w:val="6F1277AF"/>
    <w:rsid w:val="6F2D45E9"/>
    <w:rsid w:val="6F40256E"/>
    <w:rsid w:val="6F51166F"/>
    <w:rsid w:val="6F573414"/>
    <w:rsid w:val="6F5E29F5"/>
    <w:rsid w:val="6F7246F2"/>
    <w:rsid w:val="6F92348B"/>
    <w:rsid w:val="6F9401C4"/>
    <w:rsid w:val="6F99373A"/>
    <w:rsid w:val="6F9C52CB"/>
    <w:rsid w:val="6FA952BF"/>
    <w:rsid w:val="6FA97229"/>
    <w:rsid w:val="6FCB7D7F"/>
    <w:rsid w:val="6FCC795E"/>
    <w:rsid w:val="6FE90F7D"/>
    <w:rsid w:val="7033685E"/>
    <w:rsid w:val="70343755"/>
    <w:rsid w:val="70437F34"/>
    <w:rsid w:val="704C0A9F"/>
    <w:rsid w:val="704F233D"/>
    <w:rsid w:val="70643DB9"/>
    <w:rsid w:val="708B5A6B"/>
    <w:rsid w:val="70CA3E8B"/>
    <w:rsid w:val="70EB02B8"/>
    <w:rsid w:val="71121CE9"/>
    <w:rsid w:val="71144811"/>
    <w:rsid w:val="712831B2"/>
    <w:rsid w:val="713A2FED"/>
    <w:rsid w:val="71436346"/>
    <w:rsid w:val="71867FE1"/>
    <w:rsid w:val="71883D59"/>
    <w:rsid w:val="719F3623"/>
    <w:rsid w:val="719F708C"/>
    <w:rsid w:val="71A566B9"/>
    <w:rsid w:val="71B96608"/>
    <w:rsid w:val="71C55297"/>
    <w:rsid w:val="71CF1988"/>
    <w:rsid w:val="71CF3736"/>
    <w:rsid w:val="720E0702"/>
    <w:rsid w:val="720F7FD6"/>
    <w:rsid w:val="721F106A"/>
    <w:rsid w:val="72200435"/>
    <w:rsid w:val="727B584F"/>
    <w:rsid w:val="727C2B53"/>
    <w:rsid w:val="72AB41A3"/>
    <w:rsid w:val="72C513CA"/>
    <w:rsid w:val="72C7270A"/>
    <w:rsid w:val="72CB65F3"/>
    <w:rsid w:val="72CD2498"/>
    <w:rsid w:val="72EE408F"/>
    <w:rsid w:val="730438B3"/>
    <w:rsid w:val="730D789D"/>
    <w:rsid w:val="73143A88"/>
    <w:rsid w:val="73144018"/>
    <w:rsid w:val="73163E8B"/>
    <w:rsid w:val="73186167"/>
    <w:rsid w:val="73397A01"/>
    <w:rsid w:val="73600A73"/>
    <w:rsid w:val="73685BF0"/>
    <w:rsid w:val="736D76AA"/>
    <w:rsid w:val="7370719A"/>
    <w:rsid w:val="73927111"/>
    <w:rsid w:val="739764D5"/>
    <w:rsid w:val="73A1022B"/>
    <w:rsid w:val="73B01345"/>
    <w:rsid w:val="73B72584"/>
    <w:rsid w:val="73D019E7"/>
    <w:rsid w:val="73D13110"/>
    <w:rsid w:val="73DB15E2"/>
    <w:rsid w:val="73DC65DE"/>
    <w:rsid w:val="73F77349"/>
    <w:rsid w:val="74003C5F"/>
    <w:rsid w:val="74024296"/>
    <w:rsid w:val="740578E3"/>
    <w:rsid w:val="740E2F75"/>
    <w:rsid w:val="74117799"/>
    <w:rsid w:val="742C30C1"/>
    <w:rsid w:val="744645DD"/>
    <w:rsid w:val="744C7EB7"/>
    <w:rsid w:val="746578A2"/>
    <w:rsid w:val="74681C20"/>
    <w:rsid w:val="74805D4C"/>
    <w:rsid w:val="74842EFD"/>
    <w:rsid w:val="748C1DB2"/>
    <w:rsid w:val="74A40E40"/>
    <w:rsid w:val="74B07F86"/>
    <w:rsid w:val="74C72F0F"/>
    <w:rsid w:val="74E7457B"/>
    <w:rsid w:val="74FA31C0"/>
    <w:rsid w:val="74FF4332"/>
    <w:rsid w:val="753541F8"/>
    <w:rsid w:val="754206C3"/>
    <w:rsid w:val="75502DDF"/>
    <w:rsid w:val="75575F1C"/>
    <w:rsid w:val="756141D7"/>
    <w:rsid w:val="75622B13"/>
    <w:rsid w:val="75731E4D"/>
    <w:rsid w:val="75A66E6C"/>
    <w:rsid w:val="75BA294F"/>
    <w:rsid w:val="75D43A11"/>
    <w:rsid w:val="75D94B83"/>
    <w:rsid w:val="760140DA"/>
    <w:rsid w:val="760268A8"/>
    <w:rsid w:val="761337BF"/>
    <w:rsid w:val="764B35A7"/>
    <w:rsid w:val="76500BBD"/>
    <w:rsid w:val="76634D94"/>
    <w:rsid w:val="766A6123"/>
    <w:rsid w:val="767849AA"/>
    <w:rsid w:val="76992564"/>
    <w:rsid w:val="76B8040C"/>
    <w:rsid w:val="76B94680"/>
    <w:rsid w:val="76C43A85"/>
    <w:rsid w:val="76CF0D4E"/>
    <w:rsid w:val="76D279B6"/>
    <w:rsid w:val="76E557A9"/>
    <w:rsid w:val="76FB54CC"/>
    <w:rsid w:val="7718631B"/>
    <w:rsid w:val="77277D4B"/>
    <w:rsid w:val="774D0F6E"/>
    <w:rsid w:val="775C3CBE"/>
    <w:rsid w:val="77674410"/>
    <w:rsid w:val="77866F8C"/>
    <w:rsid w:val="77995379"/>
    <w:rsid w:val="779C67B0"/>
    <w:rsid w:val="779F004E"/>
    <w:rsid w:val="77A04C0E"/>
    <w:rsid w:val="77C15A69"/>
    <w:rsid w:val="77C946A6"/>
    <w:rsid w:val="77DA1086"/>
    <w:rsid w:val="77F116DF"/>
    <w:rsid w:val="78247AC8"/>
    <w:rsid w:val="78360B95"/>
    <w:rsid w:val="787231A9"/>
    <w:rsid w:val="7877282E"/>
    <w:rsid w:val="78872FBC"/>
    <w:rsid w:val="78A07BDA"/>
    <w:rsid w:val="78A147E4"/>
    <w:rsid w:val="78BD078C"/>
    <w:rsid w:val="78C95383"/>
    <w:rsid w:val="78E63F42"/>
    <w:rsid w:val="790A599B"/>
    <w:rsid w:val="790E2D96"/>
    <w:rsid w:val="79106371"/>
    <w:rsid w:val="791D747D"/>
    <w:rsid w:val="792417A2"/>
    <w:rsid w:val="79257FB4"/>
    <w:rsid w:val="794964C4"/>
    <w:rsid w:val="7967694A"/>
    <w:rsid w:val="79745C04"/>
    <w:rsid w:val="797C0647"/>
    <w:rsid w:val="79815C5D"/>
    <w:rsid w:val="79832257"/>
    <w:rsid w:val="79833549"/>
    <w:rsid w:val="7988298D"/>
    <w:rsid w:val="79A656C4"/>
    <w:rsid w:val="79AB4A88"/>
    <w:rsid w:val="79BC6C95"/>
    <w:rsid w:val="79BD47BC"/>
    <w:rsid w:val="79BD656A"/>
    <w:rsid w:val="79C004A5"/>
    <w:rsid w:val="79D53106"/>
    <w:rsid w:val="79EF748B"/>
    <w:rsid w:val="7A0731EE"/>
    <w:rsid w:val="7A1C6855"/>
    <w:rsid w:val="7A431165"/>
    <w:rsid w:val="7A476A87"/>
    <w:rsid w:val="7A4A42A1"/>
    <w:rsid w:val="7A5B5C6A"/>
    <w:rsid w:val="7A6F3D08"/>
    <w:rsid w:val="7A7522B9"/>
    <w:rsid w:val="7A7E03EF"/>
    <w:rsid w:val="7A8157E9"/>
    <w:rsid w:val="7A8D0BC8"/>
    <w:rsid w:val="7A97325F"/>
    <w:rsid w:val="7A990D85"/>
    <w:rsid w:val="7AB91427"/>
    <w:rsid w:val="7AD46261"/>
    <w:rsid w:val="7AD718AD"/>
    <w:rsid w:val="7AD93877"/>
    <w:rsid w:val="7AD9394D"/>
    <w:rsid w:val="7AFD02D5"/>
    <w:rsid w:val="7B291BB7"/>
    <w:rsid w:val="7B2E3BC3"/>
    <w:rsid w:val="7B2F3497"/>
    <w:rsid w:val="7B310FBD"/>
    <w:rsid w:val="7B315461"/>
    <w:rsid w:val="7B474C85"/>
    <w:rsid w:val="7B4A3BA0"/>
    <w:rsid w:val="7B4A765E"/>
    <w:rsid w:val="7B551150"/>
    <w:rsid w:val="7B584484"/>
    <w:rsid w:val="7B5B77B6"/>
    <w:rsid w:val="7B656EB9"/>
    <w:rsid w:val="7B7F441F"/>
    <w:rsid w:val="7BB3231A"/>
    <w:rsid w:val="7BDA1655"/>
    <w:rsid w:val="7BE55E3C"/>
    <w:rsid w:val="7BF16B6E"/>
    <w:rsid w:val="7C08168C"/>
    <w:rsid w:val="7C120DEF"/>
    <w:rsid w:val="7C1508DF"/>
    <w:rsid w:val="7C441163"/>
    <w:rsid w:val="7C5533D1"/>
    <w:rsid w:val="7C653614"/>
    <w:rsid w:val="7C6929D9"/>
    <w:rsid w:val="7C6B51B6"/>
    <w:rsid w:val="7C6F0797"/>
    <w:rsid w:val="7C8909CB"/>
    <w:rsid w:val="7CA67789"/>
    <w:rsid w:val="7CC41F7F"/>
    <w:rsid w:val="7CD20EA7"/>
    <w:rsid w:val="7CE330CD"/>
    <w:rsid w:val="7CF404F4"/>
    <w:rsid w:val="7CF93D5D"/>
    <w:rsid w:val="7D0821F2"/>
    <w:rsid w:val="7D0D15B6"/>
    <w:rsid w:val="7D1961AD"/>
    <w:rsid w:val="7D2305A6"/>
    <w:rsid w:val="7D342FE7"/>
    <w:rsid w:val="7D360B0D"/>
    <w:rsid w:val="7D367638"/>
    <w:rsid w:val="7D3A1C0A"/>
    <w:rsid w:val="7D4C6582"/>
    <w:rsid w:val="7D625DA6"/>
    <w:rsid w:val="7D766E9F"/>
    <w:rsid w:val="7D7E4262"/>
    <w:rsid w:val="7D834228"/>
    <w:rsid w:val="7D9B4E14"/>
    <w:rsid w:val="7D9F2B56"/>
    <w:rsid w:val="7DA72BF2"/>
    <w:rsid w:val="7DAF27E7"/>
    <w:rsid w:val="7DB0243F"/>
    <w:rsid w:val="7DB05BB5"/>
    <w:rsid w:val="7DB42B20"/>
    <w:rsid w:val="7DBA07FB"/>
    <w:rsid w:val="7DBF5B65"/>
    <w:rsid w:val="7DC205F3"/>
    <w:rsid w:val="7DC7260D"/>
    <w:rsid w:val="7DCB29F1"/>
    <w:rsid w:val="7DF32F11"/>
    <w:rsid w:val="7DFD53BF"/>
    <w:rsid w:val="7E13212B"/>
    <w:rsid w:val="7E3C2153"/>
    <w:rsid w:val="7E3F1C43"/>
    <w:rsid w:val="7E563232"/>
    <w:rsid w:val="7E6E2528"/>
    <w:rsid w:val="7E977CD1"/>
    <w:rsid w:val="7EA654F4"/>
    <w:rsid w:val="7EAA17B2"/>
    <w:rsid w:val="7EC04109"/>
    <w:rsid w:val="7ECD724F"/>
    <w:rsid w:val="7ECF2FC7"/>
    <w:rsid w:val="7ED56104"/>
    <w:rsid w:val="7EE04F85"/>
    <w:rsid w:val="7EF152F5"/>
    <w:rsid w:val="7F032D9C"/>
    <w:rsid w:val="7F0B6FA0"/>
    <w:rsid w:val="7F42110C"/>
    <w:rsid w:val="7F4F3952"/>
    <w:rsid w:val="7F5160D2"/>
    <w:rsid w:val="7F6A7194"/>
    <w:rsid w:val="7F741DC0"/>
    <w:rsid w:val="7F78365F"/>
    <w:rsid w:val="7F8042C1"/>
    <w:rsid w:val="7F86771E"/>
    <w:rsid w:val="7F98785D"/>
    <w:rsid w:val="7F9B10FB"/>
    <w:rsid w:val="7F9B734D"/>
    <w:rsid w:val="7FAC48D8"/>
    <w:rsid w:val="7FAE7080"/>
    <w:rsid w:val="7FBA3C77"/>
    <w:rsid w:val="7FDF0DBB"/>
    <w:rsid w:val="7FEA49BA"/>
    <w:rsid w:val="DF6FBC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9"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4">
    <w:name w:val="heading 2"/>
    <w:basedOn w:val="1"/>
    <w:next w:val="1"/>
    <w:qFormat/>
    <w:uiPriority w:val="0"/>
    <w:pPr>
      <w:keepNext/>
      <w:keepLines/>
      <w:spacing w:before="260" w:beforeLines="0" w:after="260" w:afterLines="0" w:line="416" w:lineRule="auto"/>
      <w:outlineLvl w:val="1"/>
    </w:pPr>
    <w:rPr>
      <w:rFonts w:ascii="Arial" w:hAnsi="Arial"/>
      <w:bCs/>
      <w:sz w:val="24"/>
      <w:szCs w:val="32"/>
    </w:rPr>
  </w:style>
  <w:style w:type="paragraph" w:styleId="5">
    <w:name w:val="heading 3"/>
    <w:basedOn w:val="1"/>
    <w:next w:val="1"/>
    <w:qFormat/>
    <w:uiPriority w:val="9"/>
    <w:pPr>
      <w:keepNext/>
      <w:keepLines/>
      <w:spacing w:before="260" w:after="260" w:line="416" w:lineRule="auto"/>
      <w:outlineLvl w:val="2"/>
    </w:pPr>
    <w:rPr>
      <w:b/>
      <w:bCs/>
      <w:sz w:val="32"/>
      <w:szCs w:val="32"/>
    </w:rPr>
  </w:style>
  <w:style w:type="paragraph" w:styleId="6">
    <w:name w:val="heading 4"/>
    <w:basedOn w:val="1"/>
    <w:next w:val="7"/>
    <w:unhideWhenUsed/>
    <w:qFormat/>
    <w:uiPriority w:val="0"/>
    <w:pPr>
      <w:keepNext/>
      <w:keepLines/>
      <w:numPr>
        <w:ilvl w:val="3"/>
        <w:numId w:val="1"/>
      </w:numPr>
      <w:spacing w:line="360" w:lineRule="auto"/>
      <w:outlineLvl w:val="3"/>
    </w:pPr>
    <w:rPr>
      <w:b/>
    </w:rPr>
  </w:style>
  <w:style w:type="paragraph" w:styleId="8">
    <w:name w:val="heading 5"/>
    <w:basedOn w:val="1"/>
    <w:next w:val="1"/>
    <w:unhideWhenUsed/>
    <w:qFormat/>
    <w:uiPriority w:val="0"/>
    <w:pPr>
      <w:widowControl/>
      <w:outlineLvl w:val="4"/>
    </w:pPr>
    <w:rPr>
      <w:sz w:val="18"/>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widowControl/>
      <w:snapToGrid w:val="0"/>
      <w:spacing w:before="60" w:after="160" w:line="259" w:lineRule="auto"/>
      <w:ind w:right="113"/>
    </w:pPr>
    <w:rPr>
      <w:kern w:val="0"/>
      <w:sz w:val="18"/>
      <w:szCs w:val="20"/>
    </w:rPr>
  </w:style>
  <w:style w:type="paragraph" w:styleId="7">
    <w:name w:val="Normal Indent"/>
    <w:basedOn w:val="1"/>
    <w:next w:val="6"/>
    <w:unhideWhenUsed/>
    <w:qFormat/>
    <w:uiPriority w:val="0"/>
    <w:pPr>
      <w:spacing w:line="360" w:lineRule="auto"/>
      <w:ind w:firstLine="420" w:firstLineChars="200"/>
    </w:pPr>
    <w:rPr>
      <w:sz w:val="24"/>
    </w:rPr>
  </w:style>
  <w:style w:type="paragraph" w:styleId="9">
    <w:name w:val="List 3"/>
    <w:basedOn w:val="1"/>
    <w:qFormat/>
    <w:uiPriority w:val="0"/>
    <w:pPr>
      <w:autoSpaceDE w:val="0"/>
      <w:autoSpaceDN w:val="0"/>
      <w:adjustRightInd w:val="0"/>
      <w:spacing w:line="288" w:lineRule="auto"/>
      <w:ind w:left="1260" w:hanging="420"/>
      <w:jc w:val="left"/>
      <w:textAlignment w:val="baseline"/>
    </w:pPr>
    <w:rPr>
      <w:kern w:val="0"/>
      <w:sz w:val="24"/>
      <w:szCs w:val="20"/>
    </w:rPr>
  </w:style>
  <w:style w:type="paragraph" w:styleId="10">
    <w:name w:val="E-mail Signature"/>
    <w:basedOn w:val="1"/>
    <w:next w:val="11"/>
    <w:qFormat/>
    <w:uiPriority w:val="0"/>
  </w:style>
  <w:style w:type="paragraph" w:customStyle="1" w:styleId="11">
    <w:name w:val="文章"/>
    <w:next w:val="12"/>
    <w:semiHidden/>
    <w:qFormat/>
    <w:uiPriority w:val="0"/>
    <w:pPr>
      <w:widowControl w:val="0"/>
      <w:spacing w:beforeLines="50" w:after="120" w:afterLines="50" w:line="360" w:lineRule="auto"/>
      <w:ind w:left="420" w:leftChars="200" w:firstLine="480" w:firstLineChars="200"/>
      <w:jc w:val="both"/>
    </w:pPr>
    <w:rPr>
      <w:rFonts w:ascii="Times New Roman" w:hAnsi="Times New Roman" w:eastAsia="宋体" w:cs="Times New Roman"/>
      <w:sz w:val="24"/>
      <w:lang w:val="en-US" w:eastAsia="zh-CN" w:bidi="ar-SA"/>
    </w:rPr>
  </w:style>
  <w:style w:type="paragraph" w:styleId="12">
    <w:name w:val="List"/>
    <w:basedOn w:val="1"/>
    <w:qFormat/>
    <w:uiPriority w:val="0"/>
    <w:pPr>
      <w:ind w:left="200" w:hanging="200" w:hangingChars="200"/>
    </w:pPr>
    <w:rPr>
      <w:szCs w:val="20"/>
    </w:rPr>
  </w:style>
  <w:style w:type="paragraph" w:styleId="13">
    <w:name w:val="caption"/>
    <w:basedOn w:val="1"/>
    <w:next w:val="1"/>
    <w:qFormat/>
    <w:uiPriority w:val="0"/>
    <w:rPr>
      <w:rFonts w:ascii="Arial" w:hAnsi="Arial" w:eastAsia="黑体"/>
      <w:sz w:val="20"/>
      <w:szCs w:val="20"/>
    </w:rPr>
  </w:style>
  <w:style w:type="paragraph" w:styleId="14">
    <w:name w:val="annotation text"/>
    <w:basedOn w:val="1"/>
    <w:link w:val="99"/>
    <w:semiHidden/>
    <w:qFormat/>
    <w:uiPriority w:val="0"/>
    <w:pPr>
      <w:jc w:val="left"/>
    </w:pPr>
    <w:rPr>
      <w:kern w:val="0"/>
      <w:sz w:val="24"/>
      <w:szCs w:val="20"/>
    </w:rPr>
  </w:style>
  <w:style w:type="paragraph" w:styleId="15">
    <w:name w:val="Body Text Indent"/>
    <w:basedOn w:val="1"/>
    <w:next w:val="1"/>
    <w:qFormat/>
    <w:uiPriority w:val="0"/>
    <w:pPr>
      <w:spacing w:after="120"/>
      <w:ind w:left="420" w:leftChars="200"/>
    </w:pPr>
    <w:rPr>
      <w:kern w:val="0"/>
      <w:sz w:val="24"/>
      <w:szCs w:val="20"/>
    </w:rPr>
  </w:style>
  <w:style w:type="paragraph" w:styleId="16">
    <w:name w:val="toc 3"/>
    <w:basedOn w:val="1"/>
    <w:next w:val="1"/>
    <w:qFormat/>
    <w:uiPriority w:val="39"/>
    <w:pPr>
      <w:ind w:left="840" w:leftChars="400"/>
    </w:pPr>
  </w:style>
  <w:style w:type="paragraph" w:styleId="17">
    <w:name w:val="Plain Text"/>
    <w:basedOn w:val="1"/>
    <w:next w:val="1"/>
    <w:link w:val="83"/>
    <w:qFormat/>
    <w:uiPriority w:val="0"/>
    <w:rPr>
      <w:rFonts w:ascii="宋体" w:hAnsi="Courier New"/>
      <w:szCs w:val="20"/>
    </w:rPr>
  </w:style>
  <w:style w:type="paragraph" w:styleId="18">
    <w:name w:val="Body Text Indent 2"/>
    <w:basedOn w:val="1"/>
    <w:next w:val="19"/>
    <w:qFormat/>
    <w:uiPriority w:val="0"/>
    <w:pPr>
      <w:adjustRightInd w:val="0"/>
      <w:snapToGrid w:val="0"/>
      <w:spacing w:line="336" w:lineRule="auto"/>
      <w:ind w:firstLine="480" w:firstLineChars="200"/>
    </w:pPr>
    <w:rPr>
      <w:rFonts w:ascii="宋体"/>
      <w:sz w:val="24"/>
    </w:rPr>
  </w:style>
  <w:style w:type="paragraph" w:styleId="19">
    <w:name w:val="Body Text First Indent 2"/>
    <w:basedOn w:val="15"/>
    <w:next w:val="1"/>
    <w:unhideWhenUsed/>
    <w:qFormat/>
    <w:uiPriority w:val="99"/>
    <w:pPr>
      <w:tabs>
        <w:tab w:val="left" w:pos="2040"/>
      </w:tabs>
      <w:adjustRightInd w:val="0"/>
      <w:spacing w:line="312" w:lineRule="atLeast"/>
      <w:ind w:left="0" w:leftChars="0"/>
      <w:jc w:val="center"/>
      <w:textAlignment w:val="baseline"/>
    </w:pPr>
    <w:rPr>
      <w:rFonts w:ascii="宋体"/>
      <w:b/>
      <w:bCs/>
      <w:sz w:val="21"/>
    </w:rPr>
  </w:style>
  <w:style w:type="paragraph" w:styleId="20">
    <w:name w:val="footer"/>
    <w:basedOn w:val="1"/>
    <w:qFormat/>
    <w:uiPriority w:val="99"/>
    <w:pPr>
      <w:tabs>
        <w:tab w:val="center" w:pos="4153"/>
        <w:tab w:val="right" w:pos="8306"/>
      </w:tabs>
      <w:snapToGrid w:val="0"/>
      <w:jc w:val="left"/>
    </w:pPr>
    <w:rPr>
      <w:kern w:val="0"/>
      <w:sz w:val="18"/>
      <w:szCs w:val="20"/>
    </w:rPr>
  </w:style>
  <w:style w:type="paragraph" w:styleId="2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22">
    <w:name w:val="toc 2"/>
    <w:basedOn w:val="1"/>
    <w:next w:val="10"/>
    <w:unhideWhenUsed/>
    <w:qFormat/>
    <w:uiPriority w:val="39"/>
    <w:pPr>
      <w:ind w:left="420" w:leftChars="200"/>
    </w:pPr>
  </w:style>
  <w:style w:type="paragraph" w:styleId="23">
    <w:name w:val="Normal (Web)"/>
    <w:basedOn w:val="1"/>
    <w:next w:val="24"/>
    <w:qFormat/>
    <w:uiPriority w:val="0"/>
    <w:pPr>
      <w:widowControl/>
      <w:spacing w:before="100" w:beforeAutospacing="1" w:after="100" w:afterAutospacing="1"/>
      <w:jc w:val="left"/>
    </w:pPr>
    <w:rPr>
      <w:rFonts w:ascii="宋体" w:hAnsi="宋体"/>
      <w:kern w:val="0"/>
      <w:sz w:val="24"/>
      <w:szCs w:val="20"/>
    </w:rPr>
  </w:style>
  <w:style w:type="paragraph" w:customStyle="1" w:styleId="24">
    <w:name w:val="toc 84"/>
    <w:next w:val="1"/>
    <w:qFormat/>
    <w:uiPriority w:val="99"/>
    <w:pPr>
      <w:wordWrap w:val="0"/>
      <w:ind w:left="2975"/>
      <w:jc w:val="both"/>
    </w:pPr>
    <w:rPr>
      <w:rFonts w:ascii="Times New Roman" w:hAnsi="Times New Roman" w:eastAsia="宋体" w:cs="Times New Roman"/>
      <w:sz w:val="21"/>
      <w:szCs w:val="22"/>
      <w:lang w:val="en-US" w:eastAsia="zh-CN" w:bidi="ar-SA"/>
    </w:rPr>
  </w:style>
  <w:style w:type="paragraph" w:styleId="25">
    <w:name w:val="annotation subject"/>
    <w:basedOn w:val="14"/>
    <w:next w:val="14"/>
    <w:link w:val="100"/>
    <w:qFormat/>
    <w:uiPriority w:val="0"/>
    <w:rPr>
      <w:b/>
      <w:bCs/>
      <w:kern w:val="2"/>
      <w:sz w:val="21"/>
      <w:szCs w:val="24"/>
    </w:rPr>
  </w:style>
  <w:style w:type="paragraph" w:styleId="26">
    <w:name w:val="Body Text First Indent"/>
    <w:basedOn w:val="2"/>
    <w:next w:val="1"/>
    <w:unhideWhenUsed/>
    <w:qFormat/>
    <w:uiPriority w:val="99"/>
    <w:pPr>
      <w:overflowPunct w:val="0"/>
      <w:autoSpaceDE w:val="0"/>
      <w:autoSpaceDN w:val="0"/>
      <w:adjustRightInd w:val="0"/>
      <w:spacing w:line="360" w:lineRule="auto"/>
      <w:ind w:firstLine="539"/>
    </w:pPr>
    <w:rPr>
      <w:sz w:val="28"/>
    </w:rPr>
  </w:style>
  <w:style w:type="table" w:styleId="28">
    <w:name w:val="Table Grid"/>
    <w:basedOn w:val="2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Strong"/>
    <w:basedOn w:val="29"/>
    <w:qFormat/>
    <w:uiPriority w:val="0"/>
    <w:rPr>
      <w:b/>
    </w:rPr>
  </w:style>
  <w:style w:type="character" w:styleId="31">
    <w:name w:val="page number"/>
    <w:basedOn w:val="29"/>
    <w:qFormat/>
    <w:uiPriority w:val="0"/>
  </w:style>
  <w:style w:type="character" w:styleId="32">
    <w:name w:val="Hyperlink"/>
    <w:basedOn w:val="29"/>
    <w:qFormat/>
    <w:uiPriority w:val="0"/>
    <w:rPr>
      <w:color w:val="0000FF"/>
      <w:u w:val="single"/>
    </w:rPr>
  </w:style>
  <w:style w:type="character" w:styleId="33">
    <w:name w:val="annotation reference"/>
    <w:semiHidden/>
    <w:qFormat/>
    <w:uiPriority w:val="0"/>
    <w:rPr>
      <w:sz w:val="21"/>
    </w:rPr>
  </w:style>
  <w:style w:type="paragraph" w:customStyle="1" w:styleId="34">
    <w:name w:val="xl27"/>
    <w:basedOn w:val="1"/>
    <w:qFormat/>
    <w:uiPriority w:val="0"/>
    <w:pPr>
      <w:widowControl/>
      <w:pBdr>
        <w:bottom w:val="single" w:color="auto" w:sz="4" w:space="0"/>
        <w:right w:val="single" w:color="auto" w:sz="4" w:space="0"/>
      </w:pBdr>
      <w:spacing w:before="100" w:beforeAutospacing="1" w:after="100" w:afterAutospacing="1"/>
      <w:jc w:val="center"/>
    </w:pPr>
    <w:rPr>
      <w:kern w:val="0"/>
      <w:szCs w:val="21"/>
    </w:rPr>
  </w:style>
  <w:style w:type="paragraph" w:customStyle="1" w:styleId="35">
    <w:name w:val="Default1"/>
    <w:basedOn w:val="36"/>
    <w:next w:val="1"/>
    <w:qFormat/>
    <w:uiPriority w:val="0"/>
    <w:pPr>
      <w:widowControl w:val="0"/>
      <w:autoSpaceDE w:val="0"/>
      <w:autoSpaceDN w:val="0"/>
      <w:adjustRightInd w:val="0"/>
    </w:pPr>
    <w:rPr>
      <w:rFonts w:ascii="宋体" w:eastAsia="宋体" w:cs="宋体"/>
      <w:color w:val="000000"/>
      <w:sz w:val="24"/>
      <w:szCs w:val="24"/>
      <w:lang w:val="en-US" w:eastAsia="zh-CN"/>
    </w:rPr>
  </w:style>
  <w:style w:type="paragraph" w:customStyle="1" w:styleId="36">
    <w:name w:val="Normal_14_0"/>
    <w:qFormat/>
    <w:uiPriority w:val="0"/>
    <w:pPr>
      <w:spacing w:before="120" w:after="240"/>
      <w:jc w:val="both"/>
    </w:pPr>
    <w:rPr>
      <w:rFonts w:ascii="Calibri" w:hAnsi="Calibri" w:eastAsia="Calibri" w:cs="Times New Roman"/>
      <w:sz w:val="22"/>
      <w:szCs w:val="22"/>
      <w:lang w:val="ru-RU" w:eastAsia="en-US" w:bidi="ar-SA"/>
    </w:rPr>
  </w:style>
  <w:style w:type="paragraph" w:customStyle="1" w:styleId="37">
    <w:name w:val="Default"/>
    <w:basedOn w:val="38"/>
    <w:next w:val="19"/>
    <w:qFormat/>
    <w:uiPriority w:val="0"/>
    <w:pPr>
      <w:autoSpaceDE w:val="0"/>
      <w:autoSpaceDN w:val="0"/>
      <w:spacing w:line="360" w:lineRule="auto"/>
      <w:jc w:val="center"/>
    </w:pPr>
    <w:rPr>
      <w:rFonts w:cs="宋体"/>
      <w:sz w:val="24"/>
    </w:rPr>
  </w:style>
  <w:style w:type="paragraph" w:customStyle="1" w:styleId="38">
    <w:name w:val="纯文本1"/>
    <w:basedOn w:val="1"/>
    <w:qFormat/>
    <w:uiPriority w:val="0"/>
    <w:pPr>
      <w:adjustRightInd w:val="0"/>
    </w:pPr>
    <w:rPr>
      <w:rFonts w:ascii="宋体" w:hAnsi="Courier New"/>
      <w:szCs w:val="20"/>
    </w:rPr>
  </w:style>
  <w:style w:type="paragraph" w:customStyle="1" w:styleId="39">
    <w:name w:val="批注文字1"/>
    <w:qFormat/>
    <w:uiPriority w:val="0"/>
    <w:pPr>
      <w:widowControl w:val="0"/>
    </w:pPr>
    <w:rPr>
      <w:rFonts w:ascii="Times New Roman" w:hAnsi="Times New Roman" w:eastAsia="Times New Roman" w:cs="Times New Roman"/>
      <w:color w:val="000000"/>
      <w:kern w:val="2"/>
      <w:sz w:val="21"/>
      <w:szCs w:val="24"/>
      <w:lang w:val="en-US" w:eastAsia="zh-CN" w:bidi="ar-SA"/>
    </w:rPr>
  </w:style>
  <w:style w:type="paragraph" w:customStyle="1" w:styleId="40">
    <w:name w:val="样式 正文文本缩进 + 行距: 1.5 倍行距"/>
    <w:basedOn w:val="15"/>
    <w:qFormat/>
    <w:uiPriority w:val="0"/>
    <w:pPr>
      <w:spacing w:line="360" w:lineRule="auto"/>
      <w:ind w:left="90" w:leftChars="32" w:firstLine="560" w:firstLineChars="200"/>
    </w:pPr>
    <w:rPr>
      <w:rFonts w:cs="宋体"/>
    </w:rPr>
  </w:style>
  <w:style w:type="paragraph" w:customStyle="1" w:styleId="41">
    <w:name w:val="样式 标题 1一级标题 + 段前: 0.5 行 段后: 0.5 行"/>
    <w:basedOn w:val="3"/>
    <w:qFormat/>
    <w:uiPriority w:val="99"/>
    <w:pPr>
      <w:spacing w:line="320" w:lineRule="exact"/>
      <w:outlineLvl w:val="9"/>
    </w:pPr>
    <w:rPr>
      <w:spacing w:val="-6"/>
      <w:sz w:val="21"/>
      <w:szCs w:val="21"/>
    </w:rPr>
  </w:style>
  <w:style w:type="paragraph" w:customStyle="1" w:styleId="42">
    <w:name w:val="表格"/>
    <w:basedOn w:val="43"/>
    <w:next w:val="1"/>
    <w:qFormat/>
    <w:uiPriority w:val="0"/>
    <w:pPr>
      <w:tabs>
        <w:tab w:val="left" w:pos="860"/>
        <w:tab w:val="left" w:pos="1075"/>
      </w:tabs>
      <w:adjustRightInd w:val="0"/>
      <w:snapToGrid w:val="0"/>
      <w:spacing w:beforeLines="10" w:afterLines="10" w:line="259" w:lineRule="auto"/>
      <w:jc w:val="center"/>
    </w:pPr>
    <w:rPr>
      <w:kern w:val="0"/>
    </w:rPr>
  </w:style>
  <w:style w:type="paragraph" w:customStyle="1" w:styleId="43">
    <w:name w:val="表头"/>
    <w:basedOn w:val="13"/>
    <w:qFormat/>
    <w:uiPriority w:val="0"/>
    <w:pPr>
      <w:tabs>
        <w:tab w:val="left" w:pos="860"/>
        <w:tab w:val="left" w:pos="1075"/>
      </w:tabs>
      <w:spacing w:before="100" w:beforeAutospacing="1"/>
      <w:outlineLvl w:val="0"/>
    </w:pPr>
    <w:rPr>
      <w:rFonts w:ascii="宋体"/>
      <w:b/>
      <w:spacing w:val="2"/>
      <w:sz w:val="24"/>
    </w:rPr>
  </w:style>
  <w:style w:type="paragraph" w:customStyle="1" w:styleId="44">
    <w:name w:val="表格内表格正文"/>
    <w:basedOn w:val="1"/>
    <w:qFormat/>
    <w:uiPriority w:val="0"/>
    <w:pPr>
      <w:jc w:val="center"/>
    </w:pPr>
    <w:rPr>
      <w:szCs w:val="21"/>
    </w:rPr>
  </w:style>
  <w:style w:type="paragraph" w:customStyle="1" w:styleId="45">
    <w:name w:val="样式 方正仿宋_GBK 三号 行距: 固定值 28 磅"/>
    <w:basedOn w:val="1"/>
    <w:qFormat/>
    <w:uiPriority w:val="0"/>
    <w:pPr>
      <w:spacing w:line="360" w:lineRule="auto"/>
      <w:ind w:firstLine="200" w:firstLineChars="200"/>
      <w:jc w:val="left"/>
    </w:pPr>
    <w:rPr>
      <w:rFonts w:ascii="方正仿宋_GBK" w:hAnsi="方正仿宋_GBK" w:cs="宋体"/>
      <w:bCs/>
      <w:sz w:val="28"/>
      <w:szCs w:val="20"/>
    </w:rPr>
  </w:style>
  <w:style w:type="paragraph" w:customStyle="1" w:styleId="46">
    <w:name w:val="00表格内容"/>
    <w:basedOn w:val="1"/>
    <w:qFormat/>
    <w:uiPriority w:val="0"/>
    <w:pPr>
      <w:jc w:val="center"/>
    </w:pPr>
  </w:style>
  <w:style w:type="table" w:customStyle="1" w:styleId="47">
    <w:name w:val="Table Normal"/>
    <w:semiHidden/>
    <w:unhideWhenUsed/>
    <w:qFormat/>
    <w:uiPriority w:val="0"/>
    <w:tblPr>
      <w:tblCellMar>
        <w:top w:w="0" w:type="dxa"/>
        <w:left w:w="0" w:type="dxa"/>
        <w:bottom w:w="0" w:type="dxa"/>
        <w:right w:w="0" w:type="dxa"/>
      </w:tblCellMar>
    </w:tblPr>
  </w:style>
  <w:style w:type="paragraph" w:customStyle="1" w:styleId="48">
    <w:name w:val="B正文"/>
    <w:basedOn w:val="1"/>
    <w:qFormat/>
    <w:uiPriority w:val="0"/>
    <w:pPr>
      <w:spacing w:line="360" w:lineRule="auto"/>
      <w:ind w:firstLine="200" w:firstLineChars="200"/>
    </w:pPr>
    <w:rPr>
      <w:kern w:val="0"/>
      <w:sz w:val="24"/>
    </w:rPr>
  </w:style>
  <w:style w:type="paragraph" w:customStyle="1" w:styleId="49">
    <w:name w:val="B表内"/>
    <w:basedOn w:val="48"/>
    <w:qFormat/>
    <w:uiPriority w:val="0"/>
    <w:pPr>
      <w:wordWrap w:val="0"/>
      <w:spacing w:line="240" w:lineRule="auto"/>
      <w:ind w:firstLine="0" w:firstLineChars="0"/>
      <w:jc w:val="center"/>
      <w:textAlignment w:val="center"/>
    </w:pPr>
    <w:rPr>
      <w:rFonts w:cs="宋体"/>
      <w:sz w:val="21"/>
      <w:szCs w:val="20"/>
    </w:rPr>
  </w:style>
  <w:style w:type="paragraph" w:customStyle="1" w:styleId="50">
    <w:name w:val="R22表格"/>
    <w:basedOn w:val="1"/>
    <w:qFormat/>
    <w:uiPriority w:val="99"/>
    <w:pPr>
      <w:autoSpaceDE w:val="0"/>
      <w:autoSpaceDN w:val="0"/>
      <w:adjustRightInd w:val="0"/>
      <w:spacing w:line="360" w:lineRule="exact"/>
      <w:jc w:val="center"/>
    </w:pPr>
    <w:rPr>
      <w:color w:val="000000"/>
      <w:kern w:val="0"/>
      <w:szCs w:val="21"/>
    </w:rPr>
  </w:style>
  <w:style w:type="paragraph" w:customStyle="1" w:styleId="51">
    <w:name w:val="正文(首行缩进)"/>
    <w:basedOn w:val="1"/>
    <w:qFormat/>
    <w:uiPriority w:val="0"/>
    <w:pPr>
      <w:spacing w:line="360" w:lineRule="auto"/>
      <w:ind w:firstLine="510"/>
    </w:pPr>
    <w:rPr>
      <w:rFonts w:ascii="宋体" w:hAnsi="宋体"/>
      <w:kern w:val="0"/>
      <w:sz w:val="24"/>
      <w:szCs w:val="20"/>
    </w:rPr>
  </w:style>
  <w:style w:type="paragraph" w:customStyle="1" w:styleId="52">
    <w:name w:val="楷体"/>
    <w:basedOn w:val="1"/>
    <w:qFormat/>
    <w:uiPriority w:val="0"/>
    <w:pPr>
      <w:adjustRightInd w:val="0"/>
      <w:spacing w:line="360" w:lineRule="auto"/>
      <w:ind w:firstLine="640" w:firstLineChars="200"/>
      <w:textAlignment w:val="baseline"/>
    </w:pPr>
    <w:rPr>
      <w:rFonts w:eastAsia="楷体"/>
      <w:kern w:val="0"/>
      <w:sz w:val="24"/>
    </w:rPr>
  </w:style>
  <w:style w:type="paragraph" w:customStyle="1" w:styleId="53">
    <w:name w:val="0表格内容"/>
    <w:basedOn w:val="1"/>
    <w:qFormat/>
    <w:uiPriority w:val="0"/>
    <w:pPr>
      <w:adjustRightInd w:val="0"/>
      <w:snapToGrid w:val="0"/>
      <w:jc w:val="center"/>
    </w:pPr>
    <w:rPr>
      <w:kern w:val="0"/>
      <w:szCs w:val="21"/>
    </w:rPr>
  </w:style>
  <w:style w:type="paragraph" w:customStyle="1" w:styleId="54">
    <w:name w:val="表文字"/>
    <w:basedOn w:val="1"/>
    <w:qFormat/>
    <w:uiPriority w:val="0"/>
    <w:pPr>
      <w:tabs>
        <w:tab w:val="left" w:pos="945"/>
        <w:tab w:val="right" w:leader="dot" w:pos="1155"/>
        <w:tab w:val="left" w:pos="8715"/>
      </w:tabs>
      <w:adjustRightInd w:val="0"/>
      <w:snapToGrid w:val="0"/>
      <w:spacing w:before="46" w:beforeLines="15" w:after="46" w:afterLines="15" w:line="360" w:lineRule="auto"/>
      <w:jc w:val="center"/>
      <w:textAlignment w:val="baseline"/>
    </w:pPr>
    <w:rPr>
      <w:rFonts w:ascii="宋体" w:hAnsi="宋体"/>
      <w:snapToGrid w:val="0"/>
      <w:color w:val="000000"/>
      <w:kern w:val="0"/>
      <w:szCs w:val="9"/>
    </w:rPr>
  </w:style>
  <w:style w:type="paragraph" w:customStyle="1" w:styleId="55">
    <w:name w:val="A0正文"/>
    <w:basedOn w:val="1"/>
    <w:qFormat/>
    <w:uiPriority w:val="0"/>
    <w:pPr>
      <w:spacing w:line="560" w:lineRule="exact"/>
      <w:ind w:firstLine="200" w:firstLineChars="200"/>
    </w:pPr>
    <w:rPr>
      <w:rFonts w:cs="宋体"/>
      <w:sz w:val="24"/>
      <w:szCs w:val="20"/>
      <w:lang w:val="zh-CN"/>
    </w:rPr>
  </w:style>
  <w:style w:type="paragraph" w:customStyle="1" w:styleId="56">
    <w:name w:val="正本文字0705"/>
    <w:basedOn w:val="1"/>
    <w:qFormat/>
    <w:uiPriority w:val="0"/>
    <w:pPr>
      <w:adjustRightInd w:val="0"/>
      <w:snapToGrid w:val="0"/>
      <w:spacing w:line="360" w:lineRule="auto"/>
      <w:ind w:firstLine="200" w:firstLineChars="200"/>
      <w:textAlignment w:val="baseline"/>
    </w:pPr>
    <w:rPr>
      <w:rFonts w:cs="宋体"/>
      <w:color w:val="000000"/>
      <w:kern w:val="18"/>
      <w:szCs w:val="20"/>
    </w:rPr>
  </w:style>
  <w:style w:type="paragraph" w:customStyle="1" w:styleId="57">
    <w:name w:val="xl26"/>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ascii="宋体" w:hAnsi="宋体"/>
      <w:kern w:val="0"/>
      <w:szCs w:val="21"/>
    </w:rPr>
  </w:style>
  <w:style w:type="paragraph" w:customStyle="1" w:styleId="58">
    <w:name w:val="正文样式"/>
    <w:basedOn w:val="1"/>
    <w:qFormat/>
    <w:uiPriority w:val="0"/>
    <w:pPr>
      <w:spacing w:line="360" w:lineRule="auto"/>
      <w:ind w:firstLine="824" w:firstLineChars="200"/>
    </w:pPr>
    <w:rPr>
      <w:kern w:val="0"/>
      <w:sz w:val="24"/>
      <w:szCs w:val="20"/>
    </w:rPr>
  </w:style>
  <w:style w:type="paragraph" w:customStyle="1" w:styleId="59">
    <w:name w:val="D正文"/>
    <w:basedOn w:val="60"/>
    <w:qFormat/>
    <w:uiPriority w:val="0"/>
    <w:pPr>
      <w:ind w:firstLine="200" w:firstLineChars="200"/>
    </w:pPr>
    <w:rPr>
      <w:rFonts w:hAnsi="Tms Rmn" w:cs="Times New Roman"/>
      <w:spacing w:val="4"/>
    </w:rPr>
  </w:style>
  <w:style w:type="paragraph" w:customStyle="1" w:styleId="60">
    <w:name w:val="正文对的"/>
    <w:basedOn w:val="17"/>
    <w:qFormat/>
    <w:uiPriority w:val="0"/>
    <w:pPr>
      <w:spacing w:line="360" w:lineRule="auto"/>
      <w:ind w:firstLine="480"/>
    </w:pPr>
    <w:rPr>
      <w:rFonts w:cs="宋体"/>
      <w:sz w:val="24"/>
    </w:rPr>
  </w:style>
  <w:style w:type="paragraph" w:customStyle="1" w:styleId="61">
    <w:name w:val="00正文加粗"/>
    <w:basedOn w:val="1"/>
    <w:qFormat/>
    <w:uiPriority w:val="0"/>
    <w:pPr>
      <w:adjustRightInd w:val="0"/>
      <w:snapToGrid w:val="0"/>
      <w:spacing w:line="360" w:lineRule="auto"/>
      <w:ind w:firstLine="482" w:firstLineChars="200"/>
    </w:pPr>
    <w:rPr>
      <w:rFonts w:eastAsia="Times New Roman" w:cs="Arial"/>
      <w:sz w:val="24"/>
    </w:rPr>
  </w:style>
  <w:style w:type="paragraph" w:styleId="62">
    <w:name w:val="List Paragraph"/>
    <w:basedOn w:val="1"/>
    <w:qFormat/>
    <w:uiPriority w:val="0"/>
    <w:pPr>
      <w:spacing w:line="360" w:lineRule="auto"/>
      <w:ind w:firstLine="420"/>
    </w:pPr>
    <w:rPr>
      <w:rFonts w:ascii="Arial" w:hAnsi="Arial"/>
      <w:sz w:val="24"/>
      <w:szCs w:val="22"/>
    </w:rPr>
  </w:style>
  <w:style w:type="paragraph" w:customStyle="1" w:styleId="63">
    <w:name w:val="111111111111111111111111"/>
    <w:basedOn w:val="64"/>
    <w:qFormat/>
    <w:uiPriority w:val="0"/>
    <w:pPr>
      <w:spacing w:before="50" w:beforeLines="50"/>
      <w:jc w:val="center"/>
    </w:pPr>
    <w:rPr>
      <w:rFonts w:cs="宋体"/>
      <w:b/>
    </w:rPr>
  </w:style>
  <w:style w:type="paragraph" w:customStyle="1" w:styleId="64">
    <w:name w:val="正本文字"/>
    <w:basedOn w:val="1"/>
    <w:qFormat/>
    <w:uiPriority w:val="0"/>
    <w:pPr>
      <w:adjustRightInd w:val="0"/>
      <w:snapToGrid w:val="0"/>
      <w:spacing w:line="360" w:lineRule="auto"/>
      <w:ind w:firstLine="480" w:firstLineChars="200"/>
      <w:jc w:val="left"/>
    </w:pPr>
    <w:rPr>
      <w:rFonts w:ascii="Calibri" w:hAnsi="Calibri"/>
      <w:kern w:val="18"/>
      <w:sz w:val="24"/>
    </w:rPr>
  </w:style>
  <w:style w:type="paragraph" w:customStyle="1" w:styleId="65">
    <w:name w:val="2222222222"/>
    <w:qFormat/>
    <w:uiPriority w:val="0"/>
    <w:pPr>
      <w:widowControl w:val="0"/>
      <w:jc w:val="center"/>
    </w:pPr>
    <w:rPr>
      <w:rFonts w:ascii="Calibri" w:hAnsi="Calibri" w:eastAsia="宋体" w:cs="Times New Roman"/>
      <w:kern w:val="2"/>
      <w:sz w:val="21"/>
      <w:szCs w:val="21"/>
      <w:lang w:val="en-US" w:eastAsia="zh-CN" w:bidi="ar-SA"/>
    </w:rPr>
  </w:style>
  <w:style w:type="paragraph" w:customStyle="1" w:styleId="66">
    <w:name w:val="font6"/>
    <w:next w:val="22"/>
    <w:qFormat/>
    <w:uiPriority w:val="0"/>
    <w:pPr>
      <w:spacing w:before="100" w:beforeAutospacing="1" w:after="100" w:afterAutospacing="1"/>
    </w:pPr>
    <w:rPr>
      <w:rFonts w:hint="eastAsia" w:ascii="宋体" w:hAnsi="宋体" w:eastAsia="宋体" w:cs="Times New Roman"/>
      <w:b/>
      <w:sz w:val="18"/>
      <w:lang w:val="en-US" w:eastAsia="zh-CN" w:bidi="ar-SA"/>
    </w:rPr>
  </w:style>
  <w:style w:type="paragraph" w:customStyle="1" w:styleId="67">
    <w:name w:val="样式35"/>
    <w:next w:val="66"/>
    <w:qFormat/>
    <w:uiPriority w:val="0"/>
    <w:pPr>
      <w:widowControl w:val="0"/>
      <w:tabs>
        <w:tab w:val="left" w:pos="992"/>
      </w:tabs>
      <w:snapToGrid w:val="0"/>
      <w:spacing w:line="240" w:lineRule="atLeast"/>
      <w:ind w:hanging="567"/>
      <w:jc w:val="center"/>
    </w:pPr>
    <w:rPr>
      <w:rFonts w:ascii="Calibri" w:hAnsi="Calibri" w:eastAsia="宋体" w:cs="Times New Roman"/>
      <w:sz w:val="21"/>
      <w:szCs w:val="21"/>
      <w:lang w:val="zh-CN" w:eastAsia="zh-CN" w:bidi="ar-SA"/>
    </w:rPr>
  </w:style>
  <w:style w:type="paragraph" w:customStyle="1" w:styleId="68">
    <w:name w:val="00表格内容小五"/>
    <w:basedOn w:val="53"/>
    <w:qFormat/>
    <w:uiPriority w:val="0"/>
    <w:pPr>
      <w:textAlignment w:val="center"/>
    </w:pPr>
    <w:rPr>
      <w:color w:val="000000" w:themeColor="text1"/>
      <w:szCs w:val="18"/>
      <w:lang w:val="zh-CN"/>
      <w14:textFill>
        <w14:solidFill>
          <w14:schemeClr w14:val="tx1"/>
        </w14:solidFill>
      </w14:textFill>
    </w:rPr>
  </w:style>
  <w:style w:type="paragraph" w:customStyle="1" w:styleId="69">
    <w:name w:val="06F图名表名"/>
    <w:basedOn w:val="70"/>
    <w:next w:val="70"/>
    <w:qFormat/>
    <w:uiPriority w:val="0"/>
    <w:rPr>
      <w:b/>
      <w:kern w:val="0"/>
      <w:sz w:val="20"/>
      <w:szCs w:val="20"/>
    </w:rPr>
  </w:style>
  <w:style w:type="paragraph" w:customStyle="1" w:styleId="70">
    <w:name w:val="07F表格文字"/>
    <w:basedOn w:val="71"/>
    <w:next w:val="1"/>
    <w:qFormat/>
    <w:uiPriority w:val="0"/>
    <w:pPr>
      <w:jc w:val="center"/>
    </w:pPr>
  </w:style>
  <w:style w:type="paragraph" w:customStyle="1" w:styleId="71">
    <w:name w:val="08F表格批注"/>
    <w:basedOn w:val="1"/>
    <w:next w:val="1"/>
    <w:qFormat/>
    <w:uiPriority w:val="0"/>
    <w:pPr>
      <w:jc w:val="left"/>
    </w:pPr>
    <w:rPr>
      <w:szCs w:val="21"/>
    </w:rPr>
  </w:style>
  <w:style w:type="paragraph" w:customStyle="1" w:styleId="72">
    <w:name w:val="A表内"/>
    <w:basedOn w:val="1"/>
    <w:qFormat/>
    <w:uiPriority w:val="0"/>
    <w:pPr>
      <w:spacing w:line="0" w:lineRule="atLeast"/>
      <w:jc w:val="center"/>
    </w:pPr>
    <w:rPr>
      <w:rFonts w:ascii="Calibri" w:hAnsi="Calibri" w:cs="宋体"/>
      <w:szCs w:val="22"/>
    </w:rPr>
  </w:style>
  <w:style w:type="paragraph" w:customStyle="1" w:styleId="73">
    <w:name w:val="05F凡式正文"/>
    <w:basedOn w:val="1"/>
    <w:qFormat/>
    <w:uiPriority w:val="0"/>
    <w:pPr>
      <w:spacing w:line="360" w:lineRule="auto"/>
      <w:ind w:firstLine="720" w:firstLineChars="200"/>
    </w:pPr>
    <w:rPr>
      <w:kern w:val="0"/>
      <w:sz w:val="24"/>
      <w:szCs w:val="20"/>
    </w:rPr>
  </w:style>
  <w:style w:type="paragraph" w:customStyle="1" w:styleId="74">
    <w:name w:val="R22表头"/>
    <w:basedOn w:val="1"/>
    <w:qFormat/>
    <w:uiPriority w:val="0"/>
    <w:pPr>
      <w:autoSpaceDE w:val="0"/>
      <w:autoSpaceDN w:val="0"/>
      <w:adjustRightInd w:val="0"/>
    </w:pPr>
    <w:rPr>
      <w:rFonts w:hAnsi="宋体" w:eastAsia="黑体" w:cs="宋体"/>
      <w:color w:val="000000"/>
      <w:kern w:val="0"/>
    </w:rPr>
  </w:style>
  <w:style w:type="paragraph" w:customStyle="1" w:styleId="75">
    <w:name w:val="表格内正文"/>
    <w:basedOn w:val="1"/>
    <w:qFormat/>
    <w:uiPriority w:val="0"/>
    <w:pPr>
      <w:spacing w:line="360" w:lineRule="auto"/>
      <w:ind w:firstLine="493"/>
    </w:pPr>
    <w:rPr>
      <w:rFonts w:ascii="宋体" w:hAnsi="宋体"/>
      <w:spacing w:val="4"/>
      <w:kern w:val="18"/>
      <w:sz w:val="24"/>
    </w:rPr>
  </w:style>
  <w:style w:type="paragraph" w:customStyle="1" w:styleId="76">
    <w:name w:val="A 正文"/>
    <w:basedOn w:val="1"/>
    <w:next w:val="1"/>
    <w:qFormat/>
    <w:uiPriority w:val="0"/>
    <w:pPr>
      <w:spacing w:line="360" w:lineRule="auto"/>
      <w:ind w:firstLine="482" w:firstLineChars="200"/>
      <w:jc w:val="center"/>
    </w:pPr>
    <w:rPr>
      <w:b/>
      <w:bCs/>
      <w:sz w:val="24"/>
      <w:szCs w:val="21"/>
    </w:rPr>
  </w:style>
  <w:style w:type="paragraph" w:customStyle="1" w:styleId="77">
    <w:name w:val="04F报告表小标题"/>
    <w:basedOn w:val="78"/>
    <w:next w:val="73"/>
    <w:qFormat/>
    <w:uiPriority w:val="0"/>
    <w:pPr>
      <w:ind w:firstLine="720" w:firstLineChars="200"/>
    </w:pPr>
    <w:rPr>
      <w:sz w:val="24"/>
      <w:szCs w:val="24"/>
    </w:rPr>
  </w:style>
  <w:style w:type="paragraph" w:customStyle="1" w:styleId="78">
    <w:name w:val="03F报告表顶格标题"/>
    <w:basedOn w:val="73"/>
    <w:next w:val="77"/>
    <w:qFormat/>
    <w:uiPriority w:val="0"/>
    <w:pPr>
      <w:ind w:firstLine="0" w:firstLineChars="0"/>
      <w:jc w:val="left"/>
    </w:pPr>
    <w:rPr>
      <w:b/>
      <w:sz w:val="28"/>
      <w:szCs w:val="28"/>
    </w:rPr>
  </w:style>
  <w:style w:type="paragraph" w:customStyle="1" w:styleId="79">
    <w:name w:val="标题1.1"/>
    <w:basedOn w:val="1"/>
    <w:qFormat/>
    <w:uiPriority w:val="0"/>
    <w:pPr>
      <w:adjustRightInd w:val="0"/>
      <w:snapToGrid w:val="0"/>
      <w:spacing w:line="360" w:lineRule="auto"/>
      <w:jc w:val="left"/>
    </w:pPr>
    <w:rPr>
      <w:rFonts w:eastAsia="黑体"/>
      <w:bCs/>
      <w:color w:val="000000"/>
      <w:sz w:val="24"/>
    </w:rPr>
  </w:style>
  <w:style w:type="paragraph" w:customStyle="1" w:styleId="80">
    <w:name w:val="德正表格"/>
    <w:basedOn w:val="1"/>
    <w:qFormat/>
    <w:uiPriority w:val="0"/>
    <w:pPr>
      <w:adjustRightInd w:val="0"/>
      <w:snapToGrid w:val="0"/>
      <w:jc w:val="center"/>
    </w:pPr>
  </w:style>
  <w:style w:type="paragraph" w:customStyle="1" w:styleId="81">
    <w:name w:val="样式10"/>
    <w:basedOn w:val="82"/>
    <w:qFormat/>
    <w:uiPriority w:val="0"/>
    <w:pPr>
      <w:numPr>
        <w:ilvl w:val="0"/>
        <w:numId w:val="2"/>
      </w:numPr>
      <w:ind w:firstLine="0"/>
    </w:pPr>
    <w:rPr>
      <w:rFonts w:eastAsia="宋体"/>
      <w:b/>
      <w:sz w:val="24"/>
    </w:rPr>
  </w:style>
  <w:style w:type="paragraph" w:customStyle="1" w:styleId="82">
    <w:name w:val="表格标题"/>
    <w:basedOn w:val="1"/>
    <w:next w:val="1"/>
    <w:qFormat/>
    <w:uiPriority w:val="0"/>
    <w:pPr>
      <w:adjustRightInd w:val="0"/>
      <w:snapToGrid w:val="0"/>
      <w:jc w:val="center"/>
    </w:pPr>
    <w:rPr>
      <w:rFonts w:eastAsia="黑体"/>
      <w:color w:val="000000"/>
    </w:rPr>
  </w:style>
  <w:style w:type="character" w:customStyle="1" w:styleId="83">
    <w:name w:val="纯文本 字符"/>
    <w:link w:val="17"/>
    <w:qFormat/>
    <w:uiPriority w:val="0"/>
    <w:rPr>
      <w:rFonts w:ascii="宋体" w:hAnsi="Courier New"/>
      <w:szCs w:val="20"/>
    </w:rPr>
  </w:style>
  <w:style w:type="paragraph" w:customStyle="1" w:styleId="84">
    <w:name w:val="表内文本"/>
    <w:basedOn w:val="1"/>
    <w:next w:val="1"/>
    <w:qFormat/>
    <w:uiPriority w:val="0"/>
    <w:pPr>
      <w:spacing w:line="360" w:lineRule="exact"/>
      <w:jc w:val="center"/>
    </w:pPr>
    <w:rPr>
      <w:color w:val="000000"/>
      <w:szCs w:val="52"/>
    </w:rPr>
  </w:style>
  <w:style w:type="paragraph" w:customStyle="1" w:styleId="85">
    <w:name w:val="a表格"/>
    <w:next w:val="1"/>
    <w:qFormat/>
    <w:uiPriority w:val="0"/>
    <w:pPr>
      <w:jc w:val="center"/>
    </w:pPr>
    <w:rPr>
      <w:rFonts w:ascii="Times New Roman" w:hAnsi="Times New Roman" w:eastAsia="宋体" w:cs="Times New Roman"/>
      <w:sz w:val="21"/>
      <w:szCs w:val="24"/>
      <w:lang w:val="en-US" w:eastAsia="zh-CN" w:bidi="ar-SA"/>
    </w:rPr>
  </w:style>
  <w:style w:type="paragraph" w:customStyle="1" w:styleId="86">
    <w:name w:val="Table Text"/>
    <w:basedOn w:val="1"/>
    <w:semiHidden/>
    <w:qFormat/>
    <w:uiPriority w:val="0"/>
    <w:rPr>
      <w:rFonts w:ascii="宋体" w:hAnsi="宋体" w:cs="宋体"/>
      <w:sz w:val="20"/>
      <w:szCs w:val="20"/>
      <w:lang w:eastAsia="en-US"/>
    </w:rPr>
  </w:style>
  <w:style w:type="paragraph" w:customStyle="1" w:styleId="87">
    <w:name w:val="Char Char Char"/>
    <w:basedOn w:val="1"/>
    <w:qFormat/>
    <w:uiPriority w:val="0"/>
    <w:rPr>
      <w:szCs w:val="20"/>
    </w:rPr>
  </w:style>
  <w:style w:type="paragraph" w:customStyle="1" w:styleId="88">
    <w:name w:val="0表头"/>
    <w:basedOn w:val="1"/>
    <w:qFormat/>
    <w:uiPriority w:val="0"/>
    <w:pPr>
      <w:widowControl/>
      <w:snapToGrid w:val="0"/>
      <w:spacing w:line="400" w:lineRule="exact"/>
      <w:jc w:val="center"/>
    </w:pPr>
    <w:rPr>
      <w:b/>
      <w:kern w:val="0"/>
      <w:szCs w:val="21"/>
    </w:rPr>
  </w:style>
  <w:style w:type="paragraph" w:customStyle="1" w:styleId="89">
    <w:name w:val="报告表正文"/>
    <w:basedOn w:val="1"/>
    <w:qFormat/>
    <w:uiPriority w:val="0"/>
    <w:pPr>
      <w:adjustRightInd w:val="0"/>
      <w:spacing w:line="312" w:lineRule="auto"/>
      <w:ind w:left="113" w:right="113" w:firstLine="482"/>
      <w:jc w:val="left"/>
      <w:textAlignment w:val="baseline"/>
    </w:pPr>
    <w:rPr>
      <w:kern w:val="0"/>
      <w:szCs w:val="20"/>
    </w:rPr>
  </w:style>
  <w:style w:type="character" w:customStyle="1" w:styleId="90">
    <w:name w:val="fontstyle01"/>
    <w:basedOn w:val="29"/>
    <w:qFormat/>
    <w:uiPriority w:val="0"/>
    <w:rPr>
      <w:rFonts w:hint="eastAsia" w:ascii="宋体" w:hAnsi="宋体" w:eastAsia="宋体" w:cs="宋体"/>
      <w:color w:val="000000"/>
      <w:sz w:val="24"/>
      <w:szCs w:val="24"/>
    </w:rPr>
  </w:style>
  <w:style w:type="paragraph" w:customStyle="1" w:styleId="91">
    <w:name w:val="样式 小四 行距: 1.5 倍行距"/>
    <w:basedOn w:val="1"/>
    <w:qFormat/>
    <w:uiPriority w:val="0"/>
    <w:pPr>
      <w:ind w:firstLine="480"/>
    </w:pPr>
    <w:rPr>
      <w:rFonts w:cs="宋体"/>
    </w:rPr>
  </w:style>
  <w:style w:type="paragraph" w:customStyle="1" w:styleId="92">
    <w:name w:val="yt正文"/>
    <w:basedOn w:val="1"/>
    <w:qFormat/>
    <w:uiPriority w:val="0"/>
    <w:pPr>
      <w:ind w:firstLine="1446"/>
    </w:pPr>
  </w:style>
  <w:style w:type="paragraph" w:customStyle="1" w:styleId="93">
    <w:name w:val="正文2"/>
    <w:basedOn w:val="1"/>
    <w:qFormat/>
    <w:uiPriority w:val="0"/>
    <w:pPr>
      <w:adjustRightInd w:val="0"/>
      <w:ind w:firstLine="480"/>
      <w:textAlignment w:val="baseline"/>
    </w:pPr>
    <w:rPr>
      <w:rFonts w:ascii="宋体" w:hAnsi="宋体" w:cs="宋体"/>
      <w:kern w:val="21"/>
    </w:rPr>
  </w:style>
  <w:style w:type="paragraph" w:customStyle="1" w:styleId="94">
    <w:name w:val="D图表小四"/>
    <w:basedOn w:val="1"/>
    <w:qFormat/>
    <w:uiPriority w:val="0"/>
    <w:pPr>
      <w:spacing w:before="120" w:after="120"/>
      <w:jc w:val="center"/>
    </w:pPr>
    <w:rPr>
      <w:b/>
    </w:rPr>
  </w:style>
  <w:style w:type="paragraph" w:customStyle="1" w:styleId="95">
    <w:name w:val="Body text|1"/>
    <w:basedOn w:val="1"/>
    <w:qFormat/>
    <w:uiPriority w:val="0"/>
    <w:pPr>
      <w:spacing w:line="401" w:lineRule="auto"/>
      <w:ind w:firstLine="400"/>
    </w:pPr>
    <w:rPr>
      <w:rFonts w:ascii="宋体" w:hAnsi="宋体" w:cs="宋体"/>
      <w:sz w:val="22"/>
      <w:szCs w:val="22"/>
      <w:lang w:val="zh-TW" w:eastAsia="zh-TW" w:bidi="zh-TW"/>
    </w:rPr>
  </w:style>
  <w:style w:type="paragraph" w:customStyle="1" w:styleId="96">
    <w:name w:val="Table Paragraph"/>
    <w:basedOn w:val="1"/>
    <w:qFormat/>
    <w:uiPriority w:val="1"/>
  </w:style>
  <w:style w:type="paragraph" w:customStyle="1" w:styleId="97">
    <w:name w:val="正文样式2"/>
    <w:basedOn w:val="1"/>
    <w:qFormat/>
    <w:uiPriority w:val="0"/>
    <w:pPr>
      <w:spacing w:line="440" w:lineRule="exact"/>
      <w:ind w:firstLine="200" w:firstLineChars="200"/>
      <w:jc w:val="left"/>
    </w:pPr>
    <w:rPr>
      <w:sz w:val="24"/>
    </w:rPr>
  </w:style>
  <w:style w:type="paragraph" w:customStyle="1" w:styleId="98">
    <w:name w:val="冠恒"/>
    <w:basedOn w:val="1"/>
    <w:qFormat/>
    <w:uiPriority w:val="0"/>
    <w:pPr>
      <w:spacing w:line="360" w:lineRule="auto"/>
      <w:ind w:firstLine="720" w:firstLineChars="200"/>
    </w:pPr>
    <w:rPr>
      <w:sz w:val="24"/>
    </w:rPr>
  </w:style>
  <w:style w:type="character" w:customStyle="1" w:styleId="99">
    <w:name w:val="批注文字 字符"/>
    <w:basedOn w:val="29"/>
    <w:link w:val="14"/>
    <w:semiHidden/>
    <w:qFormat/>
    <w:uiPriority w:val="0"/>
    <w:rPr>
      <w:sz w:val="24"/>
    </w:rPr>
  </w:style>
  <w:style w:type="character" w:customStyle="1" w:styleId="100">
    <w:name w:val="批注主题 字符"/>
    <w:basedOn w:val="99"/>
    <w:link w:val="25"/>
    <w:qFormat/>
    <w:uiPriority w:val="0"/>
    <w:rPr>
      <w:b/>
      <w:bCs/>
      <w:kern w:val="2"/>
      <w:sz w:val="21"/>
      <w:szCs w:val="24"/>
    </w:rPr>
  </w:style>
  <w:style w:type="paragraph" w:customStyle="1" w:styleId="101">
    <w:name w:val="aa正文"/>
    <w:basedOn w:val="1"/>
    <w:qFormat/>
    <w:uiPriority w:val="0"/>
    <w:pPr>
      <w:widowControl/>
      <w:spacing w:line="360" w:lineRule="auto"/>
      <w:jc w:val="left"/>
    </w:pPr>
    <w:rPr>
      <w:rFonts w:cs="宋体"/>
      <w:sz w:val="24"/>
    </w:rPr>
  </w:style>
  <w:style w:type="paragraph" w:customStyle="1" w:styleId="102">
    <w:name w:val="表格内容"/>
    <w:basedOn w:val="82"/>
    <w:next w:val="1"/>
    <w:qFormat/>
    <w:uiPriority w:val="0"/>
    <w:pPr>
      <w:jc w:val="center"/>
    </w:pPr>
    <w:rPr>
      <w:rFonts w:cs="宋体"/>
      <w:color w:val="000000"/>
      <w:sz w:val="24"/>
      <w:szCs w:val="24"/>
      <w:lang w:val="en-US" w:eastAsia="zh-CN" w:bidi="ar-SA"/>
    </w:rPr>
  </w:style>
  <w:style w:type="paragraph" w:customStyle="1" w:styleId="103">
    <w:name w:val="1、正文-德正"/>
    <w:basedOn w:val="1"/>
    <w:qFormat/>
    <w:uiPriority w:val="0"/>
    <w:pPr>
      <w:spacing w:line="360" w:lineRule="auto"/>
      <w:ind w:firstLine="720" w:firstLineChars="200"/>
    </w:pPr>
    <w:rPr>
      <w:kern w:val="0"/>
      <w:sz w:val="24"/>
      <w:szCs w:val="20"/>
    </w:rPr>
  </w:style>
  <w:style w:type="paragraph" w:customStyle="1" w:styleId="104">
    <w:name w:val="05F表格文字"/>
    <w:basedOn w:val="1"/>
    <w:qFormat/>
    <w:uiPriority w:val="0"/>
    <w:pPr>
      <w:spacing w:line="240" w:lineRule="auto"/>
      <w:ind w:firstLine="0" w:firstLineChars="0"/>
      <w:jc w:val="center"/>
    </w:pPr>
    <w:rPr>
      <w:rFonts w:ascii="Times New Roman" w:hAnsi="Times New Roman"/>
      <w:sz w:val="21"/>
      <w:szCs w:val="21"/>
    </w:rPr>
  </w:style>
  <w:style w:type="paragraph" w:customStyle="1" w:styleId="105">
    <w:name w:val="常用表头样式"/>
    <w:basedOn w:val="26"/>
    <w:next w:val="1"/>
    <w:qFormat/>
    <w:uiPriority w:val="0"/>
    <w:pPr>
      <w:keepNext w:val="0"/>
      <w:keepLines w:val="0"/>
      <w:widowControl w:val="0"/>
      <w:suppressLineNumbers w:val="0"/>
      <w:spacing w:before="50" w:beforeLines="50" w:beforeAutospacing="0" w:after="0" w:afterAutospacing="0"/>
      <w:ind w:left="0" w:right="0"/>
      <w:jc w:val="center"/>
    </w:pPr>
    <w:rPr>
      <w:rFonts w:hint="default" w:ascii="Times New Roman" w:hAnsi="Times New Roman" w:eastAsia="宋体" w:cs="Times New Roman"/>
      <w:b/>
      <w:kern w:val="2"/>
      <w:sz w:val="21"/>
      <w:szCs w:val="21"/>
      <w:lang w:val="en-US" w:eastAsia="zh-CN" w:bidi="ar"/>
    </w:rPr>
  </w:style>
  <w:style w:type="paragraph" w:customStyle="1" w:styleId="106">
    <w:name w:val="表"/>
    <w:basedOn w:val="1"/>
    <w:qFormat/>
    <w:uiPriority w:val="0"/>
    <w:pPr>
      <w:snapToGrid w:val="0"/>
      <w:jc w:val="center"/>
    </w:pPr>
    <w:rPr>
      <w:spacing w:val="2"/>
      <w:szCs w:val="20"/>
    </w:rPr>
  </w:style>
  <w:style w:type="paragraph" w:customStyle="1" w:styleId="107">
    <w:name w:val="表格内容-德正"/>
    <w:qFormat/>
    <w:uiPriority w:val="99"/>
    <w:pPr>
      <w:autoSpaceDE w:val="0"/>
      <w:autoSpaceDN w:val="0"/>
      <w:adjustRightInd w:val="0"/>
      <w:jc w:val="center"/>
    </w:pPr>
    <w:rPr>
      <w:rFonts w:ascii="Times New Roman" w:hAnsi="Times New Roman" w:eastAsia="宋体" w:cs="Times New Roman"/>
      <w:color w:val="000000"/>
      <w:sz w:val="21"/>
      <w:szCs w:val="21"/>
      <w:lang w:val="en-US" w:eastAsia="zh-CN" w:bidi="ar-SA"/>
    </w:rPr>
  </w:style>
  <w:style w:type="paragraph" w:customStyle="1" w:styleId="108">
    <w:name w:val="正文首行缩进 2 + Times New Roman"/>
    <w:basedOn w:val="1"/>
    <w:qFormat/>
    <w:uiPriority w:val="0"/>
    <w:pPr>
      <w:tabs>
        <w:tab w:val="left" w:pos="0"/>
        <w:tab w:val="left" w:pos="870"/>
        <w:tab w:val="left" w:pos="3150"/>
      </w:tabs>
      <w:autoSpaceDE w:val="0"/>
      <w:autoSpaceDN w:val="0"/>
      <w:spacing w:line="360" w:lineRule="auto"/>
      <w:ind w:firstLine="480" w:firstLineChars="200"/>
      <w:jc w:val="left"/>
    </w:pPr>
    <w:rPr>
      <w:sz w:val="24"/>
    </w:rPr>
  </w:style>
  <w:style w:type="paragraph" w:customStyle="1" w:styleId="109">
    <w:name w:val="0.5正文"/>
    <w:basedOn w:val="1"/>
    <w:next w:val="1"/>
    <w:qFormat/>
    <w:uiPriority w:val="0"/>
    <w:pPr>
      <w:spacing w:beforeLines="50"/>
    </w:pPr>
  </w:style>
  <w:style w:type="paragraph" w:customStyle="1" w:styleId="110">
    <w:name w:val="表内容"/>
    <w:basedOn w:val="1"/>
    <w:qFormat/>
    <w:uiPriority w:val="0"/>
    <w:pPr>
      <w:spacing w:line="240" w:lineRule="auto"/>
      <w:ind w:firstLine="0" w:firstLineChars="0"/>
      <w:jc w:val="center"/>
    </w:pPr>
    <w:rPr>
      <w:rFonts w:ascii="宋体" w:hAnsi="宋体"/>
      <w:snapToGrid w:val="0"/>
      <w:sz w:val="21"/>
      <w:szCs w:val="21"/>
    </w:rPr>
  </w:style>
  <w:style w:type="paragraph" w:customStyle="1" w:styleId="111">
    <w:name w:val="表格文字"/>
    <w:qFormat/>
    <w:uiPriority w:val="0"/>
    <w:pPr>
      <w:spacing w:before="10" w:beforeLines="10" w:after="10" w:afterLines="10" w:line="0" w:lineRule="atLeast"/>
      <w:jc w:val="center"/>
    </w:pPr>
    <w:rPr>
      <w:rFonts w:ascii="Times New Roman" w:hAnsi="Times New Roman" w:eastAsia="宋体" w:cs="Times New Roman"/>
      <w:kern w:val="2"/>
      <w:sz w:val="18"/>
      <w:szCs w:val="21"/>
      <w:lang w:val="en-US" w:eastAsia="zh-CN" w:bidi="ar-SA"/>
    </w:rPr>
  </w:style>
  <w:style w:type="paragraph" w:customStyle="1" w:styleId="112">
    <w:name w:val="p0"/>
    <w:basedOn w:val="1"/>
    <w:qFormat/>
    <w:uiPriority w:val="0"/>
    <w:pPr>
      <w:widowControl/>
    </w:pPr>
    <w:rPr>
      <w:kern w:val="0"/>
    </w:rPr>
  </w:style>
  <w:style w:type="paragraph" w:customStyle="1" w:styleId="113">
    <w:name w:val="表中文字0720"/>
    <w:basedOn w:val="1"/>
    <w:qFormat/>
    <w:uiPriority w:val="0"/>
    <w:pPr>
      <w:snapToGrid w:val="0"/>
      <w:spacing w:line="240" w:lineRule="auto"/>
      <w:jc w:val="center"/>
    </w:pPr>
    <w:rPr>
      <w:snapToGrid w:val="0"/>
      <w:color w:val="000000"/>
      <w:spacing w:val="4"/>
      <w:szCs w:val="21"/>
    </w:rPr>
  </w:style>
  <w:style w:type="paragraph" w:customStyle="1" w:styleId="114">
    <w:name w:val="报告正文"/>
    <w:basedOn w:val="1"/>
    <w:qFormat/>
    <w:uiPriority w:val="0"/>
    <w:pPr>
      <w:adjustRightInd w:val="0"/>
      <w:spacing w:line="360" w:lineRule="auto"/>
      <w:ind w:firstLine="480" w:firstLineChars="200"/>
    </w:pPr>
    <w:rPr>
      <w:rFonts w:eastAsia="仿宋_GB2312"/>
      <w:sz w:val="24"/>
      <w:lang w:val="en-GB"/>
    </w:rPr>
  </w:style>
  <w:style w:type="paragraph" w:customStyle="1" w:styleId="115">
    <w:name w:val="样式 标题 2"/>
    <w:basedOn w:val="4"/>
    <w:qFormat/>
    <w:uiPriority w:val="0"/>
    <w:pPr>
      <w:spacing w:before="50" w:after="50"/>
    </w:pPr>
    <w:rPr>
      <w:szCs w:val="28"/>
    </w:rPr>
  </w:style>
  <w:style w:type="table" w:customStyle="1" w:styleId="116">
    <w:name w:val="表格标准格式"/>
    <w:basedOn w:val="27"/>
    <w:qFormat/>
    <w:uiPriority w:val="99"/>
    <w:pPr>
      <w:jc w:val="center"/>
    </w:pPr>
    <w:rPr>
      <w:rFonts w:ascii="Times New Roman" w:hAnsi="Times New Roman" w:eastAsia="宋体"/>
    </w:rPr>
    <w:tblPr>
      <w:tblBorders>
        <w:top w:val="single" w:color="auto" w:sz="12" w:space="0"/>
        <w:bottom w:val="single" w:color="auto" w:sz="12" w:space="0"/>
        <w:insideH w:val="single" w:color="auto" w:sz="6" w:space="0"/>
        <w:insideV w:val="single" w:color="auto" w:sz="6" w:space="0"/>
      </w:tblBorders>
    </w:tblPr>
    <w:tcPr>
      <w:vAlign w:val="center"/>
    </w:tcPr>
  </w:style>
  <w:style w:type="paragraph" w:customStyle="1" w:styleId="117">
    <w:name w:val="D表内"/>
    <w:basedOn w:val="118"/>
    <w:autoRedefine/>
    <w:qFormat/>
    <w:uiPriority w:val="0"/>
    <w:pPr>
      <w:spacing w:before="40" w:after="40" w:line="240" w:lineRule="auto"/>
      <w:ind w:firstLine="0" w:firstLineChars="0"/>
      <w:jc w:val="center"/>
    </w:pPr>
    <w:rPr>
      <w:rFonts w:cs="Times New Roman"/>
      <w:kern w:val="2"/>
      <w:sz w:val="21"/>
      <w:szCs w:val="21"/>
      <w:lang w:eastAsia="zh-CN"/>
    </w:rPr>
  </w:style>
  <w:style w:type="paragraph" w:customStyle="1" w:styleId="118">
    <w:name w:val="图表"/>
    <w:basedOn w:val="119"/>
    <w:autoRedefine/>
    <w:semiHidden/>
    <w:qFormat/>
    <w:uiPriority w:val="0"/>
    <w:pPr>
      <w:spacing w:before="120" w:after="120"/>
      <w:jc w:val="center"/>
    </w:pPr>
    <w:rPr>
      <w:szCs w:val="21"/>
    </w:rPr>
  </w:style>
  <w:style w:type="paragraph" w:customStyle="1" w:styleId="119">
    <w:name w:val="表头样式1"/>
    <w:basedOn w:val="1"/>
    <w:autoRedefine/>
    <w:qFormat/>
    <w:uiPriority w:val="0"/>
    <w:pPr>
      <w:spacing w:after="80" w:afterLines="0" w:line="480" w:lineRule="atLeast"/>
      <w:jc w:val="center"/>
    </w:pPr>
    <w:rPr>
      <w:rFonts w:eastAsia="黑体"/>
      <w:b/>
      <w:sz w:val="24"/>
      <w:szCs w:val="20"/>
    </w:rPr>
  </w:style>
  <w:style w:type="paragraph" w:customStyle="1" w:styleId="120">
    <w:name w:val="表格五号"/>
    <w:basedOn w:val="17"/>
    <w:qFormat/>
    <w:uiPriority w:val="0"/>
    <w:pPr>
      <w:adjustRightInd w:val="0"/>
      <w:snapToGrid w:val="0"/>
      <w:spacing w:line="210" w:lineRule="atLeast"/>
      <w:jc w:val="center"/>
      <w:textAlignment w:val="baseline"/>
    </w:pPr>
    <w:rPr>
      <w:rFonts w:ascii="Times New Roman" w:hAnsi="Times New Roman"/>
      <w:kern w:val="0"/>
    </w:rPr>
  </w:style>
  <w:style w:type="paragraph" w:customStyle="1" w:styleId="121">
    <w:name w:val="ZH表格内字体"/>
    <w:basedOn w:val="1"/>
    <w:qFormat/>
    <w:uiPriority w:val="0"/>
    <w:pPr>
      <w:jc w:val="center"/>
    </w:pPr>
    <w:rPr>
      <w:rFonts w:eastAsia="Times New Roman"/>
      <w:szCs w:val="21"/>
    </w:rPr>
  </w:style>
  <w:style w:type="paragraph" w:customStyle="1" w:styleId="122">
    <w:name w:val="中文报告书样式"/>
    <w:basedOn w:val="1"/>
    <w:qFormat/>
    <w:uiPriority w:val="0"/>
    <w:pPr>
      <w:adjustRightInd w:val="0"/>
      <w:spacing w:line="480" w:lineRule="atLeast"/>
      <w:ind w:firstLine="482"/>
    </w:pPr>
    <w:rPr>
      <w:kern w:val="24"/>
      <w:sz w:val="24"/>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0" Type="http://schemas.openxmlformats.org/officeDocument/2006/relationships/fontTable" Target="fontTable.xml"/><Relationship Id="rId4" Type="http://schemas.openxmlformats.org/officeDocument/2006/relationships/footer" Target="footer2.xml"/><Relationship Id="rId39" Type="http://schemas.openxmlformats.org/officeDocument/2006/relationships/numbering" Target="numbering.xml"/><Relationship Id="rId38" Type="http://schemas.openxmlformats.org/officeDocument/2006/relationships/customXml" Target="../customXml/item1.xml"/><Relationship Id="rId37" Type="http://schemas.openxmlformats.org/officeDocument/2006/relationships/image" Target="media/image23.jpeg"/><Relationship Id="rId36" Type="http://schemas.openxmlformats.org/officeDocument/2006/relationships/image" Target="media/image22.jpeg"/><Relationship Id="rId35" Type="http://schemas.openxmlformats.org/officeDocument/2006/relationships/image" Target="media/image21.png"/><Relationship Id="rId34" Type="http://schemas.openxmlformats.org/officeDocument/2006/relationships/image" Target="media/image20.jpeg"/><Relationship Id="rId33" Type="http://schemas.openxmlformats.org/officeDocument/2006/relationships/image" Target="media/image19.jpeg"/><Relationship Id="rId32" Type="http://schemas.openxmlformats.org/officeDocument/2006/relationships/image" Target="media/image18.jpeg"/><Relationship Id="rId31" Type="http://schemas.openxmlformats.org/officeDocument/2006/relationships/image" Target="media/image17.jpeg"/><Relationship Id="rId30" Type="http://schemas.openxmlformats.org/officeDocument/2006/relationships/image" Target="media/image16.jpeg"/><Relationship Id="rId3" Type="http://schemas.openxmlformats.org/officeDocument/2006/relationships/footer" Target="footer1.xml"/><Relationship Id="rId29" Type="http://schemas.openxmlformats.org/officeDocument/2006/relationships/image" Target="media/image15.jpeg"/><Relationship Id="rId28" Type="http://schemas.openxmlformats.org/officeDocument/2006/relationships/image" Target="media/image14.wmf"/><Relationship Id="rId27" Type="http://schemas.openxmlformats.org/officeDocument/2006/relationships/oleObject" Target="embeddings/oleObject6.bin"/><Relationship Id="rId26" Type="http://schemas.openxmlformats.org/officeDocument/2006/relationships/image" Target="media/image13.wmf"/><Relationship Id="rId25" Type="http://schemas.openxmlformats.org/officeDocument/2006/relationships/oleObject" Target="embeddings/oleObject5.bin"/><Relationship Id="rId24" Type="http://schemas.openxmlformats.org/officeDocument/2006/relationships/image" Target="media/image12.wmf"/><Relationship Id="rId23" Type="http://schemas.openxmlformats.org/officeDocument/2006/relationships/oleObject" Target="embeddings/oleObject4.bin"/><Relationship Id="rId22" Type="http://schemas.openxmlformats.org/officeDocument/2006/relationships/image" Target="media/image11.wmf"/><Relationship Id="rId21" Type="http://schemas.openxmlformats.org/officeDocument/2006/relationships/oleObject" Target="embeddings/oleObject3.bin"/><Relationship Id="rId20" Type="http://schemas.openxmlformats.org/officeDocument/2006/relationships/image" Target="media/image10.wmf"/><Relationship Id="rId2" Type="http://schemas.openxmlformats.org/officeDocument/2006/relationships/settings" Target="settings.xml"/><Relationship Id="rId19" Type="http://schemas.openxmlformats.org/officeDocument/2006/relationships/oleObject" Target="embeddings/oleObject2.bin"/><Relationship Id="rId18" Type="http://schemas.openxmlformats.org/officeDocument/2006/relationships/image" Target="media/image9.wmf"/><Relationship Id="rId17" Type="http://schemas.openxmlformats.org/officeDocument/2006/relationships/oleObject" Target="embeddings/oleObject1.bin"/><Relationship Id="rId16" Type="http://schemas.openxmlformats.org/officeDocument/2006/relationships/image" Target="media/image8.png"/><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jpeg"/><Relationship Id="rId11" Type="http://schemas.openxmlformats.org/officeDocument/2006/relationships/image" Target="media/image3.jpeg"/><Relationship Id="rId10" Type="http://schemas.openxmlformats.org/officeDocument/2006/relationships/image" Target="media/image2.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80</Pages>
  <Words>16508</Words>
  <Characters>17104</Characters>
  <Lines>401</Lines>
  <Paragraphs>112</Paragraphs>
  <TotalTime>7</TotalTime>
  <ScaleCrop>false</ScaleCrop>
  <LinksUpToDate>false</LinksUpToDate>
  <CharactersWithSpaces>17436</CharactersWithSpaces>
  <Application>WPS Office_12.8.2.20327_F1E327BC-269C-435d-A152-05C5408002CA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2025-06-16T11:01:00Z</dcterms:created>
  <dc:creator>ᴳᴼᴼᴰ ᴹᴼᴿᴺᴵᴺᴳ</dc:creator>
  <cp:lastModifiedBy>小愤青菜</cp:lastModifiedBy>
  <dcterms:modified xsi:type="dcterms:W3CDTF">2025-12-04T14:18:54Z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2052-12.8.2.20327</vt:lpwstr>
  </property>
  <property fmtid="{D5CDD505-2E9C-101B-9397-08002B2CF9AE}" pid="3" name="ICV">
    <vt:lpwstr>1D121B4F9C4B4C93A8777F8D7E15F60F_13</vt:lpwstr>
  </property>
  <property fmtid="{D5CDD505-2E9C-101B-9397-08002B2CF9AE}" pid="4" name="KSOTemplateDocerSaveRecord">
    <vt:lpwstr>eyJoZGlkIjoiNTQ0NTE0NDRjNTAyYjkwMTg5NGIwOWM0MjYzNGQ0NjciLCJ1c2VySWQiOiIxMjcwMTczMzY0In0=</vt:lpwstr>
  </property>
</Properties>
</file>