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7" w:lineRule="atLeast"/>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高安市龙潭镇2021年政府信息公开工作</w:t>
      </w:r>
    </w:p>
    <w:p>
      <w:pPr>
        <w:pStyle w:val="2"/>
        <w:keepNext w:val="0"/>
        <w:keepLines w:val="0"/>
        <w:widowControl/>
        <w:suppressLineNumbers w:val="0"/>
        <w:spacing w:before="0" w:beforeAutospacing="0" w:after="0" w:afterAutospacing="0" w:line="27" w:lineRule="atLeas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bookmarkEnd w:id="0"/>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龙潭镇结合有关统计数据编制。本年度报告中所列数据的统计期限自2021年1月1日起至2021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龙潭镇党政办公室联系（地址：江高安市龙潭镇龙潭大道北路1号，电话：0795-5610280，邮编：330819）。</w:t>
      </w:r>
    </w:p>
    <w:p>
      <w:pPr>
        <w:pStyle w:val="2"/>
        <w:keepNext w:val="0"/>
        <w:keepLines w:val="0"/>
        <w:widowControl/>
        <w:suppressLineNumbers w:val="0"/>
        <w:spacing w:before="0" w:beforeAutospacing="0" w:after="0" w:afterAutospacing="0" w:line="27" w:lineRule="atLeast"/>
        <w:ind w:left="0" w:firstLine="420"/>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一、总体情况</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龙潭镇在市委、市政府的正确领导下，坚持以习近平新时代中国特色社会主义思想为指导，深入贯彻党的十九大和十九届二中、三中、四中、五中、六中全会精神，严格落实《国务院办公厅印发〈关于全面推进政务公开工作的意见〉实施细则的通知》（国办发〔2016〕80号）以及《2021年高安市政务公开工作要点》的文件精神。按照高安市政府信息公开工作的统一部署和要求，做到信息公开及时、内容更新及时，不断强化责任担当，提高政府信息公开水平，有力辅助和促进其他工作的开展，并切实保障和维护人民群众对政府政务信息的知情权。</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（一）主动公开</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2021年，龙潭镇共发布政务公开信息81条，其中决策公开7条，执行公开7条，管理公开56条，结果公开2条，财政预决算7条，信息公开年度报告1条，信息公开指南1条。</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（二）依申请公开</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2021年，我单位共接到依申请公开办件0件。</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（三）政府信息管理</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1、我镇高度重视政府信息公开工作，在本年度加强领导，明确责任，形成了主要领导亲自抓，分管领导具体抓，专职人员日常负责的工作格局，以确保政府信息公开工作的有序开展。</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2、为确保我镇政府信息公开标准化和规范化的提升，根据自身职责推动完善有关政府信息公开工作制度，从制度上保证我镇政府信息公开工作的组织、协调、推进和监督。</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按照规范化标准化做好信息公开。按照政府公开条例，确定主动公开信息的具体内容，并按照上级机关的部署，不断增加主动公开的内容。建立健全政府信息发布机制，将主动公开的政府信息通过政府网站或者其他互联网政务媒体、以及报刊、广播、电视等途径予以公开。</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4、加大对政府信息公开力度，凡是应公开的一律按照公开、透明、合法原则做到及时公开，公开数量较上年增长20%。</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（四）政府信息公开平台建设</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1、主要公开渠道。龙潭镇主要通过高安市人民政府门户网站作为第一公开平台。</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2、信息查阅场所和信息查阅点。建设政务公开专区，设立在便民服务中心，方便群众线上线下查阅政务信息。</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3、镇、村公示栏。设置标准化镇、村务公开栏，对15个村（社区）村务公开栏进行集中公开和分别公开。同时，镇院内新增10余米长的政务公开栏。</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（五）监督保障</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强化督促检查，确保政府信息公开落实到位。加大督查考核力度，坚持对各村（社区）“三务”公开的情况进行监督检查，对政府信息公开内容、公开效果、群众满意度和投诉处理落实情况进行监督，并及时采取措施改进工作。促进政府信息公开及时、全面、真实，努力推动政府信息公开工作全面深入开展，确保了政府信息公开工作落实到位及年度目标的完成。</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2、做好监督反馈。我镇不定期对政务公开工作进行检查，对发现的问题及时进行指导，对违反《条例》的行为及时纠正，对履职不力人员追究责任，考核结果作为年终评优评先的重要依据。</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w:t>
      </w:r>
      <w:r>
        <w:rPr>
          <w:rFonts w:hint="eastAsia" w:ascii="楷体_GB2312" w:hAnsi="楷体_GB2312" w:eastAsia="楷体_GB2312" w:cs="楷体_GB2312"/>
          <w:b/>
          <w:bCs/>
          <w:sz w:val="32"/>
          <w:szCs w:val="32"/>
        </w:rPr>
        <w:t>主动公开政府信息情况</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p>
    <w:tbl>
      <w:tblPr>
        <w:tblW w:w="9820" w:type="dxa"/>
        <w:jc w:val="center"/>
        <w:shd w:val="clear"/>
        <w:tblLayout w:type="autofit"/>
        <w:tblCellMar>
          <w:top w:w="15" w:type="dxa"/>
          <w:left w:w="15" w:type="dxa"/>
          <w:bottom w:w="15" w:type="dxa"/>
          <w:right w:w="15" w:type="dxa"/>
        </w:tblCellMar>
      </w:tblPr>
      <w:tblGrid>
        <w:gridCol w:w="2455"/>
        <w:gridCol w:w="2455"/>
        <w:gridCol w:w="2455"/>
        <w:gridCol w:w="2455"/>
      </w:tblGrid>
      <w:tr>
        <w:tblPrEx>
          <w:shd w:val="clear"/>
          <w:tblCellMar>
            <w:top w:w="15" w:type="dxa"/>
            <w:left w:w="15" w:type="dxa"/>
            <w:bottom w:w="15" w:type="dxa"/>
            <w:right w:w="15" w:type="dxa"/>
          </w:tblCellMar>
        </w:tblPrEx>
        <w:trPr>
          <w:trHeight w:val="525"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kern w:val="0"/>
                <w:sz w:val="24"/>
                <w:szCs w:val="24"/>
                <w:lang w:val="en-US" w:eastAsia="zh-CN" w:bidi="ar"/>
              </w:rPr>
              <w:t>第二十条第（一）项</w:t>
            </w:r>
          </w:p>
        </w:tc>
      </w:tr>
      <w:tr>
        <w:tblPrEx>
          <w:tblCellMar>
            <w:top w:w="15" w:type="dxa"/>
            <w:left w:w="15" w:type="dxa"/>
            <w:bottom w:w="15" w:type="dxa"/>
            <w:right w:w="15" w:type="dxa"/>
          </w:tblCellMar>
        </w:tblPrEx>
        <w:trPr>
          <w:trHeight w:val="61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信息内容</w:t>
            </w:r>
          </w:p>
        </w:tc>
        <w:tc>
          <w:tcPr>
            <w:tcW w:w="2455"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现行有效件</w:t>
            </w:r>
            <w:r>
              <w:rPr>
                <w:rFonts w:ascii="楷体_GB2312" w:eastAsia="楷体_GB2312" w:cs="楷体_GB2312" w:hAnsiTheme="minorHAnsi"/>
                <w:b/>
                <w:kern w:val="0"/>
                <w:sz w:val="32"/>
                <w:szCs w:val="32"/>
                <w:lang w:val="en-US" w:eastAsia="zh-CN" w:bidi="ar"/>
              </w:rPr>
              <w:t>数</w:t>
            </w:r>
          </w:p>
        </w:tc>
      </w:tr>
      <w:tr>
        <w:tblPrEx>
          <w:tblCellMar>
            <w:top w:w="15" w:type="dxa"/>
            <w:left w:w="15" w:type="dxa"/>
            <w:bottom w:w="15" w:type="dxa"/>
            <w:right w:w="15" w:type="dxa"/>
          </w:tblCellMar>
        </w:tblPrEx>
        <w:trPr>
          <w:trHeight w:val="52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规   章</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仿宋_GB2312" w:eastAsia="仿宋_GB2312" w:cs="仿宋_GB2312" w:hAnsiTheme="minorHAnsi"/>
                <w:b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b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b w:val="0"/>
                <w:kern w:val="2"/>
                <w:sz w:val="32"/>
                <w:szCs w:val="32"/>
                <w:lang w:val="en-US" w:eastAsia="zh-CN" w:bidi="ar"/>
              </w:rPr>
              <w:t>0</w:t>
            </w:r>
          </w:p>
        </w:tc>
      </w:tr>
      <w:tr>
        <w:tblPrEx>
          <w:tblCellMar>
            <w:top w:w="15" w:type="dxa"/>
            <w:left w:w="15" w:type="dxa"/>
            <w:bottom w:w="15" w:type="dxa"/>
            <w:right w:w="15" w:type="dxa"/>
          </w:tblCellMar>
        </w:tblPrEx>
        <w:trPr>
          <w:trHeight w:val="79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行政规范性文件</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b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b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b w:val="0"/>
                <w:kern w:val="0"/>
                <w:sz w:val="32"/>
                <w:szCs w:val="32"/>
                <w:lang w:val="en-US" w:eastAsia="zh-CN" w:bidi="ar"/>
              </w:rPr>
              <w:t>0</w:t>
            </w:r>
          </w:p>
        </w:tc>
      </w:tr>
      <w:tr>
        <w:tblPrEx>
          <w:tblCellMar>
            <w:top w:w="15" w:type="dxa"/>
            <w:left w:w="15" w:type="dxa"/>
            <w:bottom w:w="15" w:type="dxa"/>
            <w:right w:w="15" w:type="dxa"/>
          </w:tblCellMar>
        </w:tblPrEx>
        <w:trPr>
          <w:trHeight w:val="525"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第二十条第（五）项</w:t>
            </w:r>
          </w:p>
        </w:tc>
      </w:tr>
      <w:tr>
        <w:tblPrEx>
          <w:tblCellMar>
            <w:top w:w="15" w:type="dxa"/>
            <w:left w:w="15" w:type="dxa"/>
            <w:bottom w:w="15" w:type="dxa"/>
            <w:right w:w="15" w:type="dxa"/>
          </w:tblCellMar>
        </w:tblPrEx>
        <w:trPr>
          <w:trHeight w:val="52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信息内容</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本年处理决定数量</w:t>
            </w:r>
          </w:p>
        </w:tc>
      </w:tr>
      <w:tr>
        <w:tblPrEx>
          <w:tblCellMar>
            <w:top w:w="15" w:type="dxa"/>
            <w:left w:w="15" w:type="dxa"/>
            <w:bottom w:w="15" w:type="dxa"/>
            <w:right w:w="15" w:type="dxa"/>
          </w:tblCellMar>
        </w:tblPrEx>
        <w:trPr>
          <w:trHeight w:val="52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行政许可</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楷体_GB2312" w:eastAsia="楷体_GB2312" w:cs="楷体_GB2312" w:hAnsiTheme="minorHAnsi"/>
                <w:b/>
                <w:kern w:val="0"/>
                <w:sz w:val="32"/>
                <w:szCs w:val="32"/>
                <w:lang w:val="en-US" w:eastAsia="zh-CN" w:bidi="ar"/>
              </w:rPr>
              <w:t>0</w:t>
            </w:r>
          </w:p>
        </w:tc>
      </w:tr>
      <w:tr>
        <w:tblPrEx>
          <w:tblCellMar>
            <w:top w:w="15" w:type="dxa"/>
            <w:left w:w="15" w:type="dxa"/>
            <w:bottom w:w="15" w:type="dxa"/>
            <w:right w:w="15" w:type="dxa"/>
          </w:tblCellMar>
        </w:tblPrEx>
        <w:trPr>
          <w:trHeight w:val="525"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第二十条第（六）项</w:t>
            </w:r>
          </w:p>
        </w:tc>
      </w:tr>
      <w:tr>
        <w:tblPrEx>
          <w:tblCellMar>
            <w:top w:w="15" w:type="dxa"/>
            <w:left w:w="15" w:type="dxa"/>
            <w:bottom w:w="15" w:type="dxa"/>
            <w:right w:w="15" w:type="dxa"/>
          </w:tblCellMar>
        </w:tblPrEx>
        <w:trPr>
          <w:trHeight w:val="52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本年处理决定数量</w:t>
            </w:r>
          </w:p>
        </w:tc>
      </w:tr>
      <w:tr>
        <w:tblPrEx>
          <w:tblCellMar>
            <w:top w:w="15" w:type="dxa"/>
            <w:left w:w="15" w:type="dxa"/>
            <w:bottom w:w="15" w:type="dxa"/>
            <w:right w:w="15" w:type="dxa"/>
          </w:tblCellMar>
        </w:tblPrEx>
        <w:trPr>
          <w:trHeight w:val="52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行政处罚</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b w:val="0"/>
                <w:color w:val="000000"/>
                <w:kern w:val="0"/>
                <w:sz w:val="32"/>
                <w:szCs w:val="32"/>
                <w:lang w:val="en-US" w:eastAsia="zh-CN" w:bidi="ar"/>
              </w:rPr>
              <w:t>0</w:t>
            </w:r>
          </w:p>
        </w:tc>
      </w:tr>
      <w:tr>
        <w:tblPrEx>
          <w:tblCellMar>
            <w:top w:w="15" w:type="dxa"/>
            <w:left w:w="15" w:type="dxa"/>
            <w:bottom w:w="15" w:type="dxa"/>
            <w:right w:w="15" w:type="dxa"/>
          </w:tblCellMar>
        </w:tblPrEx>
        <w:trPr>
          <w:trHeight w:val="52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行政强制</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b w:val="0"/>
                <w:color w:val="000000"/>
                <w:kern w:val="0"/>
                <w:sz w:val="32"/>
                <w:szCs w:val="32"/>
                <w:lang w:val="en-US" w:eastAsia="zh-CN" w:bidi="ar"/>
              </w:rPr>
              <w:t>0</w:t>
            </w:r>
          </w:p>
        </w:tc>
      </w:tr>
      <w:tr>
        <w:tblPrEx>
          <w:tblCellMar>
            <w:top w:w="15" w:type="dxa"/>
            <w:left w:w="15" w:type="dxa"/>
            <w:bottom w:w="15" w:type="dxa"/>
            <w:right w:w="15" w:type="dxa"/>
          </w:tblCellMar>
        </w:tblPrEx>
        <w:trPr>
          <w:trHeight w:val="525"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第二十条第（八）项</w:t>
            </w:r>
          </w:p>
        </w:tc>
      </w:tr>
      <w:tr>
        <w:tblPrEx>
          <w:tblCellMar>
            <w:top w:w="15" w:type="dxa"/>
            <w:left w:w="15" w:type="dxa"/>
            <w:bottom w:w="15" w:type="dxa"/>
            <w:right w:w="15" w:type="dxa"/>
          </w:tblCellMar>
        </w:tblPrEx>
        <w:trPr>
          <w:trHeight w:val="52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信息内容</w:t>
            </w:r>
          </w:p>
        </w:tc>
        <w:tc>
          <w:tcPr>
            <w:tcW w:w="7365" w:type="dxa"/>
            <w:gridSpan w:val="3"/>
            <w:tcBorders>
              <w:top w:val="nil"/>
              <w:left w:val="nil"/>
              <w:bottom w:val="single" w:color="auto" w:sz="8" w:space="0"/>
              <w:right w:val="single" w:color="000000"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本年收费金额（单位：万元）</w:t>
            </w:r>
          </w:p>
        </w:tc>
      </w:tr>
      <w:tr>
        <w:tblPrEx>
          <w:tblCellMar>
            <w:top w:w="15" w:type="dxa"/>
            <w:left w:w="15" w:type="dxa"/>
            <w:bottom w:w="15" w:type="dxa"/>
            <w:right w:w="15" w:type="dxa"/>
          </w:tblCellMar>
        </w:tblPrEx>
        <w:trPr>
          <w:trHeight w:val="795"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lang w:val="en-US" w:eastAsia="zh-CN" w:bidi="ar"/>
              </w:rPr>
              <w:t>行政事业性收费</w:t>
            </w:r>
          </w:p>
        </w:tc>
        <w:tc>
          <w:tcPr>
            <w:tcW w:w="7365" w:type="dxa"/>
            <w:gridSpan w:val="3"/>
            <w:tcBorders>
              <w:top w:val="nil"/>
              <w:left w:val="nil"/>
              <w:bottom w:val="single" w:color="auto" w:sz="8" w:space="0"/>
              <w:right w:val="single" w:color="000000" w:sz="8" w:space="0"/>
            </w:tcBorders>
            <w:shd w:val="clear"/>
            <w:tcMar>
              <w:top w:w="0" w:type="dxa"/>
              <w:left w:w="57" w:type="dxa"/>
              <w:bottom w:w="0"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b w:val="0"/>
                <w:kern w:val="2"/>
                <w:sz w:val="32"/>
                <w:szCs w:val="32"/>
                <w:lang w:val="en-US" w:eastAsia="zh-CN" w:bidi="ar"/>
              </w:rPr>
              <w:t>0</w:t>
            </w:r>
          </w:p>
        </w:tc>
      </w:tr>
    </w:tbl>
    <w:p>
      <w:pPr>
        <w:pStyle w:val="2"/>
        <w:keepNext w:val="0"/>
        <w:keepLines w:val="0"/>
        <w:widowControl/>
        <w:suppressLineNumbers w:val="0"/>
        <w:spacing w:before="0" w:beforeAutospacing="0" w:after="0" w:afterAutospacing="0" w:line="27" w:lineRule="atLeast"/>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三、收到和处理政府信息公开申请情况</w:t>
      </w: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楷体_GB2312" w:eastAsia="楷体_GB2312" w:cs="楷体_GB2312" w:hAnsiTheme="minorHAnsi"/>
                <w:b/>
                <w:kern w:val="0"/>
                <w:sz w:val="32"/>
                <w:szCs w:val="32"/>
                <w:bdr w:val="none" w:color="auto" w:sz="0" w:space="0"/>
                <w:lang w:val="en-US" w:eastAsia="zh-CN" w:bidi="ar"/>
              </w:rPr>
              <w:t>自</w:t>
            </w:r>
          </w:p>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楷体_GB2312" w:eastAsia="楷体_GB2312" w:cs="楷体_GB2312" w:hAnsiTheme="minorHAnsi"/>
                <w:b/>
                <w:kern w:val="0"/>
                <w:sz w:val="32"/>
                <w:szCs w:val="32"/>
                <w:bdr w:val="none" w:color="auto" w:sz="0" w:space="0"/>
                <w:lang w:val="en-US" w:eastAsia="zh-CN" w:bidi="ar"/>
              </w:rPr>
              <w:t> </w:t>
            </w:r>
          </w:p>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楷体_GB2312" w:eastAsia="楷体_GB2312" w:cs="楷体_GB2312" w:hAnsiTheme="minorHAnsi"/>
                <w:b/>
                <w:kern w:val="0"/>
                <w:sz w:val="32"/>
                <w:szCs w:val="32"/>
                <w:bdr w:val="none" w:color="auto" w:sz="0" w:space="0"/>
                <w:lang w:val="en-US" w:eastAsia="zh-CN" w:bidi="ar"/>
              </w:rPr>
              <w:t>然</w:t>
            </w:r>
          </w:p>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楷体_GB2312" w:eastAsia="楷体_GB2312" w:cs="楷体_GB2312" w:hAnsiTheme="minorHAnsi"/>
                <w:b/>
                <w:kern w:val="0"/>
                <w:sz w:val="32"/>
                <w:szCs w:val="32"/>
                <w:bdr w:val="none" w:color="auto" w:sz="0" w:space="0"/>
                <w:lang w:val="en-US" w:eastAsia="zh-CN" w:bidi="ar"/>
              </w:rPr>
              <w:t> </w:t>
            </w:r>
          </w:p>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楷体_GB2312" w:eastAsia="楷体_GB2312" w:cs="楷体_GB2312" w:hAnsiTheme="minorHAnsi"/>
                <w:b/>
                <w:kern w:val="0"/>
                <w:sz w:val="32"/>
                <w:szCs w:val="32"/>
                <w:bdr w:val="none" w:color="auto" w:sz="0" w:space="0"/>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商业</w:t>
            </w:r>
          </w:p>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企业</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科研</w:t>
            </w:r>
          </w:p>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机构</w:t>
            </w:r>
          </w:p>
        </w:tc>
        <w:tc>
          <w:tcPr>
            <w:tcW w:w="497"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三、本年度办理结果</w:t>
            </w: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（一）予以公开</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single" w:color="auto" w:sz="8" w:space="0"/>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（三）不予公开</w:t>
            </w: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1.属于国家秘密</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single" w:color="auto" w:sz="8" w:space="0"/>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2.其他法律行政法规禁止公开</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3.危及“三安全一稳定”</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4.保护第三方合法权益</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5.属于三类内部事务信息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6.属于四类过程性信息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7.属于行政执法案卷</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8.属于行政查询事项</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（四）无法提供</w:t>
            </w: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1.本机关不掌握相关政府信息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2.没有现成信息需要另行制作</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3.补正后申请内容仍不明确</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（五）不予处理</w:t>
            </w: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1.信访举报投诉类申请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2.重复申请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3.要求提供公开出版物</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4.无正当理由大量反复申请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8" w:space="0"/>
              <w:right w:val="single" w:color="auto" w:sz="8"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4823"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asciiTheme="minorHAnsi" w:hAnsiTheme="minorHAnsi" w:eastAsiaTheme="minorEastAsia" w:cstheme="minorBidi"/>
                <w:b/>
                <w:kern w:val="0"/>
                <w:sz w:val="24"/>
                <w:szCs w:val="24"/>
                <w:bdr w:val="none" w:color="auto" w:sz="0" w:space="0"/>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nil"/>
              <w:left w:val="nil"/>
              <w:bottom w:val="single" w:color="auto" w:sz="4" w:space="0"/>
              <w:right w:val="single" w:color="auto" w:sz="8"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restart"/>
            <w:tcBorders>
              <w:top w:val="nil"/>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（六）其他处理</w:t>
            </w: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asciiTheme="minorHAnsi" w:hAnsiTheme="minorHAnsi" w:eastAsiaTheme="minorEastAsia" w:cstheme="minorBidi"/>
                <w:b/>
                <w:kern w:val="0"/>
                <w:sz w:val="24"/>
                <w:szCs w:val="24"/>
                <w:bdr w:val="none" w:color="auto" w:sz="0" w:space="0"/>
                <w:lang w:val="en-US" w:eastAsia="zh-CN" w:bidi="ar"/>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tcMar>
              <w:left w:w="57" w:type="dxa"/>
              <w:right w:w="57" w:type="dxa"/>
            </w:tcMar>
            <w:vAlign w:val="center"/>
          </w:tcPr>
          <w:p>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asciiTheme="minorHAnsi" w:hAnsiTheme="minorHAnsi" w:eastAsiaTheme="minorEastAsia" w:cstheme="minorBidi"/>
                <w:b/>
                <w:kern w:val="0"/>
                <w:sz w:val="24"/>
                <w:szCs w:val="24"/>
                <w:bdr w:val="none" w:color="auto" w:sz="0" w:space="0"/>
                <w:lang w:val="en-US" w:eastAsia="zh-CN" w:bidi="ar"/>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tcMar>
              <w:left w:w="57" w:type="dxa"/>
              <w:right w:w="57" w:type="dxa"/>
            </w:tcMar>
            <w:vAlign w:val="center"/>
          </w:tcPr>
          <w:p>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3.其他</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pPr>
              <w:rPr>
                <w:rFonts w:hint="eastAsia" w:ascii="宋体"/>
                <w:sz w:val="24"/>
                <w:szCs w:val="24"/>
              </w:rPr>
            </w:pPr>
          </w:p>
        </w:tc>
        <w:tc>
          <w:tcPr>
            <w:tcW w:w="582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（七）总计</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asciiTheme="minorHAnsi" w:hAnsiTheme="minorHAnsi" w:eastAsiaTheme="minorEastAsia" w:cstheme="minorBidi"/>
                <w:b/>
                <w:kern w:val="0"/>
                <w:sz w:val="24"/>
                <w:szCs w:val="24"/>
                <w:bdr w:val="none" w:color="auto" w:sz="0" w:space="0"/>
                <w:lang w:val="en-US" w:eastAsia="zh-CN" w:bidi="ar"/>
              </w:rPr>
              <w:t>四、结转下年度继续办理</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top"/>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bl>
    <w:p>
      <w:pPr>
        <w:pStyle w:val="2"/>
        <w:keepNext w:val="0"/>
        <w:keepLines w:val="0"/>
        <w:widowControl/>
        <w:numPr>
          <w:ilvl w:val="0"/>
          <w:numId w:val="1"/>
        </w:numPr>
        <w:suppressLineNumbers w:val="0"/>
        <w:spacing w:before="0" w:beforeAutospacing="0" w:after="0" w:afterAutospacing="0" w:line="27" w:lineRule="atLeast"/>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政府信息公开行政复议、行政诉讼情况</w:t>
      </w:r>
    </w:p>
    <w:p>
      <w:pPr>
        <w:pStyle w:val="2"/>
        <w:keepNext w:val="0"/>
        <w:keepLines w:val="0"/>
        <w:widowControl/>
        <w:numPr>
          <w:numId w:val="0"/>
        </w:numPr>
        <w:suppressLineNumbers w:val="0"/>
        <w:spacing w:before="0" w:beforeAutospacing="0" w:after="0" w:afterAutospacing="0" w:line="27" w:lineRule="atLeast"/>
        <w:ind w:right="0" w:rightChars="0"/>
        <w:jc w:val="both"/>
        <w:rPr>
          <w:rFonts w:hint="eastAsia" w:ascii="宋体" w:hAnsi="宋体" w:eastAsia="宋体" w:cs="宋体"/>
          <w:sz w:val="28"/>
          <w:szCs w:val="28"/>
        </w:rPr>
      </w:pPr>
    </w:p>
    <w:p>
      <w:pPr>
        <w:pStyle w:val="2"/>
        <w:keepNext w:val="0"/>
        <w:keepLines w:val="0"/>
        <w:widowControl/>
        <w:numPr>
          <w:numId w:val="0"/>
        </w:numPr>
        <w:suppressLineNumbers w:val="0"/>
        <w:spacing w:before="0" w:beforeAutospacing="0" w:after="0" w:afterAutospacing="0" w:line="27" w:lineRule="atLeast"/>
        <w:ind w:right="0" w:rightChars="0"/>
        <w:jc w:val="both"/>
        <w:rPr>
          <w:rFonts w:hint="eastAsia" w:ascii="宋体" w:hAnsi="宋体" w:eastAsia="宋体" w:cs="宋体"/>
          <w:sz w:val="28"/>
          <w:szCs w:val="28"/>
        </w:rPr>
      </w:pP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结果维持</w:t>
            </w:r>
          </w:p>
        </w:tc>
        <w:tc>
          <w:tcPr>
            <w:tcW w:w="649"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其他</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尚未</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维持</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纠正</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其他</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尚未</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审结</w:t>
            </w:r>
          </w:p>
        </w:tc>
        <w:tc>
          <w:tcPr>
            <w:tcW w:w="65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总计</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维持</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纠正</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其他</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结果</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尚未</w:t>
            </w:r>
          </w:p>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审结</w:t>
            </w:r>
          </w:p>
        </w:tc>
        <w:tc>
          <w:tcPr>
            <w:tcW w:w="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asciiTheme="minorHAnsi" w:hAnsiTheme="minorHAnsi" w:eastAsiaTheme="minorEastAsia" w:cstheme="minorBidi"/>
                <w:b/>
                <w:kern w:val="0"/>
                <w:sz w:val="24"/>
                <w:szCs w:val="24"/>
                <w:bdr w:val="none" w:color="auto" w:sz="0" w:space="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leftChars="0" w:right="0" w:rightChars="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c>
          <w:tcPr>
            <w:tcW w:w="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firstLine="0" w:firstLineChars="0"/>
              <w:jc w:val="center"/>
            </w:pPr>
            <w:r>
              <w:rPr>
                <w:rFonts w:hint="eastAsia" w:ascii="仿宋_GB2312" w:eastAsia="仿宋_GB2312" w:cs="仿宋_GB2312" w:hAnsiTheme="minorHAnsi"/>
                <w:kern w:val="0"/>
                <w:sz w:val="32"/>
                <w:szCs w:val="32"/>
                <w:bdr w:val="none" w:color="auto" w:sz="0" w:space="0"/>
                <w:lang w:val="en-US" w:eastAsia="zh-CN" w:bidi="ar"/>
              </w:rPr>
              <w:t>0</w:t>
            </w:r>
          </w:p>
        </w:tc>
      </w:tr>
    </w:tbl>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 </w:t>
      </w:r>
    </w:p>
    <w:p>
      <w:pPr>
        <w:pStyle w:val="2"/>
        <w:keepNext w:val="0"/>
        <w:keepLines w:val="0"/>
        <w:widowControl/>
        <w:numPr>
          <w:ilvl w:val="0"/>
          <w:numId w:val="1"/>
        </w:numPr>
        <w:suppressLineNumbers w:val="0"/>
        <w:spacing w:before="0" w:beforeAutospacing="0" w:after="0" w:afterAutospacing="0" w:line="27" w:lineRule="atLeast"/>
        <w:jc w:val="both"/>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存在的主要问题及改进情况</w:t>
      </w:r>
    </w:p>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1、存在问题</w:t>
      </w:r>
    </w:p>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我镇不断提升政务公开工作标准化规范化的水平，但同时存在一定的不足：一是对信息公开的认识有待提高，工作人员主动意识需要增强；二是政府信息公开数量与群众的需求还存在距离；三是公开的载体不丰富，群众获取信息渠道少。</w:t>
      </w:r>
    </w:p>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2、改进措施</w:t>
      </w:r>
    </w:p>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具体从以下几个方面改进：</w:t>
      </w:r>
    </w:p>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一是统一思想认识，努力规范工作流程。在新的一年进一步整理镇政府信息，及时提供，定期维护，确保政府信息公开工作能按照既定的工作流程有效运作，公众能够方便查询；</w:t>
      </w:r>
    </w:p>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抓好载体建设，创新公开形式。创新政务公开工作的新形式、新途径、新方法，进一步扩大政务公开的覆盖面，增强政务公开的实效性。特别是抓好政务公开这一新型载体的建设，引导、指导群众积极参与使用；</w:t>
      </w:r>
    </w:p>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强化宣传引导，营造良好氛围。针对群众参与率低的情况，进一步完善政府信息公开栏目的功能，加强宣传和普及力度，提高网站知晓率，增强广大群众积极参与和监督的意识，努力营造推进政务公开、加强软环境建设的良好社会氛围。</w:t>
      </w:r>
    </w:p>
    <w:p>
      <w:pPr>
        <w:pStyle w:val="2"/>
        <w:keepNext w:val="0"/>
        <w:keepLines w:val="0"/>
        <w:widowControl/>
        <w:suppressLineNumbers w:val="0"/>
        <w:spacing w:before="0" w:beforeAutospacing="0" w:after="0" w:afterAutospacing="0" w:line="27"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六、其他需要报告的事项</w:t>
      </w:r>
    </w:p>
    <w:p>
      <w:pPr>
        <w:pStyle w:val="2"/>
        <w:keepNext w:val="0"/>
        <w:keepLines w:val="0"/>
        <w:widowControl/>
        <w:suppressLineNumbers w:val="0"/>
        <w:spacing w:before="0" w:beforeAutospacing="0" w:after="0" w:afterAutospacing="0" w:line="27" w:lineRule="atLeas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无</w:t>
      </w:r>
      <w:r>
        <w:rPr>
          <w:rFonts w:hint="eastAsia" w:ascii="仿宋_GB2312" w:hAnsi="仿宋_GB2312" w:eastAsia="仿宋_GB2312" w:cs="仿宋_GB2312"/>
          <w:sz w:val="32"/>
          <w:szCs w:val="32"/>
          <w:lang w:eastAsia="zh-CN"/>
        </w:rPr>
        <w:t>。</w:t>
      </w:r>
    </w:p>
    <w:p>
      <w:pPr>
        <w:pStyle w:val="2"/>
        <w:keepNext w:val="0"/>
        <w:keepLines w:val="0"/>
        <w:widowControl/>
        <w:suppressLineNumbers w:val="0"/>
        <w:spacing w:before="0" w:beforeAutospacing="0" w:after="0" w:afterAutospacing="0" w:line="27"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EA550F"/>
    <w:multiLevelType w:val="singleLevel"/>
    <w:tmpl w:val="E7EA550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362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同学</cp:lastModifiedBy>
  <dcterms:modified xsi:type="dcterms:W3CDTF">2022-01-17T10:43:21Z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