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snapToGrid/>
        <w:spacing w:after="0" w:line="560" w:lineRule="exact"/>
        <w:jc w:val="center"/>
        <w:rPr>
          <w:rFonts w:hint="eastAsia" w:ascii="方正小标宋简体" w:hAnsi="方正小标宋简体" w:eastAsia="方正小标宋简体" w:cs="Times New Roman"/>
          <w:kern w:val="2"/>
          <w:sz w:val="40"/>
          <w:szCs w:val="40"/>
        </w:rPr>
      </w:pPr>
      <w:r>
        <w:rPr>
          <w:rFonts w:hint="eastAsia" w:ascii="方正小标宋简体" w:hAnsi="方正小标宋简体" w:eastAsia="方正小标宋简体" w:cs="Times New Roman"/>
          <w:kern w:val="2"/>
          <w:sz w:val="40"/>
          <w:szCs w:val="40"/>
        </w:rPr>
        <w:t>高安市相城镇2021年政府信息公开工作</w:t>
      </w:r>
    </w:p>
    <w:p>
      <w:pPr>
        <w:widowControl w:val="0"/>
        <w:adjustRightInd/>
        <w:snapToGrid/>
        <w:spacing w:after="0" w:line="560" w:lineRule="exact"/>
        <w:jc w:val="center"/>
        <w:rPr>
          <w:rFonts w:hint="eastAsia" w:ascii="方正小标宋简体" w:hAnsi="方正小标宋简体" w:eastAsia="方正小标宋简体" w:cs="Times New Roman"/>
          <w:kern w:val="2"/>
          <w:sz w:val="40"/>
          <w:szCs w:val="40"/>
        </w:rPr>
      </w:pPr>
      <w:r>
        <w:rPr>
          <w:rFonts w:hint="eastAsia" w:ascii="方正小标宋简体" w:hAnsi="方正小标宋简体" w:eastAsia="方正小标宋简体" w:cs="Times New Roman"/>
          <w:kern w:val="2"/>
          <w:sz w:val="40"/>
          <w:szCs w:val="40"/>
        </w:rPr>
        <w:t>年度报告</w:t>
      </w:r>
    </w:p>
    <w:p>
      <w:pPr>
        <w:widowControl w:val="0"/>
        <w:adjustRightInd/>
        <w:snapToGrid/>
        <w:spacing w:after="0" w:line="560" w:lineRule="exact"/>
        <w:jc w:val="center"/>
        <w:rPr>
          <w:rFonts w:hint="eastAsia" w:ascii="方正小标宋简体" w:hAnsi="方正小标宋简体" w:eastAsia="方正小标宋简体" w:cs="Times New Roman"/>
          <w:kern w:val="2"/>
          <w:sz w:val="40"/>
          <w:szCs w:val="40"/>
        </w:rPr>
      </w:pPr>
      <w:bookmarkStart w:id="0" w:name="_GoBack"/>
      <w:bookmarkEnd w:id="0"/>
    </w:p>
    <w:p>
      <w:pPr>
        <w:keepNext w:val="0"/>
        <w:keepLines w:val="0"/>
        <w:pageBreakBefore w:val="0"/>
        <w:widowControl w:val="0"/>
        <w:kinsoku/>
        <w:wordWrap/>
        <w:overflowPunct/>
        <w:topLinePunct w:val="0"/>
        <w:autoSpaceDE/>
        <w:autoSpaceDN/>
        <w:bidi w:val="0"/>
        <w:adjustRightInd/>
        <w:snapToGrid/>
        <w:spacing w:after="0" w:line="560" w:lineRule="exact"/>
        <w:ind w:firstLine="600" w:firstLineChars="200"/>
        <w:jc w:val="both"/>
        <w:textAlignment w:val="auto"/>
        <w:rPr>
          <w:rFonts w:hint="eastAsia" w:ascii="宋体" w:hAnsi="宋体" w:eastAsia="仿宋" w:cs="宋体"/>
          <w:b/>
          <w:bCs/>
          <w:color w:val="333333"/>
          <w:sz w:val="24"/>
          <w:szCs w:val="24"/>
          <w:shd w:val="clear" w:color="auto" w:fill="FFFFFF"/>
          <w:lang w:val="en-US" w:eastAsia="zh-CN"/>
        </w:rPr>
      </w:pPr>
      <w:r>
        <w:rPr>
          <w:rFonts w:hint="eastAsia" w:ascii="仿宋" w:hAnsi="仿宋" w:eastAsia="仿宋" w:cs="仿宋"/>
          <w:color w:val="333333"/>
          <w:sz w:val="30"/>
          <w:szCs w:val="30"/>
          <w:shd w:val="clear" w:fill="FFFFFF"/>
        </w:rPr>
        <w:t>本报告依据《中华人民共和国政府信息公开条例》（国务院令第711号，以下简称新《条例》）和《国务院办公厅政府信息与政务公开办公室关于印发中华人民共和国政府信息公开工作年度报告格式的通知》（国办公开办函〔2021〕30号）要求，由高安市人民政府办公室结合有关统计数据编制。本年度报告中所列数据的统计期限自2021年1月1日起至2021年12月31日止。全文包括总体情况、主动公开政府信息情况、收到和处理政府信息公开申请情况、政府信息公开行政复议行政诉讼情况、存在的主要问题及改进情况、其他需要报告的事项。如对本报告有任何疑问，请与</w:t>
      </w:r>
      <w:r>
        <w:rPr>
          <w:rFonts w:hint="eastAsia" w:ascii="仿宋" w:hAnsi="仿宋" w:eastAsia="仿宋" w:cs="仿宋"/>
          <w:color w:val="333333"/>
          <w:sz w:val="30"/>
          <w:szCs w:val="30"/>
          <w:shd w:val="clear" w:fill="FFFFFF"/>
          <w:lang w:eastAsia="zh-CN"/>
        </w:rPr>
        <w:t>相城镇</w:t>
      </w:r>
      <w:r>
        <w:rPr>
          <w:rFonts w:hint="eastAsia" w:ascii="仿宋" w:hAnsi="仿宋" w:eastAsia="仿宋" w:cs="仿宋"/>
          <w:color w:val="333333"/>
          <w:sz w:val="30"/>
          <w:szCs w:val="30"/>
          <w:shd w:val="clear" w:fill="FFFFFF"/>
        </w:rPr>
        <w:t>党政办公室联系（地址：</w:t>
      </w:r>
      <w:r>
        <w:rPr>
          <w:rFonts w:hint="eastAsia" w:ascii="仿宋" w:hAnsi="仿宋" w:eastAsia="仿宋" w:cs="仿宋"/>
          <w:color w:val="333333"/>
          <w:sz w:val="30"/>
          <w:szCs w:val="30"/>
          <w:shd w:val="clear" w:fill="FFFFFF"/>
          <w:lang w:eastAsia="zh-CN"/>
        </w:rPr>
        <w:t>江西省</w:t>
      </w:r>
      <w:r>
        <w:rPr>
          <w:rFonts w:hint="eastAsia" w:ascii="仿宋" w:hAnsi="仿宋" w:eastAsia="仿宋" w:cs="仿宋"/>
          <w:color w:val="333333"/>
          <w:sz w:val="30"/>
          <w:szCs w:val="30"/>
          <w:shd w:val="clear" w:fill="FFFFFF"/>
        </w:rPr>
        <w:t>高安市相城镇城府路9号，电话：0795-5492101，邮编：330800</w:t>
      </w:r>
      <w:r>
        <w:rPr>
          <w:rFonts w:hint="eastAsia" w:ascii="仿宋" w:hAnsi="仿宋" w:eastAsia="仿宋" w:cs="仿宋"/>
          <w:color w:val="333333"/>
          <w:sz w:val="30"/>
          <w:szCs w:val="30"/>
          <w:shd w:val="clear" w:fill="FFFFFF"/>
          <w:lang w:val="en-US" w:eastAsia="zh-CN"/>
        </w:rPr>
        <w:t>)。</w:t>
      </w:r>
    </w:p>
    <w:p>
      <w:pPr>
        <w:shd w:val="clear" w:color="auto" w:fill="FFFFFF"/>
        <w:adjustRightInd/>
        <w:snapToGrid/>
        <w:spacing w:after="0" w:line="560" w:lineRule="exact"/>
        <w:ind w:firstLine="640" w:firstLineChars="200"/>
        <w:jc w:val="both"/>
        <w:rPr>
          <w:rFonts w:ascii="黑体" w:hAnsi="黑体" w:eastAsia="黑体" w:cs="黑体"/>
          <w:b/>
          <w:bCs/>
          <w:kern w:val="2"/>
          <w:sz w:val="32"/>
          <w:szCs w:val="32"/>
          <w:shd w:val="clear" w:color="auto" w:fill="FFFFFF"/>
        </w:rPr>
      </w:pPr>
      <w:r>
        <w:rPr>
          <w:rFonts w:hint="eastAsia" w:ascii="黑体" w:hAnsi="黑体" w:eastAsia="黑体" w:cs="黑体"/>
          <w:kern w:val="2"/>
          <w:sz w:val="32"/>
          <w:szCs w:val="32"/>
          <w:shd w:val="clear" w:color="auto" w:fill="FFFFFF"/>
        </w:rPr>
        <w:t>一、总体情况</w:t>
      </w:r>
    </w:p>
    <w:p>
      <w:pPr>
        <w:shd w:val="clear" w:color="auto" w:fill="FFFFFF"/>
        <w:adjustRightInd/>
        <w:snapToGrid/>
        <w:spacing w:after="0" w:line="560" w:lineRule="exact"/>
        <w:ind w:firstLine="640" w:firstLineChars="200"/>
        <w:jc w:val="both"/>
        <w:rPr>
          <w:rFonts w:hint="eastAsia" w:ascii="楷体_GB2312" w:hAnsi="楷体_GB2312" w:eastAsia="楷体_GB2312" w:cs="楷体_GB2312"/>
          <w:color w:val="000000"/>
          <w:sz w:val="32"/>
          <w:szCs w:val="32"/>
          <w:shd w:val="clear" w:color="auto" w:fill="FFFFFF"/>
        </w:rPr>
      </w:pPr>
      <w:r>
        <w:rPr>
          <w:rFonts w:hint="eastAsia" w:ascii="楷体_GB2312" w:hAnsi="楷体_GB2312" w:eastAsia="楷体_GB2312" w:cs="楷体_GB2312"/>
          <w:color w:val="000000"/>
          <w:sz w:val="32"/>
          <w:szCs w:val="32"/>
          <w:shd w:val="clear" w:color="auto" w:fill="FFFFFF"/>
        </w:rPr>
        <w:t>（一）主动公开</w:t>
      </w:r>
    </w:p>
    <w:p>
      <w:pPr>
        <w:pStyle w:val="6"/>
        <w:widowControl/>
        <w:shd w:val="clear" w:color="auto" w:fill="FFFFFF"/>
        <w:spacing w:line="520" w:lineRule="exact"/>
        <w:ind w:firstLine="600" w:firstLineChars="200"/>
        <w:jc w:val="both"/>
        <w:rPr>
          <w:rFonts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2021年，相城镇主动公开信息115条，其中</w:t>
      </w:r>
      <w:r>
        <w:rPr>
          <w:rFonts w:hint="eastAsia" w:ascii="仿宋" w:hAnsi="仿宋" w:eastAsia="仿宋" w:cs="仿宋"/>
          <w:b/>
          <w:bCs/>
          <w:color w:val="333333"/>
          <w:sz w:val="30"/>
          <w:szCs w:val="30"/>
          <w:shd w:val="clear" w:color="auto" w:fill="FFFFFF"/>
        </w:rPr>
        <w:t>决策公开</w:t>
      </w:r>
      <w:r>
        <w:rPr>
          <w:rFonts w:hint="eastAsia" w:ascii="仿宋" w:hAnsi="仿宋" w:eastAsia="仿宋" w:cs="仿宋"/>
          <w:color w:val="333333"/>
          <w:sz w:val="30"/>
          <w:szCs w:val="30"/>
          <w:shd w:val="clear" w:color="auto" w:fill="FFFFFF"/>
        </w:rPr>
        <w:t>25条，包括履职依据12条、政府工作报告5条、其他会议4条、意见征集与反馈2条、决策制度与目录2条；</w:t>
      </w:r>
      <w:r>
        <w:rPr>
          <w:rFonts w:hint="eastAsia" w:ascii="仿宋" w:hAnsi="仿宋" w:eastAsia="仿宋" w:cs="仿宋"/>
          <w:b/>
          <w:bCs/>
          <w:color w:val="333333"/>
          <w:sz w:val="30"/>
          <w:szCs w:val="30"/>
          <w:shd w:val="clear" w:color="auto" w:fill="FFFFFF"/>
        </w:rPr>
        <w:t>执行公开</w:t>
      </w:r>
      <w:r>
        <w:rPr>
          <w:rFonts w:hint="eastAsia" w:ascii="仿宋" w:hAnsi="仿宋" w:eastAsia="仿宋" w:cs="仿宋"/>
          <w:color w:val="333333"/>
          <w:sz w:val="30"/>
          <w:szCs w:val="30"/>
          <w:shd w:val="clear" w:color="auto" w:fill="FFFFFF"/>
        </w:rPr>
        <w:t>10条，包括重大决策跟踪反馈肯执行效果评估4条、决策部署落实4条、规划计划2条；</w:t>
      </w:r>
      <w:r>
        <w:rPr>
          <w:rFonts w:hint="eastAsia" w:ascii="仿宋" w:hAnsi="仿宋" w:eastAsia="仿宋" w:cs="仿宋"/>
          <w:b/>
          <w:bCs/>
          <w:color w:val="333333"/>
          <w:sz w:val="30"/>
          <w:szCs w:val="30"/>
          <w:shd w:val="clear" w:color="auto" w:fill="FFFFFF"/>
        </w:rPr>
        <w:t>管理公开</w:t>
      </w:r>
      <w:r>
        <w:rPr>
          <w:rFonts w:hint="eastAsia" w:ascii="仿宋" w:hAnsi="仿宋" w:eastAsia="仿宋" w:cs="仿宋"/>
          <w:color w:val="333333"/>
          <w:sz w:val="30"/>
          <w:szCs w:val="30"/>
          <w:shd w:val="clear" w:color="auto" w:fill="FFFFFF"/>
        </w:rPr>
        <w:t>72条，包括主要领导信息3条、机构职能9条、政务动态38条、人事信息4条、乡镇预决算18条；</w:t>
      </w:r>
      <w:r>
        <w:rPr>
          <w:rFonts w:hint="eastAsia" w:ascii="仿宋" w:hAnsi="仿宋" w:eastAsia="仿宋" w:cs="仿宋"/>
          <w:b/>
          <w:bCs/>
          <w:color w:val="333333"/>
          <w:sz w:val="30"/>
          <w:szCs w:val="30"/>
          <w:shd w:val="clear" w:color="auto" w:fill="FFFFFF"/>
        </w:rPr>
        <w:t>结果公开</w:t>
      </w:r>
      <w:r>
        <w:rPr>
          <w:rFonts w:hint="eastAsia" w:ascii="仿宋" w:hAnsi="仿宋" w:eastAsia="仿宋" w:cs="仿宋"/>
          <w:color w:val="333333"/>
          <w:sz w:val="30"/>
          <w:szCs w:val="30"/>
          <w:shd w:val="clear" w:color="auto" w:fill="FFFFFF"/>
        </w:rPr>
        <w:t>1条，包括建议提案办理1条；</w:t>
      </w:r>
      <w:r>
        <w:rPr>
          <w:rFonts w:hint="eastAsia" w:ascii="仿宋" w:hAnsi="仿宋" w:eastAsia="仿宋" w:cs="仿宋"/>
          <w:b/>
          <w:bCs/>
          <w:color w:val="333333"/>
          <w:sz w:val="30"/>
          <w:szCs w:val="30"/>
          <w:shd w:val="clear" w:color="auto" w:fill="FFFFFF"/>
        </w:rPr>
        <w:t>“六稳六保”专项工作</w:t>
      </w:r>
      <w:r>
        <w:rPr>
          <w:rFonts w:hint="eastAsia" w:ascii="仿宋" w:hAnsi="仿宋" w:eastAsia="仿宋" w:cs="仿宋"/>
          <w:color w:val="333333"/>
          <w:sz w:val="30"/>
          <w:szCs w:val="30"/>
          <w:shd w:val="clear" w:color="auto" w:fill="FFFFFF"/>
        </w:rPr>
        <w:t>5条；</w:t>
      </w:r>
      <w:r>
        <w:rPr>
          <w:rFonts w:hint="eastAsia" w:ascii="仿宋" w:hAnsi="仿宋" w:eastAsia="仿宋" w:cs="仿宋"/>
          <w:b/>
          <w:bCs/>
          <w:color w:val="333333"/>
          <w:sz w:val="30"/>
          <w:szCs w:val="30"/>
          <w:shd w:val="clear" w:color="auto" w:fill="FFFFFF"/>
        </w:rPr>
        <w:t>信息公开年度报告</w:t>
      </w:r>
      <w:r>
        <w:rPr>
          <w:rFonts w:hint="eastAsia" w:ascii="仿宋" w:hAnsi="仿宋" w:eastAsia="仿宋" w:cs="仿宋"/>
          <w:color w:val="333333"/>
          <w:sz w:val="30"/>
          <w:szCs w:val="30"/>
          <w:shd w:val="clear" w:color="auto" w:fill="FFFFFF"/>
        </w:rPr>
        <w:t>1条；</w:t>
      </w:r>
      <w:r>
        <w:rPr>
          <w:rFonts w:hint="eastAsia" w:ascii="仿宋" w:hAnsi="仿宋" w:eastAsia="仿宋" w:cs="仿宋"/>
          <w:b/>
          <w:bCs/>
          <w:color w:val="333333"/>
          <w:sz w:val="30"/>
          <w:szCs w:val="30"/>
          <w:shd w:val="clear" w:color="auto" w:fill="FFFFFF"/>
        </w:rPr>
        <w:t>信息公开指南</w:t>
      </w:r>
      <w:r>
        <w:rPr>
          <w:rFonts w:hint="eastAsia" w:ascii="仿宋" w:hAnsi="仿宋" w:eastAsia="仿宋" w:cs="仿宋"/>
          <w:color w:val="333333"/>
          <w:sz w:val="30"/>
          <w:szCs w:val="30"/>
          <w:shd w:val="clear" w:color="auto" w:fill="FFFFFF"/>
        </w:rPr>
        <w:t>1条。</w:t>
      </w:r>
    </w:p>
    <w:p>
      <w:pPr>
        <w:shd w:val="clear" w:color="auto" w:fill="FFFFFF"/>
        <w:adjustRightInd/>
        <w:snapToGrid/>
        <w:spacing w:after="0" w:line="560" w:lineRule="exact"/>
        <w:ind w:firstLine="640" w:firstLineChars="200"/>
        <w:jc w:val="both"/>
        <w:rPr>
          <w:rFonts w:hint="eastAsia" w:ascii="楷体_GB2312" w:hAnsi="楷体_GB2312" w:eastAsia="楷体_GB2312" w:cs="楷体_GB2312"/>
          <w:color w:val="000000"/>
          <w:sz w:val="32"/>
          <w:szCs w:val="32"/>
          <w:shd w:val="clear" w:color="auto" w:fill="FFFFFF"/>
        </w:rPr>
      </w:pPr>
      <w:r>
        <w:rPr>
          <w:rFonts w:hint="eastAsia" w:ascii="楷体_GB2312" w:hAnsi="楷体_GB2312" w:eastAsia="楷体_GB2312" w:cs="楷体_GB2312"/>
          <w:color w:val="000000"/>
          <w:sz w:val="32"/>
          <w:szCs w:val="32"/>
          <w:shd w:val="clear" w:color="auto" w:fill="FFFFFF"/>
        </w:rPr>
        <w:t>（二）依申请公开</w:t>
      </w:r>
    </w:p>
    <w:p>
      <w:pPr>
        <w:shd w:val="clear" w:color="auto" w:fill="FFFFFF"/>
        <w:adjustRightInd/>
        <w:snapToGrid/>
        <w:spacing w:after="0" w:line="560" w:lineRule="exact"/>
        <w:ind w:firstLine="600" w:firstLineChars="200"/>
        <w:jc w:val="both"/>
        <w:rPr>
          <w:rFonts w:hint="eastAsia"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制定相城镇政府信息依申请公开办理规范，设立政务公开专区，专人负责，提供政府信息公开申请接收、查阅、咨询解读、意见收集反馈等服务。建立健全政府信息公开申请登记、审核、办理、答复、归档制度，及时更新相城镇政府信息依申请公开指南，依法依规及时准确受理答复依申请公开件，实现依申请公开政府信息在线申请办理。2021年，我镇共接到依申请公开办件0件。</w:t>
      </w:r>
    </w:p>
    <w:p>
      <w:pPr>
        <w:shd w:val="clear" w:color="auto" w:fill="FFFFFF"/>
        <w:adjustRightInd/>
        <w:snapToGrid/>
        <w:spacing w:after="0" w:line="560" w:lineRule="exact"/>
        <w:ind w:firstLine="640" w:firstLineChars="200"/>
        <w:jc w:val="both"/>
        <w:rPr>
          <w:rFonts w:hint="eastAsia" w:ascii="楷体_GB2312" w:hAnsi="楷体_GB2312" w:eastAsia="楷体_GB2312" w:cs="楷体_GB2312"/>
          <w:color w:val="000000"/>
          <w:sz w:val="32"/>
          <w:szCs w:val="32"/>
          <w:shd w:val="clear" w:color="auto" w:fill="FFFFFF"/>
        </w:rPr>
      </w:pPr>
      <w:r>
        <w:rPr>
          <w:rFonts w:hint="eastAsia" w:ascii="楷体_GB2312" w:hAnsi="楷体_GB2312" w:eastAsia="楷体_GB2312" w:cs="楷体_GB2312"/>
          <w:color w:val="000000"/>
          <w:sz w:val="32"/>
          <w:szCs w:val="32"/>
          <w:shd w:val="clear" w:color="auto" w:fill="FFFFFF"/>
        </w:rPr>
        <w:t>（三）政府信息管理</w:t>
      </w:r>
    </w:p>
    <w:p>
      <w:pPr>
        <w:pStyle w:val="6"/>
        <w:widowControl/>
        <w:shd w:val="clear" w:color="auto" w:fill="FFFFFF"/>
        <w:spacing w:line="520" w:lineRule="exact"/>
        <w:ind w:firstLine="600" w:firstLineChars="200"/>
        <w:jc w:val="both"/>
        <w:rPr>
          <w:rFonts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按照政府公开条例，确定主动公开信息的具体内容，并按照上级机关的部署，不断增加主动公开的内容。建立健全政府信息发布机制，将主动公开的政府信息通过高安市人民政府门户网站或者其他互联网政务媒体、以及报刊、广播、电视等途径予以公开予以公开。</w:t>
      </w:r>
    </w:p>
    <w:p>
      <w:pPr>
        <w:shd w:val="clear" w:color="auto" w:fill="FFFFFF"/>
        <w:adjustRightInd/>
        <w:snapToGrid/>
        <w:spacing w:after="0" w:line="560" w:lineRule="exact"/>
        <w:jc w:val="both"/>
        <w:rPr>
          <w:rFonts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按照政府公开原则，严格审核公开程序，主要领导高度重视，亲自抓部署、抓落实。依照《中华人民共和国保守国家秘密法》以及其他法律、法规和国家有关规定对拟公开的政府信息进行审查，规范政府网站内容建设和信息发布审核机制。</w:t>
      </w:r>
    </w:p>
    <w:p>
      <w:pPr>
        <w:shd w:val="clear" w:color="auto" w:fill="FFFFFF"/>
        <w:adjustRightInd/>
        <w:snapToGrid/>
        <w:spacing w:after="0" w:line="560" w:lineRule="exact"/>
        <w:ind w:firstLine="640" w:firstLineChars="200"/>
        <w:jc w:val="both"/>
        <w:rPr>
          <w:rFonts w:hint="eastAsia" w:ascii="楷体_GB2312" w:hAnsi="楷体_GB2312" w:eastAsia="楷体_GB2312" w:cs="楷体_GB2312"/>
          <w:color w:val="000000"/>
          <w:sz w:val="32"/>
          <w:szCs w:val="32"/>
          <w:shd w:val="clear" w:color="auto" w:fill="FFFFFF"/>
        </w:rPr>
      </w:pPr>
      <w:r>
        <w:rPr>
          <w:rFonts w:hint="eastAsia" w:ascii="楷体_GB2312" w:hAnsi="楷体_GB2312" w:eastAsia="楷体_GB2312" w:cs="楷体_GB2312"/>
          <w:color w:val="000000"/>
          <w:sz w:val="32"/>
          <w:szCs w:val="32"/>
          <w:shd w:val="clear" w:color="auto" w:fill="FFFFFF"/>
        </w:rPr>
        <w:t>（四）政府信息公开平台建设</w:t>
      </w:r>
    </w:p>
    <w:p>
      <w:pPr>
        <w:pStyle w:val="6"/>
        <w:widowControl/>
        <w:shd w:val="clear" w:color="auto" w:fill="FFFFFF"/>
        <w:spacing w:line="520" w:lineRule="exact"/>
        <w:ind w:firstLine="600"/>
        <w:jc w:val="both"/>
        <w:rPr>
          <w:rFonts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除通过高安市人民政府门户网站作为第一公开平台，做好日常信息公开工作外，我镇注重加强政务公开专区的建设，设立在便民服务中心，完善硬件设备，提供政府信息公开申请接收、查阅、咨询解读、意见收集反馈等服务。同时与政务服务结合，由专人负责积极引导群众使用，使政务公开专区充分发挥作用。同时，通过镇、村（居）的显示屏、宣传栏、张贴公告等进行公开。遇有涉及群众利益的重大信息，还会通过报纸、电视、发放宣传单、上门宣讲等多样化方式进行公开，保障群众的知情权、监督权和建议权。</w:t>
      </w:r>
    </w:p>
    <w:p>
      <w:pPr>
        <w:shd w:val="clear" w:color="auto" w:fill="FFFFFF"/>
        <w:adjustRightInd/>
        <w:snapToGrid/>
        <w:spacing w:after="0" w:line="560" w:lineRule="exact"/>
        <w:ind w:firstLine="640" w:firstLineChars="200"/>
        <w:jc w:val="both"/>
        <w:rPr>
          <w:rFonts w:hint="eastAsia" w:ascii="楷体_GB2312" w:hAnsi="楷体_GB2312" w:eastAsia="楷体_GB2312" w:cs="楷体_GB2312"/>
          <w:color w:val="000000"/>
          <w:sz w:val="32"/>
          <w:szCs w:val="32"/>
          <w:shd w:val="clear" w:color="auto" w:fill="FFFFFF"/>
        </w:rPr>
      </w:pPr>
      <w:r>
        <w:rPr>
          <w:rFonts w:hint="eastAsia" w:ascii="楷体_GB2312" w:hAnsi="楷体_GB2312" w:eastAsia="楷体_GB2312" w:cs="楷体_GB2312"/>
          <w:color w:val="000000"/>
          <w:sz w:val="32"/>
          <w:szCs w:val="32"/>
          <w:shd w:val="clear" w:color="auto" w:fill="FFFFFF"/>
        </w:rPr>
        <w:t>（五）监督保障</w:t>
      </w:r>
    </w:p>
    <w:p>
      <w:pPr>
        <w:pStyle w:val="6"/>
        <w:widowControl/>
        <w:shd w:val="clear" w:color="auto" w:fill="FFFFFF"/>
        <w:spacing w:line="520" w:lineRule="exact"/>
        <w:ind w:firstLine="600" w:firstLineChars="200"/>
        <w:jc w:val="both"/>
        <w:rPr>
          <w:rFonts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1.组织保障。成立相城镇政务公开工作领导小组，明确专人负责，专岗专责，明确一名分管领导牵头，严格落实政务公开各项制度，切实做好政务公开工作。</w:t>
      </w:r>
    </w:p>
    <w:p>
      <w:pPr>
        <w:pStyle w:val="6"/>
        <w:widowControl/>
        <w:shd w:val="clear" w:color="auto" w:fill="FFFFFF"/>
        <w:spacing w:line="520" w:lineRule="exact"/>
        <w:ind w:firstLine="600" w:firstLineChars="200"/>
        <w:jc w:val="both"/>
        <w:rPr>
          <w:rFonts w:hint="eastAsia"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2、制度保障。</w:t>
      </w:r>
      <w:r>
        <w:rPr>
          <w:rFonts w:ascii="仿宋" w:hAnsi="仿宋" w:eastAsia="仿宋" w:cs="仿宋"/>
          <w:color w:val="333333"/>
          <w:sz w:val="30"/>
          <w:szCs w:val="30"/>
          <w:shd w:val="clear" w:color="auto" w:fill="FFFFFF"/>
        </w:rPr>
        <w:t>制定</w:t>
      </w:r>
      <w:r>
        <w:rPr>
          <w:rFonts w:hint="eastAsia" w:ascii="仿宋" w:hAnsi="仿宋" w:eastAsia="仿宋" w:cs="仿宋"/>
          <w:color w:val="333333"/>
          <w:sz w:val="30"/>
          <w:szCs w:val="30"/>
          <w:shd w:val="clear" w:color="auto" w:fill="FFFFFF"/>
        </w:rPr>
        <w:t>相城镇</w:t>
      </w:r>
      <w:r>
        <w:rPr>
          <w:rFonts w:ascii="仿宋" w:hAnsi="仿宋" w:eastAsia="仿宋" w:cs="仿宋"/>
          <w:color w:val="333333"/>
          <w:sz w:val="30"/>
          <w:szCs w:val="30"/>
          <w:shd w:val="clear" w:color="auto" w:fill="FFFFFF"/>
        </w:rPr>
        <w:t>政府信息公开工作制度</w:t>
      </w:r>
      <w:r>
        <w:rPr>
          <w:rFonts w:hint="eastAsia" w:ascii="仿宋" w:hAnsi="仿宋" w:eastAsia="仿宋" w:cs="仿宋"/>
          <w:color w:val="333333"/>
          <w:sz w:val="30"/>
          <w:szCs w:val="30"/>
          <w:shd w:val="clear" w:color="auto" w:fill="FFFFFF"/>
        </w:rPr>
        <w:t>及相城镇信息公开保密审查制度，建立健全政府信息公开工作考核制度、社会评议制度和责任追究制度，定期对政府信息公开工作进行考核、评议。定期召开专门工作会议研究部署政务公开工作，保障政务公开工作顺利开展。</w:t>
      </w:r>
    </w:p>
    <w:p>
      <w:pPr>
        <w:pStyle w:val="6"/>
        <w:widowControl/>
        <w:shd w:val="clear" w:color="auto" w:fill="FFFFFF"/>
        <w:spacing w:line="520" w:lineRule="exact"/>
        <w:ind w:firstLine="600" w:firstLineChars="200"/>
        <w:jc w:val="both"/>
        <w:rPr>
          <w:rFonts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3、人员保障。定期对政府信息公开工作人员进行培训，接受政府信息公开工作上级主管部门对政府信息公开工作的日常指导和监督检查，发现问题及时整改到位。</w:t>
      </w:r>
    </w:p>
    <w:p>
      <w:pPr>
        <w:shd w:val="clear" w:color="auto" w:fill="FFFFFF"/>
        <w:adjustRightInd/>
        <w:snapToGrid/>
        <w:spacing w:after="0" w:line="560" w:lineRule="exact"/>
        <w:ind w:firstLine="640" w:firstLineChars="200"/>
        <w:jc w:val="both"/>
        <w:rPr>
          <w:rFonts w:ascii="黑体" w:hAnsi="黑体" w:eastAsia="黑体" w:cs="黑体"/>
          <w:kern w:val="2"/>
          <w:sz w:val="32"/>
          <w:szCs w:val="32"/>
          <w:shd w:val="clear" w:color="auto" w:fill="FFFFFF"/>
        </w:rPr>
      </w:pPr>
      <w:r>
        <w:rPr>
          <w:rFonts w:hint="eastAsia" w:ascii="黑体" w:hAnsi="黑体" w:eastAsia="黑体" w:cs="黑体"/>
          <w:kern w:val="2"/>
          <w:sz w:val="32"/>
          <w:szCs w:val="32"/>
          <w:shd w:val="clear" w:color="auto" w:fill="FFFFFF"/>
        </w:rPr>
        <w:t>二、主动公开政府信息情况</w:t>
      </w:r>
    </w:p>
    <w:tbl>
      <w:tblPr>
        <w:tblStyle w:val="7"/>
        <w:tblW w:w="9820" w:type="dxa"/>
        <w:jc w:val="center"/>
        <w:tblLayout w:type="autofit"/>
        <w:tblCellMar>
          <w:top w:w="0" w:type="dxa"/>
          <w:left w:w="0" w:type="dxa"/>
          <w:bottom w:w="0" w:type="dxa"/>
          <w:right w:w="0" w:type="dxa"/>
        </w:tblCellMar>
      </w:tblPr>
      <w:tblGrid>
        <w:gridCol w:w="2455"/>
        <w:gridCol w:w="2455"/>
        <w:gridCol w:w="2455"/>
        <w:gridCol w:w="2455"/>
      </w:tblGrid>
      <w:tr>
        <w:tblPrEx>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第二十条第（一）项</w:t>
            </w:r>
          </w:p>
        </w:tc>
      </w:tr>
      <w:tr>
        <w:tblPrEx>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本年</w:t>
            </w:r>
            <w:r>
              <w:rPr>
                <w:rFonts w:hint="eastAsia" w:ascii="楷体_GB2312" w:hAnsi="楷体_GB2312" w:eastAsia="楷体_GB2312" w:cs="楷体_GB2312"/>
                <w:b/>
                <w:bCs/>
                <w:sz w:val="32"/>
                <w:szCs w:val="32"/>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现行有效件</w:t>
            </w:r>
            <w:r>
              <w:rPr>
                <w:rFonts w:hint="eastAsia" w:ascii="楷体_GB2312" w:hAnsi="楷体_GB2312" w:eastAsia="楷体_GB2312" w:cs="楷体_GB2312"/>
                <w:b/>
                <w:bCs/>
                <w:sz w:val="32"/>
                <w:szCs w:val="32"/>
              </w:rPr>
              <w:t>数</w:t>
            </w:r>
          </w:p>
        </w:tc>
      </w:tr>
      <w:tr>
        <w:tblPrEx>
          <w:tblCellMar>
            <w:top w:w="0" w:type="dxa"/>
            <w:left w:w="0" w:type="dxa"/>
            <w:bottom w:w="0" w:type="dxa"/>
            <w:right w:w="0" w:type="dxa"/>
          </w:tblCellMar>
        </w:tblPrEx>
        <w:trPr>
          <w:trHeight w:val="509"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color w:val="00000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val="en-US" w:eastAsia="zh-CN"/>
              </w:rPr>
              <w:t>0</w:t>
            </w:r>
          </w:p>
        </w:tc>
      </w:tr>
      <w:tr>
        <w:tblPrEx>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第二十条第（五）项</w:t>
            </w:r>
          </w:p>
        </w:tc>
      </w:tr>
      <w:tr>
        <w:tblPrEx>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本年处理决定数量</w:t>
            </w:r>
          </w:p>
        </w:tc>
      </w:tr>
      <w:tr>
        <w:tblPrEx>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宋体" w:hAnsi="宋体" w:eastAsia="宋体" w:cs="宋体"/>
                <w:b/>
                <w:bCs/>
                <w:sz w:val="32"/>
                <w:szCs w:val="32"/>
              </w:rPr>
              <w:t>0</w:t>
            </w:r>
          </w:p>
        </w:tc>
      </w:tr>
      <w:tr>
        <w:tblPrEx>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第二十条第（六）项</w:t>
            </w:r>
          </w:p>
        </w:tc>
      </w:tr>
      <w:tr>
        <w:tblPrEx>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本年处理决定数量</w:t>
            </w:r>
          </w:p>
        </w:tc>
      </w:tr>
      <w:tr>
        <w:tblPrEx>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第二十条第（八）项</w:t>
            </w:r>
          </w:p>
        </w:tc>
      </w:tr>
      <w:tr>
        <w:tblPrEx>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本年收费金额（单位：万元）</w:t>
            </w:r>
          </w:p>
        </w:tc>
      </w:tr>
      <w:tr>
        <w:tblPrEx>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bl>
    <w:p>
      <w:pPr>
        <w:shd w:val="clear" w:color="auto" w:fill="FFFFFF"/>
        <w:adjustRightInd/>
        <w:snapToGrid/>
        <w:spacing w:after="0" w:line="600" w:lineRule="exact"/>
        <w:ind w:firstLine="640" w:firstLineChars="200"/>
        <w:jc w:val="center"/>
        <w:rPr>
          <w:rFonts w:ascii="宋体" w:hAnsi="宋体" w:eastAsia="宋体" w:cs="宋体"/>
          <w:color w:val="333333"/>
          <w:sz w:val="32"/>
          <w:szCs w:val="32"/>
        </w:rPr>
      </w:pPr>
      <w:r>
        <w:rPr>
          <w:rFonts w:hint="eastAsia" w:ascii="黑体" w:hAnsi="黑体" w:eastAsia="黑体" w:cs="黑体"/>
          <w:kern w:val="2"/>
          <w:sz w:val="32"/>
          <w:szCs w:val="32"/>
          <w:shd w:val="clear" w:color="auto" w:fill="FFFFFF"/>
        </w:rPr>
        <w:t>三、收到和处理政府信息公开申请情况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自</w:t>
            </w:r>
          </w:p>
          <w:p>
            <w:pPr>
              <w:adjustRightInd/>
              <w:snapToGrid/>
              <w:spacing w:after="0" w:line="400" w:lineRule="exact"/>
              <w:jc w:val="center"/>
              <w:rPr>
                <w:rFonts w:ascii="楷体_GB2312" w:hAnsi="楷体_GB2312" w:eastAsia="楷体_GB2312" w:cs="楷体_GB2312"/>
                <w:b/>
                <w:bCs/>
                <w:sz w:val="32"/>
                <w:szCs w:val="32"/>
              </w:rPr>
            </w:pPr>
          </w:p>
          <w:p>
            <w:pPr>
              <w:adjustRightInd/>
              <w:snapToGrid/>
              <w:spacing w:after="0" w:line="400" w:lineRule="exact"/>
              <w:jc w:val="center"/>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然</w:t>
            </w:r>
          </w:p>
          <w:p>
            <w:pPr>
              <w:adjustRightInd/>
              <w:snapToGrid/>
              <w:spacing w:after="0" w:line="400" w:lineRule="exact"/>
              <w:jc w:val="center"/>
              <w:rPr>
                <w:rFonts w:ascii="楷体_GB2312" w:hAnsi="楷体_GB2312" w:eastAsia="楷体_GB2312" w:cs="楷体_GB2312"/>
                <w:b/>
                <w:bCs/>
                <w:sz w:val="32"/>
                <w:szCs w:val="32"/>
              </w:rPr>
            </w:pPr>
          </w:p>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商业</w:t>
            </w:r>
          </w:p>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科研</w:t>
            </w:r>
          </w:p>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hint="eastAsia" w:ascii="仿宋_GB2312" w:hAnsi="仿宋_GB2312" w:eastAsia="仿宋_GB2312" w:cs="仿宋_GB2312"/>
                <w:kern w:val="2"/>
                <w:sz w:val="32"/>
                <w:szCs w:val="32"/>
              </w:rPr>
            </w:pPr>
          </w:p>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8"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nil"/>
              <w:left w:val="nil"/>
              <w:bottom w:val="single" w:color="auto" w:sz="4"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nil"/>
              <w:left w:val="nil"/>
              <w:bottom w:val="single" w:color="auto" w:sz="4"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nil"/>
              <w:left w:val="nil"/>
              <w:bottom w:val="single" w:color="auto" w:sz="4"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nil"/>
              <w:left w:val="nil"/>
              <w:bottom w:val="single" w:color="auto" w:sz="4"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nil"/>
              <w:left w:val="nil"/>
              <w:bottom w:val="single" w:color="auto" w:sz="4"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nil"/>
              <w:left w:val="nil"/>
              <w:bottom w:val="single" w:color="auto" w:sz="4" w:space="0"/>
              <w:right w:val="single" w:color="auto" w:sz="8"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tcPr>
          <w:p>
            <w:pPr>
              <w:adjustRightInd/>
              <w:snapToGrid/>
              <w:spacing w:after="0" w:line="400" w:lineRule="exact"/>
              <w:jc w:val="right"/>
              <w:rPr>
                <w:rFonts w:hint="eastAsia" w:ascii="仿宋_GB2312" w:hAnsi="仿宋_GB2312" w:eastAsia="仿宋_GB2312" w:cs="仿宋_GB2312"/>
                <w:kern w:val="2"/>
                <w:sz w:val="32"/>
                <w:szCs w:val="32"/>
              </w:rPr>
            </w:pPr>
          </w:p>
          <w:p>
            <w:pPr>
              <w:adjustRightInd/>
              <w:snapToGrid/>
              <w:spacing w:after="0" w:line="400" w:lineRule="exact"/>
              <w:jc w:val="right"/>
              <w:rPr>
                <w:rFonts w:hint="eastAsia" w:ascii="仿宋_GB2312" w:hAnsi="仿宋_GB2312" w:eastAsia="仿宋_GB2312" w:cs="仿宋_GB2312"/>
                <w:kern w:val="2"/>
                <w:sz w:val="32"/>
                <w:szCs w:val="32"/>
              </w:rPr>
            </w:pPr>
          </w:p>
          <w:p>
            <w:pPr>
              <w:adjustRightInd/>
              <w:snapToGrid/>
              <w:spacing w:after="0" w:line="400" w:lineRule="exact"/>
              <w:jc w:val="righ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tcPr>
          <w:p>
            <w:pPr>
              <w:adjustRightInd/>
              <w:snapToGrid/>
              <w:spacing w:after="0" w:line="400" w:lineRule="exact"/>
              <w:jc w:val="center"/>
              <w:rPr>
                <w:rFonts w:hint="eastAsia" w:ascii="仿宋_GB2312" w:hAnsi="仿宋_GB2312" w:eastAsia="仿宋_GB2312" w:cs="仿宋_GB2312"/>
                <w:kern w:val="2"/>
                <w:sz w:val="32"/>
                <w:szCs w:val="32"/>
              </w:rPr>
            </w:pPr>
          </w:p>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tcPr>
          <w:p>
            <w:pPr>
              <w:adjustRightInd/>
              <w:snapToGrid/>
              <w:spacing w:after="0" w:line="40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bl>
    <w:p>
      <w:pPr>
        <w:widowControl w:val="0"/>
        <w:adjustRightInd/>
        <w:snapToGrid/>
        <w:spacing w:after="0" w:line="600" w:lineRule="exact"/>
        <w:ind w:firstLine="640" w:firstLineChars="200"/>
        <w:jc w:val="center"/>
        <w:rPr>
          <w:rFonts w:ascii="宋体" w:hAnsi="宋体" w:eastAsia="宋体" w:cs="宋体"/>
          <w:color w:val="333333"/>
          <w:sz w:val="32"/>
          <w:szCs w:val="32"/>
        </w:rPr>
      </w:pPr>
      <w:r>
        <w:rPr>
          <w:rFonts w:hint="eastAsia" w:ascii="黑体" w:hAnsi="黑体" w:eastAsia="黑体" w:cs="黑体"/>
          <w:kern w:val="2"/>
          <w:sz w:val="32"/>
          <w:szCs w:val="32"/>
          <w:shd w:val="clear" w:color="auto" w:fill="FFFFFF"/>
        </w:rPr>
        <w:t>四、政府信息公开行政复议、行政诉讼情况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结果</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其他</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尚未</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jc w:val="center"/>
              <w:rPr>
                <w:rFonts w:ascii="楷体_GB2312" w:hAnsi="楷体_GB2312" w:eastAsia="楷体_GB2312" w:cs="楷体_GB2312"/>
                <w:b/>
                <w:bCs/>
                <w:kern w:val="2"/>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jc w:val="center"/>
              <w:rPr>
                <w:rFonts w:ascii="楷体_GB2312" w:hAnsi="楷体_GB2312" w:eastAsia="楷体_GB2312" w:cs="楷体_GB2312"/>
                <w:b/>
                <w:bCs/>
                <w:kern w:val="2"/>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jc w:val="center"/>
              <w:rPr>
                <w:rFonts w:ascii="楷体_GB2312" w:hAnsi="楷体_GB2312" w:eastAsia="楷体_GB2312" w:cs="楷体_GB2312"/>
                <w:b/>
                <w:bCs/>
                <w:kern w:val="2"/>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jc w:val="center"/>
              <w:rPr>
                <w:rFonts w:ascii="楷体_GB2312" w:hAnsi="楷体_GB2312" w:eastAsia="楷体_GB2312" w:cs="楷体_GB2312"/>
                <w:b/>
                <w:bCs/>
                <w:kern w:val="2"/>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jc w:val="center"/>
              <w:rPr>
                <w:rFonts w:ascii="楷体_GB2312" w:hAnsi="楷体_GB2312" w:eastAsia="楷体_GB2312" w:cs="楷体_GB2312"/>
                <w:b/>
                <w:bCs/>
                <w:kern w:val="2"/>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结果</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结果</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其他</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尚未</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结果</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结果</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其他</w:t>
            </w:r>
            <w:r>
              <w:rPr>
                <w:rFonts w:hint="eastAsia" w:ascii="楷体_GB2312" w:hAnsi="楷体_GB2312" w:eastAsia="楷体_GB2312" w:cs="楷体_GB2312"/>
                <w:b/>
                <w:bCs/>
                <w:color w:val="000000"/>
                <w:sz w:val="32"/>
                <w:szCs w:val="32"/>
              </w:rPr>
              <w:br w:type="textWrapping"/>
            </w:r>
            <w:r>
              <w:rPr>
                <w:rFonts w:hint="eastAsia" w:ascii="楷体_GB2312" w:hAnsi="楷体_GB2312" w:eastAsia="楷体_GB2312" w:cs="楷体_GB2312"/>
                <w:b/>
                <w:bCs/>
                <w:color w:val="000000"/>
                <w:sz w:val="32"/>
                <w:szCs w:val="32"/>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sz w:val="32"/>
                <w:szCs w:val="32"/>
              </w:rPr>
              <w:t>尚未</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楷体_GB2312" w:hAnsi="楷体_GB2312" w:eastAsia="楷体_GB2312" w:cs="楷体_GB2312"/>
                <w:b/>
                <w:bCs/>
                <w:kern w:val="2"/>
                <w:sz w:val="32"/>
                <w:szCs w:val="32"/>
              </w:rPr>
            </w:pPr>
            <w:r>
              <w:rPr>
                <w:rFonts w:hint="eastAsia" w:ascii="楷体_GB2312" w:hAnsi="楷体_GB2312" w:eastAsia="楷体_GB2312" w:cs="楷体_GB2312"/>
                <w:b/>
                <w:bCs/>
                <w:color w:val="000000"/>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jc w:val="center"/>
              <w:rPr>
                <w:rFonts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0</w:t>
            </w:r>
          </w:p>
        </w:tc>
      </w:tr>
    </w:tbl>
    <w:p>
      <w:pPr>
        <w:adjustRightInd/>
        <w:snapToGrid/>
        <w:spacing w:after="0"/>
        <w:rPr>
          <w:rFonts w:ascii="Calibri" w:hAnsi="Calibri" w:eastAsia="宋体" w:cs="Times New Roman"/>
          <w:kern w:val="2"/>
          <w:sz w:val="21"/>
          <w:szCs w:val="24"/>
        </w:rPr>
      </w:pPr>
    </w:p>
    <w:p>
      <w:pPr>
        <w:shd w:val="clear" w:color="auto" w:fill="FFFFFF"/>
        <w:adjustRightInd/>
        <w:snapToGrid/>
        <w:spacing w:after="0" w:line="600" w:lineRule="exact"/>
        <w:ind w:firstLine="640" w:firstLineChars="200"/>
        <w:jc w:val="both"/>
        <w:rPr>
          <w:rFonts w:ascii="宋体" w:hAnsi="宋体" w:eastAsia="宋体" w:cs="宋体"/>
          <w:color w:val="333333"/>
          <w:sz w:val="24"/>
          <w:szCs w:val="24"/>
        </w:rPr>
      </w:pPr>
      <w:r>
        <w:rPr>
          <w:rFonts w:hint="eastAsia" w:ascii="黑体" w:hAnsi="黑体" w:eastAsia="黑体" w:cs="黑体"/>
          <w:kern w:val="2"/>
          <w:sz w:val="32"/>
          <w:szCs w:val="32"/>
          <w:shd w:val="clear" w:color="auto" w:fill="FFFFFF"/>
        </w:rPr>
        <w:t>五、存在的主要问题及改进情况</w:t>
      </w:r>
    </w:p>
    <w:p>
      <w:pPr>
        <w:shd w:val="clear" w:color="auto" w:fill="FFFFFF"/>
        <w:adjustRightInd/>
        <w:snapToGrid/>
        <w:spacing w:after="0" w:line="560" w:lineRule="exact"/>
        <w:ind w:firstLine="600" w:firstLineChars="200"/>
        <w:jc w:val="both"/>
        <w:rPr>
          <w:rFonts w:hint="eastAsia"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一年来，相城镇政府信息公开工作别取得一定成绩，但也存在一定的困难和问题，一是对信息公开工作相关要求和规定的学习有待进一步加强；二是信息公开工作组织制度、责任制度、监督考核制度及宣传力度还有待进一步完善和加强；三是由于乡镇事务繁杂，要保证政务信息公开的内容常换常新有一定难度，更新不够及时，有待进一步加强。下一步，我镇将从以下几点进行改进：</w:t>
      </w:r>
    </w:p>
    <w:p>
      <w:pPr>
        <w:shd w:val="clear" w:color="auto" w:fill="FFFFFF"/>
        <w:adjustRightInd/>
        <w:snapToGrid/>
        <w:spacing w:after="0" w:line="560" w:lineRule="exact"/>
        <w:ind w:firstLine="600" w:firstLineChars="200"/>
        <w:jc w:val="both"/>
        <w:rPr>
          <w:rFonts w:hint="eastAsia"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1.加强相关业务培训。加强工作人员对《中华人民共和国政府信息公开条例》的学习，提高工作人员的责任意识，保证信息公开工作做到及时更新和公开，进一步提高信息公开的主动性，保证公开信息的及时性、准确性和全面性。</w:t>
      </w:r>
    </w:p>
    <w:p>
      <w:pPr>
        <w:shd w:val="clear" w:color="auto" w:fill="FFFFFF"/>
        <w:adjustRightInd/>
        <w:snapToGrid/>
        <w:spacing w:after="0" w:line="560" w:lineRule="exact"/>
        <w:ind w:firstLine="600" w:firstLineChars="200"/>
        <w:jc w:val="both"/>
        <w:rPr>
          <w:rFonts w:hint="eastAsia"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2.健全长效工作机制。健全政府信息公开内容审查和更新维护、考核评估、监督检查评议、培训宣传和工作年报等工作制度，完善信息公开审查制度，确保政府信息公开工作制度化、规范化发展，深入、持续、高效地开展政府信息公开工作。</w:t>
      </w:r>
    </w:p>
    <w:p>
      <w:pPr>
        <w:shd w:val="clear" w:color="auto" w:fill="FFFFFF"/>
        <w:adjustRightInd/>
        <w:snapToGrid/>
        <w:spacing w:after="0" w:line="560" w:lineRule="exact"/>
        <w:ind w:firstLine="600" w:firstLineChars="200"/>
        <w:jc w:val="both"/>
        <w:rPr>
          <w:rFonts w:hint="eastAsia"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3.进一步增进与社会公众的沟通，畅通公开渠道。加强调研和分析，了解社情民意，及时掌握群众切身利益的重要政府信息要予以高度重视和认真对待。同时，以便民利民为根本宗旨，在不违反保密等有关规定的前提下尽量满足群众需要，切实保障社会公众的知情权，使政府信息公开工作落到实处。</w:t>
      </w:r>
    </w:p>
    <w:p>
      <w:pPr>
        <w:shd w:val="clear" w:color="auto" w:fill="FFFFFF"/>
        <w:adjustRightInd/>
        <w:snapToGrid/>
        <w:spacing w:after="0" w:line="600" w:lineRule="exact"/>
        <w:ind w:firstLine="640" w:firstLineChars="200"/>
        <w:jc w:val="both"/>
        <w:rPr>
          <w:rFonts w:ascii="宋体" w:hAnsi="宋体" w:eastAsia="宋体" w:cs="宋体"/>
          <w:color w:val="333333"/>
          <w:sz w:val="24"/>
          <w:szCs w:val="24"/>
        </w:rPr>
      </w:pPr>
      <w:r>
        <w:rPr>
          <w:rFonts w:hint="eastAsia" w:ascii="黑体" w:hAnsi="黑体" w:eastAsia="黑体" w:cs="黑体"/>
          <w:kern w:val="2"/>
          <w:sz w:val="32"/>
          <w:szCs w:val="32"/>
          <w:shd w:val="clear" w:color="auto" w:fill="FFFFFF"/>
        </w:rPr>
        <w:t>六、其他需要报告的事项</w:t>
      </w:r>
    </w:p>
    <w:p>
      <w:pPr>
        <w:shd w:val="clear" w:color="auto" w:fill="FFFFFF"/>
        <w:adjustRightInd/>
        <w:snapToGrid/>
        <w:spacing w:after="0" w:line="600" w:lineRule="exact"/>
        <w:ind w:firstLine="600" w:firstLineChars="200"/>
        <w:jc w:val="both"/>
        <w:rPr>
          <w:rFonts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无。</w:t>
      </w:r>
    </w:p>
    <w:p>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31E79"/>
    <w:rsid w:val="000D08D4"/>
    <w:rsid w:val="00126985"/>
    <w:rsid w:val="001634E6"/>
    <w:rsid w:val="00323B43"/>
    <w:rsid w:val="0034704E"/>
    <w:rsid w:val="003D37D8"/>
    <w:rsid w:val="00426133"/>
    <w:rsid w:val="004358AB"/>
    <w:rsid w:val="00571FC1"/>
    <w:rsid w:val="00794EEF"/>
    <w:rsid w:val="008B7726"/>
    <w:rsid w:val="00AE6329"/>
    <w:rsid w:val="00D31D50"/>
    <w:rsid w:val="051007D7"/>
    <w:rsid w:val="113D0264"/>
    <w:rsid w:val="44BE2FFB"/>
    <w:rsid w:val="542B74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link w:val="12"/>
    <w:qFormat/>
    <w:uiPriority w:val="0"/>
    <w:pPr>
      <w:widowControl w:val="0"/>
      <w:adjustRightInd/>
      <w:snapToGrid/>
      <w:spacing w:after="0"/>
      <w:outlineLvl w:val="0"/>
    </w:pPr>
    <w:rPr>
      <w:rFonts w:hint="eastAsia" w:ascii="宋体" w:hAnsi="宋体" w:eastAsia="宋体" w:cs="Times New Roman"/>
      <w:kern w:val="44"/>
      <w:sz w:val="42"/>
      <w:szCs w:val="4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pPr>
      <w:spacing w:after="0"/>
    </w:pPr>
    <w:rPr>
      <w:sz w:val="18"/>
      <w:szCs w:val="18"/>
    </w:rPr>
  </w:style>
  <w:style w:type="paragraph" w:styleId="4">
    <w:name w:val="footer"/>
    <w:basedOn w:val="1"/>
    <w:link w:val="10"/>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val="0"/>
      <w:adjustRightInd/>
      <w:snapToGrid/>
      <w:spacing w:after="0"/>
    </w:pPr>
    <w:rPr>
      <w:rFonts w:cs="Times New Roman" w:asciiTheme="minorHAnsi" w:hAnsiTheme="minorHAnsi" w:eastAsiaTheme="minorEastAsia"/>
      <w:sz w:val="24"/>
      <w:szCs w:val="24"/>
    </w:rPr>
  </w:style>
  <w:style w:type="character" w:customStyle="1" w:styleId="9">
    <w:name w:val="页眉 Char"/>
    <w:basedOn w:val="8"/>
    <w:link w:val="5"/>
    <w:semiHidden/>
    <w:qFormat/>
    <w:uiPriority w:val="99"/>
    <w:rPr>
      <w:rFonts w:ascii="Tahoma" w:hAnsi="Tahoma"/>
      <w:sz w:val="18"/>
      <w:szCs w:val="18"/>
    </w:rPr>
  </w:style>
  <w:style w:type="character" w:customStyle="1" w:styleId="10">
    <w:name w:val="页脚 Char"/>
    <w:basedOn w:val="8"/>
    <w:link w:val="4"/>
    <w:semiHidden/>
    <w:qFormat/>
    <w:uiPriority w:val="99"/>
    <w:rPr>
      <w:rFonts w:ascii="Tahoma" w:hAnsi="Tahoma"/>
      <w:sz w:val="18"/>
      <w:szCs w:val="18"/>
    </w:rPr>
  </w:style>
  <w:style w:type="character" w:customStyle="1" w:styleId="11">
    <w:name w:val="批注框文本 Char"/>
    <w:basedOn w:val="8"/>
    <w:link w:val="3"/>
    <w:semiHidden/>
    <w:qFormat/>
    <w:uiPriority w:val="99"/>
    <w:rPr>
      <w:rFonts w:ascii="Tahoma" w:hAnsi="Tahoma"/>
      <w:sz w:val="18"/>
      <w:szCs w:val="18"/>
    </w:rPr>
  </w:style>
  <w:style w:type="character" w:customStyle="1" w:styleId="12">
    <w:name w:val="标题 1 Char"/>
    <w:basedOn w:val="8"/>
    <w:link w:val="2"/>
    <w:qFormat/>
    <w:uiPriority w:val="0"/>
    <w:rPr>
      <w:rFonts w:ascii="宋体" w:hAnsi="宋体" w:eastAsia="宋体" w:cs="Times New Roman"/>
      <w:kern w:val="44"/>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455</Words>
  <Characters>2594</Characters>
  <Lines>21</Lines>
  <Paragraphs>6</Paragraphs>
  <TotalTime>5</TotalTime>
  <ScaleCrop>false</ScaleCrop>
  <LinksUpToDate>false</LinksUpToDate>
  <CharactersWithSpaces>3043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燕子</cp:lastModifiedBy>
  <dcterms:modified xsi:type="dcterms:W3CDTF">2022-01-17T01:43:25Z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2699420929AB486599A0E900205EBFB2</vt:lpwstr>
  </property>
</Properties>
</file>